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B" w:rsidRDefault="008425D7">
      <w:pPr>
        <w:pStyle w:val="Textoindependiente"/>
        <w:ind w:left="927"/>
        <w:rPr>
          <w:rFonts w:ascii="Times New Roman"/>
          <w:sz w:val="20"/>
        </w:rPr>
      </w:pPr>
      <w:r>
        <w:rPr>
          <w:rFonts w:ascii="Times New Roman"/>
          <w:sz w:val="20"/>
          <w:lang w:eastAsia="eu-ES" w:bidi="ar-SA"/>
        </w:rPr>
        <w:drawing>
          <wp:inline distT="0" distB="0" distL="0" distR="0">
            <wp:extent cx="459988" cy="8625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88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0B" w:rsidRDefault="008425D7">
      <w:pPr>
        <w:pStyle w:val="Textoindependiente"/>
        <w:spacing w:before="20" w:line="260" w:lineRule="exact"/>
        <w:ind w:left="119"/>
        <w:rPr>
          <w:rFonts w:ascii="Century Gothic"/>
        </w:rPr>
      </w:pPr>
      <w:r>
        <w:rPr>
          <w:rFonts w:ascii="Century Gothic"/>
          <w:color w:val="111111"/>
        </w:rPr>
        <w:t xml:space="preserve">Parlamento  </w:t>
      </w:r>
      <w:r>
        <w:rPr>
          <w:rFonts w:ascii="Century Gothic"/>
          <w:color w:val="313131"/>
        </w:rPr>
        <w:t xml:space="preserve">de </w:t>
      </w:r>
      <w:r>
        <w:rPr>
          <w:rFonts w:ascii="Century Gothic"/>
          <w:color w:val="0E0E0E"/>
        </w:rPr>
        <w:t>Navarra</w:t>
      </w:r>
    </w:p>
    <w:p w:rsidR="001F590B" w:rsidRDefault="008425D7">
      <w:pPr>
        <w:spacing w:line="236" w:lineRule="exact"/>
        <w:ind w:left="116"/>
        <w:rPr>
          <w:rFonts w:ascii="Century Gothic"/>
        </w:rPr>
      </w:pPr>
      <w:r>
        <w:rPr>
          <w:rFonts w:ascii="Century Gothic"/>
          <w:color w:val="0C0C0C"/>
        </w:rPr>
        <w:t>Nafarroako Parlamentua</w:t>
      </w:r>
    </w:p>
    <w:p w:rsidR="001F590B" w:rsidRDefault="001F590B">
      <w:pPr>
        <w:pStyle w:val="Textoindependiente"/>
        <w:rPr>
          <w:rFonts w:ascii="Century Gothic"/>
          <w:sz w:val="26"/>
        </w:rPr>
      </w:pPr>
    </w:p>
    <w:p w:rsidR="001F590B" w:rsidRDefault="001F590B">
      <w:pPr>
        <w:pStyle w:val="Textoindependiente"/>
        <w:spacing w:before="12"/>
        <w:rPr>
          <w:rFonts w:ascii="Century Gothic"/>
          <w:sz w:val="20"/>
        </w:rPr>
      </w:pPr>
    </w:p>
    <w:p w:rsidR="001F590B" w:rsidRDefault="008425D7">
      <w:pPr>
        <w:ind w:left="962"/>
        <w:rPr>
          <w:b/>
          <w:sz w:val="24"/>
        </w:rPr>
      </w:pPr>
      <w:r>
        <w:rPr>
          <w:b/>
          <w:sz w:val="24"/>
        </w:rPr>
        <w:t>NEURRI OSAGARRIAK, KORONABIRUSA</w:t>
      </w:r>
      <w:r>
        <w:rPr>
          <w:b/>
          <w:color w:val="1A1A1A"/>
          <w:sz w:val="24"/>
        </w:rPr>
        <w:t xml:space="preserve"> </w:t>
      </w:r>
      <w:r>
        <w:rPr>
          <w:b/>
          <w:color w:val="232323"/>
          <w:sz w:val="24"/>
        </w:rPr>
        <w:t>(COVID-19) DELA ETA</w:t>
      </w:r>
    </w:p>
    <w:p w:rsidR="001F590B" w:rsidRDefault="008425D7">
      <w:pPr>
        <w:pStyle w:val="Textoindependiente"/>
        <w:spacing w:before="185"/>
        <w:ind w:left="673" w:right="108" w:firstLine="360"/>
        <w:jc w:val="both"/>
      </w:pPr>
      <w:r>
        <w:rPr>
          <w:color w:val="0A0A0A"/>
        </w:rPr>
        <w:t>Parlamentuko lehendakariak neurri osagarri batzuk ezarri ditu, Mahaiak gaur onetsi duen kontingentzia planaren esparruan eratutako koordinazio taldeari entzun ondoren, eta Parlamentuko batzordeetako bilkura arruntetako eta lan bileretako agerraldiak bertan</w:t>
      </w:r>
      <w:r>
        <w:rPr>
          <w:color w:val="0A0A0A"/>
        </w:rPr>
        <w:t xml:space="preserve"> behera urgentziaz uzteari buruzko Lehendakaritzaren Ebazpenarekin bat etorriz (2016ko 53. NPAO, apirilaren 18koa)</w:t>
      </w:r>
      <w:r>
        <w:rPr>
          <w:color w:val="0C0C0C"/>
        </w:rPr>
        <w:t>.</w:t>
      </w:r>
    </w:p>
    <w:p w:rsidR="001F590B" w:rsidRDefault="001F590B">
      <w:pPr>
        <w:pStyle w:val="Textoindependiente"/>
        <w:spacing w:before="5"/>
      </w:pPr>
    </w:p>
    <w:p w:rsidR="001F590B" w:rsidRDefault="008425D7">
      <w:pPr>
        <w:pStyle w:val="Prrafodelista"/>
        <w:numPr>
          <w:ilvl w:val="0"/>
          <w:numId w:val="2"/>
        </w:numPr>
        <w:tabs>
          <w:tab w:val="left" w:pos="1387"/>
        </w:tabs>
        <w:jc w:val="left"/>
        <w:rPr>
          <w:color w:val="1D1D1D"/>
          <w:sz w:val="24"/>
        </w:rPr>
      </w:pPr>
      <w:r>
        <w:rPr>
          <w:sz w:val="24"/>
        </w:rPr>
        <w:t>Parlamentuko batzordeen bilkurak bertan behera uztea</w:t>
      </w:r>
      <w:r>
        <w:rPr>
          <w:color w:val="1A1A1A"/>
          <w:sz w:val="24"/>
        </w:rPr>
        <w:t>.</w:t>
      </w:r>
    </w:p>
    <w:p w:rsidR="001F590B" w:rsidRDefault="008425D7">
      <w:pPr>
        <w:pStyle w:val="Textoindependiente"/>
        <w:spacing w:before="156"/>
        <w:ind w:left="668" w:right="101" w:firstLine="372"/>
        <w:jc w:val="both"/>
      </w:pPr>
      <w:r>
        <w:t>Bertan behera uzten dira Parlamentuko batzordeen bilkura guztiak 2020ko martxoaren 13</w:t>
      </w:r>
      <w:r>
        <w:t>tik (ostirala) 18ra arte (asteazkena), kontuan izanik ezen, bilera tokien ezaugarriengatik, ez direla betetzen laneko arriskuen prebentzioari buruzko gomendioak, Osasuneko arduradunek emandakoak Parlamentuko langileentzat zein foru parlamentarientzat.</w:t>
      </w:r>
    </w:p>
    <w:p w:rsidR="001F590B" w:rsidRDefault="001F590B">
      <w:pPr>
        <w:pStyle w:val="Textoindependiente"/>
        <w:spacing w:before="5"/>
        <w:rPr>
          <w:sz w:val="23"/>
        </w:rPr>
      </w:pPr>
    </w:p>
    <w:p w:rsidR="001F590B" w:rsidRDefault="008425D7">
      <w:pPr>
        <w:pStyle w:val="Prrafodelista"/>
        <w:numPr>
          <w:ilvl w:val="0"/>
          <w:numId w:val="2"/>
        </w:numPr>
        <w:tabs>
          <w:tab w:val="left" w:pos="1382"/>
        </w:tabs>
        <w:ind w:left="1381"/>
        <w:jc w:val="left"/>
        <w:rPr>
          <w:sz w:val="24"/>
        </w:rPr>
      </w:pPr>
      <w:r>
        <w:rPr>
          <w:sz w:val="24"/>
        </w:rPr>
        <w:t>Mah</w:t>
      </w:r>
      <w:r>
        <w:rPr>
          <w:sz w:val="24"/>
        </w:rPr>
        <w:t>aiaren eta Eledunen Batzarraren bilkura</w:t>
      </w:r>
    </w:p>
    <w:p w:rsidR="001F590B" w:rsidRDefault="001F590B">
      <w:pPr>
        <w:pStyle w:val="Textoindependiente"/>
      </w:pPr>
    </w:p>
    <w:p w:rsidR="001F590B" w:rsidRDefault="008425D7">
      <w:pPr>
        <w:pStyle w:val="Textoindependiente"/>
        <w:spacing w:line="244" w:lineRule="auto"/>
        <w:ind w:left="666" w:right="101" w:firstLine="369"/>
        <w:jc w:val="both"/>
      </w:pPr>
      <w:r>
        <w:t>Mahaiak eta Eledunen Batzarrak 2020ko martxoaren 16ko bilkura eginen dute, eta ondoren eledunek prentsaurrekoa emanen dute erabilera anitzeko aretoan. Prentsaurreko hori streaming-ean transmitituko da</w:t>
      </w:r>
      <w:r>
        <w:rPr>
          <w:color w:val="0C0C0C"/>
        </w:rPr>
        <w:t>.</w:t>
      </w:r>
    </w:p>
    <w:p w:rsidR="001F590B" w:rsidRDefault="001F590B">
      <w:pPr>
        <w:pStyle w:val="Textoindependiente"/>
        <w:rPr>
          <w:sz w:val="23"/>
        </w:rPr>
      </w:pPr>
    </w:p>
    <w:p w:rsidR="001F590B" w:rsidRDefault="008425D7">
      <w:pPr>
        <w:pStyle w:val="Prrafodelista"/>
        <w:numPr>
          <w:ilvl w:val="0"/>
          <w:numId w:val="2"/>
        </w:numPr>
        <w:tabs>
          <w:tab w:val="left" w:pos="1380"/>
        </w:tabs>
        <w:ind w:left="1379" w:hanging="347"/>
        <w:jc w:val="left"/>
        <w:rPr>
          <w:color w:val="1A1A1A"/>
          <w:sz w:val="24"/>
        </w:rPr>
      </w:pPr>
      <w:r>
        <w:rPr>
          <w:sz w:val="24"/>
        </w:rPr>
        <w:t>Ordutegi malguari eta lan modalitateei buruzko neurriak</w:t>
      </w:r>
    </w:p>
    <w:p w:rsidR="001F590B" w:rsidRDefault="008425D7">
      <w:pPr>
        <w:pStyle w:val="Textoindependiente"/>
        <w:spacing w:before="166"/>
        <w:ind w:left="661" w:right="111" w:firstLine="369"/>
        <w:jc w:val="both"/>
      </w:pPr>
      <w:r>
        <w:t>Egungo lanaldi-araubidea gorabehera, baldin eta agintariek agindu orokorra ematen badute hezkuntza zentroak edo antzekoak ixteko, legebiltzarreko langileek lana eta bizitza pertsonala bateratu ahal iz</w:t>
      </w:r>
      <w:r>
        <w:t>ateko ordutegi-malgutasuna baliatu ahalko dute, haiekin bizi diren 16</w:t>
      </w:r>
      <w:bookmarkStart w:id="0" w:name="_GoBack"/>
      <w:bookmarkEnd w:id="0"/>
      <w:r>
        <w:t xml:space="preserve"> urte arteko seme-alabak, mendekotasuna duten seme-alaba zaharragoak edo mendekotasuna duten adinekoak zaintzeko. Halaber, lan-txandak moldatu ahalko dira</w:t>
      </w:r>
      <w:r>
        <w:rPr>
          <w:color w:val="131313"/>
        </w:rPr>
        <w:t xml:space="preserve">. </w:t>
      </w:r>
      <w:r>
        <w:t>Horretarako eskaera egokia aurkeztu beharko da, eta letradu nagusiaren baimena jaso. Letradu nagusia kasuan kasuko zerbitzuko arduradunarekin koordinaturik arituko da</w:t>
      </w:r>
      <w:r>
        <w:rPr>
          <w:color w:val="0C0C0C"/>
        </w:rPr>
        <w:t>.</w:t>
      </w:r>
    </w:p>
    <w:p w:rsidR="001F590B" w:rsidRDefault="008425D7">
      <w:pPr>
        <w:pStyle w:val="Textoindependiente"/>
        <w:spacing w:before="161" w:line="235" w:lineRule="auto"/>
        <w:ind w:left="664" w:right="114" w:firstLine="354"/>
        <w:jc w:val="both"/>
      </w:pPr>
      <w:r>
        <w:t xml:space="preserve">Aurrekoaren ondorioetarako, langileek noiznahi bete ahalko dute beren lanaldia </w:t>
      </w:r>
      <w:r>
        <w:rPr>
          <w:color w:val="0C0C0C"/>
        </w:rPr>
        <w:t>07:00etat</w:t>
      </w:r>
      <w:r>
        <w:rPr>
          <w:color w:val="0C0C0C"/>
        </w:rPr>
        <w:t>ik</w:t>
      </w:r>
      <w:r>
        <w:rPr>
          <w:color w:val="131313"/>
        </w:rPr>
        <w:t xml:space="preserve"> </w:t>
      </w:r>
      <w:r>
        <w:t>20:00etara bitartean, astelehenetik ostiralera</w:t>
      </w:r>
      <w:r>
        <w:rPr>
          <w:color w:val="0F0F0F"/>
        </w:rPr>
        <w:t>.</w:t>
      </w:r>
    </w:p>
    <w:p w:rsidR="001F590B" w:rsidRDefault="008425D7">
      <w:pPr>
        <w:pStyle w:val="Textoindependiente"/>
        <w:spacing w:before="159"/>
        <w:ind w:left="1017"/>
      </w:pPr>
      <w:r>
        <w:t>Telelana:</w:t>
      </w:r>
    </w:p>
    <w:p w:rsidR="001F590B" w:rsidRDefault="001F590B">
      <w:pPr>
        <w:pStyle w:val="Textoindependiente"/>
        <w:rPr>
          <w:sz w:val="26"/>
        </w:rPr>
      </w:pPr>
    </w:p>
    <w:p w:rsidR="001F590B" w:rsidRDefault="008425D7">
      <w:pPr>
        <w:pStyle w:val="Prrafodelista"/>
        <w:numPr>
          <w:ilvl w:val="0"/>
          <w:numId w:val="1"/>
        </w:numPr>
        <w:tabs>
          <w:tab w:val="left" w:pos="1741"/>
        </w:tabs>
        <w:spacing w:before="183" w:line="256" w:lineRule="auto"/>
        <w:ind w:right="125" w:hanging="357"/>
        <w:jc w:val="both"/>
        <w:rPr>
          <w:color w:val="1F1F1F"/>
          <w:sz w:val="24"/>
        </w:rPr>
      </w:pPr>
      <w:r>
        <w:rPr>
          <w:sz w:val="24"/>
        </w:rPr>
        <w:t>Burutza bakoitzak, martxoaren 13ko (ostirala) 14:00ak baino lehen, zerbitzu orokorretako buruari zerrenda bat bidaliko dio. Bertan zehaztuko da nor diren ezinbesteko langileak, betetzen dituzten</w:t>
      </w:r>
      <w:r>
        <w:rPr>
          <w:sz w:val="24"/>
        </w:rPr>
        <w:t xml:space="preserve"> eginkizunei erreparatuta hala kalifikatzen ahal direnak. Hori dela eta, kontuan hartuko da baldintza hori beteko luketela, soil-soilik,</w:t>
      </w:r>
    </w:p>
    <w:p w:rsidR="001F590B" w:rsidRDefault="001F590B">
      <w:pPr>
        <w:spacing w:line="256" w:lineRule="auto"/>
        <w:jc w:val="both"/>
        <w:rPr>
          <w:sz w:val="24"/>
        </w:rPr>
        <w:sectPr w:rsidR="001F590B">
          <w:type w:val="continuous"/>
          <w:pgSz w:w="11900" w:h="16840"/>
          <w:pgMar w:top="520" w:right="1460" w:bottom="280" w:left="1140" w:header="708" w:footer="708" w:gutter="0"/>
          <w:cols w:space="708"/>
        </w:sectPr>
      </w:pPr>
    </w:p>
    <w:p w:rsidR="001F590B" w:rsidRDefault="001F590B">
      <w:pPr>
        <w:pStyle w:val="Textoindependiente"/>
        <w:rPr>
          <w:sz w:val="20"/>
        </w:rPr>
      </w:pPr>
    </w:p>
    <w:p w:rsidR="001F590B" w:rsidRDefault="001F590B">
      <w:pPr>
        <w:pStyle w:val="Textoindependiente"/>
        <w:rPr>
          <w:sz w:val="20"/>
        </w:rPr>
      </w:pPr>
    </w:p>
    <w:p w:rsidR="001F590B" w:rsidRDefault="008425D7">
      <w:pPr>
        <w:pStyle w:val="Textoindependiente"/>
        <w:spacing w:before="215" w:line="254" w:lineRule="auto"/>
        <w:ind w:left="1686" w:right="189"/>
        <w:jc w:val="both"/>
      </w:pPr>
      <w:r>
        <w:t>administrazio jarduera geldituko balitz ere beren funtsezko eginkizunetan jarraitu beharko luketen la</w:t>
      </w:r>
      <w:r>
        <w:t>ngileak.</w:t>
      </w:r>
    </w:p>
    <w:p w:rsidR="001F590B" w:rsidRDefault="001F590B">
      <w:pPr>
        <w:pStyle w:val="Textoindependiente"/>
        <w:spacing w:before="7"/>
        <w:rPr>
          <w:sz w:val="27"/>
        </w:rPr>
      </w:pPr>
    </w:p>
    <w:p w:rsidR="001F590B" w:rsidRDefault="008425D7">
      <w:pPr>
        <w:pStyle w:val="Prrafodelista"/>
        <w:numPr>
          <w:ilvl w:val="0"/>
          <w:numId w:val="1"/>
        </w:numPr>
        <w:tabs>
          <w:tab w:val="left" w:pos="1686"/>
        </w:tabs>
        <w:spacing w:line="259" w:lineRule="auto"/>
        <w:ind w:left="1684" w:right="194" w:hanging="357"/>
        <w:jc w:val="both"/>
        <w:rPr>
          <w:color w:val="212121"/>
          <w:sz w:val="24"/>
        </w:rPr>
      </w:pPr>
      <w:r>
        <w:rPr>
          <w:sz w:val="24"/>
        </w:rPr>
        <w:t>Gainera, burutza bakoitzak bere ardurapeko langileekin batera aztertuko du etxetik lan egiteko aukera, telelanaren araubidean, betiere lanpostua modalitate horretarako egokia denean, eta beharrezkoak diren baldintza teknikoak betetzen badira.</w:t>
      </w:r>
    </w:p>
    <w:p w:rsidR="001F590B" w:rsidRDefault="001F590B">
      <w:pPr>
        <w:pStyle w:val="Textoindependiente"/>
        <w:spacing w:before="7"/>
        <w:rPr>
          <w:sz w:val="26"/>
        </w:rPr>
      </w:pPr>
    </w:p>
    <w:p w:rsidR="001F590B" w:rsidRDefault="008425D7">
      <w:pPr>
        <w:pStyle w:val="Prrafodelista"/>
        <w:numPr>
          <w:ilvl w:val="0"/>
          <w:numId w:val="1"/>
        </w:numPr>
        <w:tabs>
          <w:tab w:val="left" w:pos="1682"/>
        </w:tabs>
        <w:ind w:left="1682" w:right="208" w:hanging="355"/>
        <w:jc w:val="both"/>
        <w:rPr>
          <w:color w:val="1C1C1C"/>
          <w:sz w:val="24"/>
        </w:rPr>
      </w:pPr>
      <w:r>
        <w:rPr>
          <w:color w:val="111111"/>
          <w:sz w:val="24"/>
        </w:rPr>
        <w:t>Era berean, salbuespenezko neurriak eskatu eta baimendu ahalko dira, langileek halako neurrien beharra badute egoera pertsonal edo familia-egoera berezien ondorioz, behar bezala justifikatuta</w:t>
      </w:r>
      <w:r>
        <w:rPr>
          <w:sz w:val="24"/>
        </w:rPr>
        <w:t>.</w:t>
      </w:r>
    </w:p>
    <w:p w:rsidR="001F590B" w:rsidRDefault="001F590B">
      <w:pPr>
        <w:pStyle w:val="Textoindependiente"/>
        <w:spacing w:before="2"/>
        <w:rPr>
          <w:sz w:val="27"/>
        </w:rPr>
      </w:pPr>
    </w:p>
    <w:p w:rsidR="001F590B" w:rsidRDefault="008425D7">
      <w:pPr>
        <w:pStyle w:val="Prrafodelista"/>
        <w:numPr>
          <w:ilvl w:val="0"/>
          <w:numId w:val="1"/>
        </w:numPr>
        <w:tabs>
          <w:tab w:val="left" w:pos="1682"/>
        </w:tabs>
        <w:spacing w:line="259" w:lineRule="auto"/>
        <w:ind w:left="1681" w:right="191" w:hanging="359"/>
        <w:jc w:val="both"/>
        <w:rPr>
          <w:color w:val="232323"/>
          <w:sz w:val="24"/>
        </w:rPr>
      </w:pPr>
      <w:r>
        <w:rPr>
          <w:sz w:val="24"/>
        </w:rPr>
        <w:t>Informatikako langileek neurri egokiak hartuko dituzte Nafarro</w:t>
      </w:r>
      <w:r>
        <w:rPr>
          <w:sz w:val="24"/>
        </w:rPr>
        <w:t>ako Parlamentuan telelana sistema abian jartzeko, eta bertan lehentasuna emanen zaie ezinbesteko langileei.</w:t>
      </w:r>
    </w:p>
    <w:p w:rsidR="001F590B" w:rsidRDefault="001F590B">
      <w:pPr>
        <w:pStyle w:val="Textoindependiente"/>
        <w:spacing w:before="4"/>
        <w:rPr>
          <w:sz w:val="25"/>
        </w:rPr>
      </w:pPr>
    </w:p>
    <w:p w:rsidR="001F590B" w:rsidRDefault="008425D7">
      <w:pPr>
        <w:pStyle w:val="Prrafodelista"/>
        <w:numPr>
          <w:ilvl w:val="0"/>
          <w:numId w:val="1"/>
        </w:numPr>
        <w:tabs>
          <w:tab w:val="left" w:pos="1681"/>
        </w:tabs>
        <w:spacing w:line="264" w:lineRule="auto"/>
        <w:ind w:left="1684" w:right="194" w:hanging="362"/>
        <w:jc w:val="both"/>
        <w:rPr>
          <w:color w:val="242424"/>
          <w:sz w:val="24"/>
        </w:rPr>
      </w:pPr>
      <w:r>
        <w:rPr>
          <w:sz w:val="24"/>
        </w:rPr>
        <w:t>Betiere letradu nagusiaren baimena eskatu eta jaso beharko da telelanean aritu ahal izateko, eta kasuan kasuko zerbitzuko arduradunari jakinarazi b</w:t>
      </w:r>
      <w:r>
        <w:rPr>
          <w:sz w:val="24"/>
        </w:rPr>
        <w:t>eharko zaio.</w:t>
      </w:r>
    </w:p>
    <w:p w:rsidR="001F590B" w:rsidRDefault="001F590B">
      <w:pPr>
        <w:pStyle w:val="Textoindependiente"/>
        <w:spacing w:before="8"/>
      </w:pPr>
    </w:p>
    <w:p w:rsidR="001F590B" w:rsidRDefault="008425D7">
      <w:pPr>
        <w:pStyle w:val="Prrafodelista"/>
        <w:numPr>
          <w:ilvl w:val="0"/>
          <w:numId w:val="2"/>
        </w:numPr>
        <w:tabs>
          <w:tab w:val="left" w:pos="1312"/>
        </w:tabs>
        <w:spacing w:before="1"/>
        <w:ind w:left="1311" w:hanging="349"/>
        <w:jc w:val="left"/>
        <w:rPr>
          <w:color w:val="212121"/>
          <w:sz w:val="24"/>
        </w:rPr>
      </w:pPr>
      <w:r>
        <w:rPr>
          <w:sz w:val="24"/>
        </w:rPr>
        <w:t>Parlamentuko aferen erregistro publikoa.</w:t>
      </w:r>
    </w:p>
    <w:p w:rsidR="001F590B" w:rsidRDefault="008425D7">
      <w:pPr>
        <w:pStyle w:val="Textoindependiente"/>
        <w:spacing w:before="156" w:line="242" w:lineRule="auto"/>
        <w:ind w:left="602" w:firstLine="359"/>
      </w:pPr>
      <w:r>
        <w:t>Parlamentariek eta taldeetako langileek (laguntzaileak) nahitaez erabili beharko dute erregistro telematikoa.</w:t>
      </w:r>
    </w:p>
    <w:p w:rsidR="001F590B" w:rsidRDefault="001F590B">
      <w:pPr>
        <w:pStyle w:val="Textoindependiente"/>
        <w:spacing w:before="4"/>
        <w:rPr>
          <w:sz w:val="38"/>
        </w:rPr>
      </w:pPr>
    </w:p>
    <w:p w:rsidR="001F590B" w:rsidRDefault="008425D7">
      <w:pPr>
        <w:pStyle w:val="Prrafodelista"/>
        <w:numPr>
          <w:ilvl w:val="0"/>
          <w:numId w:val="2"/>
        </w:numPr>
        <w:tabs>
          <w:tab w:val="left" w:pos="1312"/>
        </w:tabs>
        <w:ind w:left="1311" w:hanging="346"/>
        <w:jc w:val="left"/>
        <w:rPr>
          <w:color w:val="262626"/>
          <w:sz w:val="24"/>
        </w:rPr>
      </w:pPr>
      <w:r>
        <w:rPr>
          <w:sz w:val="24"/>
        </w:rPr>
        <w:t>Garajera sartzea</w:t>
      </w:r>
    </w:p>
    <w:p w:rsidR="001F590B" w:rsidRDefault="008425D7">
      <w:pPr>
        <w:pStyle w:val="Textoindependiente"/>
        <w:spacing w:before="156" w:line="242" w:lineRule="auto"/>
        <w:ind w:left="599" w:firstLine="361"/>
      </w:pPr>
      <w:r>
        <w:t>Baimendutako langileak soilik sartu ahalko dira Nafarroako Parlamentuko garajera, eta lagunik gabe sartuko dira</w:t>
      </w:r>
      <w:r>
        <w:rPr>
          <w:color w:val="0E0E0E"/>
        </w:rPr>
        <w:t>.</w:t>
      </w:r>
    </w:p>
    <w:p w:rsidR="001F590B" w:rsidRDefault="008425D7">
      <w:pPr>
        <w:pStyle w:val="Textoindependiente"/>
        <w:spacing w:before="153" w:line="372" w:lineRule="auto"/>
        <w:ind w:left="4079" w:right="2257" w:hanging="792"/>
      </w:pPr>
      <w:r>
        <w:pict>
          <v:group id="_x0000_s1026" style="position:absolute;left:0;text-align:left;margin-left:213.7pt;margin-top:39.8pt;width:150.7pt;height:97pt;z-index:-251657216;mso-position-horizontal-relative:page" coordorigin="4274,796" coordsize="3014,1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74;top:795;width:3014;height:19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74;top:795;width:3014;height:1940" filled="f" stroked="f">
              <v:textbox inset="0,0,0,0">
                <w:txbxContent>
                  <w:p w:rsidR="001F590B" w:rsidRDefault="001F590B">
                    <w:pPr>
                      <w:rPr>
                        <w:sz w:val="26"/>
                      </w:rPr>
                    </w:pPr>
                  </w:p>
                  <w:p w:rsidR="001F590B" w:rsidRDefault="001F590B">
                    <w:pPr>
                      <w:rPr>
                        <w:sz w:val="26"/>
                      </w:rPr>
                    </w:pPr>
                  </w:p>
                  <w:p w:rsidR="001F590B" w:rsidRDefault="001F590B">
                    <w:pPr>
                      <w:rPr>
                        <w:sz w:val="26"/>
                      </w:rPr>
                    </w:pPr>
                  </w:p>
                  <w:p w:rsidR="001F590B" w:rsidRDefault="001F590B">
                    <w:pPr>
                      <w:rPr>
                        <w:sz w:val="26"/>
                      </w:rPr>
                    </w:pPr>
                  </w:p>
                  <w:p w:rsidR="001F590B" w:rsidRDefault="001F590B">
                    <w:pPr>
                      <w:spacing w:before="6"/>
                      <w:rPr>
                        <w:sz w:val="27"/>
                      </w:rPr>
                    </w:pPr>
                  </w:p>
                  <w:p w:rsidR="001F590B" w:rsidRDefault="008425D7">
                    <w:pPr>
                      <w:ind w:left="791"/>
                      <w:rPr>
                        <w:sz w:val="24"/>
                      </w:rPr>
                    </w:pPr>
                    <w:r>
                      <w:rPr>
                        <w:color w:val="151515"/>
                        <w:sz w:val="24"/>
                      </w:rPr>
                      <w:t xml:space="preserve">Unai </w:t>
                    </w:r>
                    <w:r>
                      <w:rPr>
                        <w:sz w:val="24"/>
                      </w:rPr>
                      <w:t>Hualde Iglesias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11111"/>
        </w:rPr>
        <w:t>Iruñean, 2020ko martxoaren 12an</w:t>
      </w:r>
      <w:r>
        <w:rPr>
          <w:color w:val="161616"/>
        </w:rPr>
        <w:t>. LEHENDAKARIA</w:t>
      </w:r>
    </w:p>
    <w:sectPr w:rsidR="001F590B">
      <w:pgSz w:w="11900" w:h="16840"/>
      <w:pgMar w:top="1600" w:right="14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FA9"/>
    <w:multiLevelType w:val="hybridMultilevel"/>
    <w:tmpl w:val="D910F902"/>
    <w:lvl w:ilvl="0" w:tplc="8BA0EE7C">
      <w:start w:val="1"/>
      <w:numFmt w:val="decimal"/>
      <w:lvlText w:val="%1."/>
      <w:lvlJc w:val="left"/>
      <w:pPr>
        <w:ind w:left="1386" w:hanging="351"/>
        <w:jc w:val="right"/>
      </w:pPr>
      <w:rPr>
        <w:rFonts w:hint="default"/>
        <w:w w:val="97"/>
        <w:lang w:val="es-ES" w:eastAsia="es-ES" w:bidi="es-ES"/>
      </w:rPr>
    </w:lvl>
    <w:lvl w:ilvl="1" w:tplc="A5B21DF0">
      <w:numFmt w:val="bullet"/>
      <w:lvlText w:val="•"/>
      <w:lvlJc w:val="left"/>
      <w:pPr>
        <w:ind w:left="2172" w:hanging="351"/>
      </w:pPr>
      <w:rPr>
        <w:rFonts w:hint="default"/>
        <w:lang w:val="es-ES" w:eastAsia="es-ES" w:bidi="es-ES"/>
      </w:rPr>
    </w:lvl>
    <w:lvl w:ilvl="2" w:tplc="03BEC7BA">
      <w:numFmt w:val="bullet"/>
      <w:lvlText w:val="•"/>
      <w:lvlJc w:val="left"/>
      <w:pPr>
        <w:ind w:left="2964" w:hanging="351"/>
      </w:pPr>
      <w:rPr>
        <w:rFonts w:hint="default"/>
        <w:lang w:val="es-ES" w:eastAsia="es-ES" w:bidi="es-ES"/>
      </w:rPr>
    </w:lvl>
    <w:lvl w:ilvl="3" w:tplc="CEB2F6CE">
      <w:numFmt w:val="bullet"/>
      <w:lvlText w:val="•"/>
      <w:lvlJc w:val="left"/>
      <w:pPr>
        <w:ind w:left="3756" w:hanging="351"/>
      </w:pPr>
      <w:rPr>
        <w:rFonts w:hint="default"/>
        <w:lang w:val="es-ES" w:eastAsia="es-ES" w:bidi="es-ES"/>
      </w:rPr>
    </w:lvl>
    <w:lvl w:ilvl="4" w:tplc="D2104370">
      <w:numFmt w:val="bullet"/>
      <w:lvlText w:val="•"/>
      <w:lvlJc w:val="left"/>
      <w:pPr>
        <w:ind w:left="4548" w:hanging="351"/>
      </w:pPr>
      <w:rPr>
        <w:rFonts w:hint="default"/>
        <w:lang w:val="es-ES" w:eastAsia="es-ES" w:bidi="es-ES"/>
      </w:rPr>
    </w:lvl>
    <w:lvl w:ilvl="5" w:tplc="926A6484">
      <w:numFmt w:val="bullet"/>
      <w:lvlText w:val="•"/>
      <w:lvlJc w:val="left"/>
      <w:pPr>
        <w:ind w:left="5340" w:hanging="351"/>
      </w:pPr>
      <w:rPr>
        <w:rFonts w:hint="default"/>
        <w:lang w:val="es-ES" w:eastAsia="es-ES" w:bidi="es-ES"/>
      </w:rPr>
    </w:lvl>
    <w:lvl w:ilvl="6" w:tplc="7AD4BC48">
      <w:numFmt w:val="bullet"/>
      <w:lvlText w:val="•"/>
      <w:lvlJc w:val="left"/>
      <w:pPr>
        <w:ind w:left="6132" w:hanging="351"/>
      </w:pPr>
      <w:rPr>
        <w:rFonts w:hint="default"/>
        <w:lang w:val="es-ES" w:eastAsia="es-ES" w:bidi="es-ES"/>
      </w:rPr>
    </w:lvl>
    <w:lvl w:ilvl="7" w:tplc="9A52A53E">
      <w:numFmt w:val="bullet"/>
      <w:lvlText w:val="•"/>
      <w:lvlJc w:val="left"/>
      <w:pPr>
        <w:ind w:left="6924" w:hanging="351"/>
      </w:pPr>
      <w:rPr>
        <w:rFonts w:hint="default"/>
        <w:lang w:val="es-ES" w:eastAsia="es-ES" w:bidi="es-ES"/>
      </w:rPr>
    </w:lvl>
    <w:lvl w:ilvl="8" w:tplc="B98A54E8">
      <w:numFmt w:val="bullet"/>
      <w:lvlText w:val="•"/>
      <w:lvlJc w:val="left"/>
      <w:pPr>
        <w:ind w:left="7716" w:hanging="351"/>
      </w:pPr>
      <w:rPr>
        <w:rFonts w:hint="default"/>
        <w:lang w:val="es-ES" w:eastAsia="es-ES" w:bidi="es-ES"/>
      </w:rPr>
    </w:lvl>
  </w:abstractNum>
  <w:abstractNum w:abstractNumId="1">
    <w:nsid w:val="5FA208A1"/>
    <w:multiLevelType w:val="hybridMultilevel"/>
    <w:tmpl w:val="626C3C4A"/>
    <w:lvl w:ilvl="0" w:tplc="498CF3B4">
      <w:numFmt w:val="bullet"/>
      <w:lvlText w:val="•"/>
      <w:lvlJc w:val="left"/>
      <w:pPr>
        <w:ind w:left="1736" w:hanging="361"/>
      </w:pPr>
      <w:rPr>
        <w:rFonts w:hint="default"/>
        <w:w w:val="97"/>
        <w:lang w:val="es-ES" w:eastAsia="es-ES" w:bidi="es-ES"/>
      </w:rPr>
    </w:lvl>
    <w:lvl w:ilvl="1" w:tplc="EE5025EE">
      <w:numFmt w:val="bullet"/>
      <w:lvlText w:val="•"/>
      <w:lvlJc w:val="left"/>
      <w:pPr>
        <w:ind w:left="2496" w:hanging="361"/>
      </w:pPr>
      <w:rPr>
        <w:rFonts w:hint="default"/>
        <w:lang w:val="es-ES" w:eastAsia="es-ES" w:bidi="es-ES"/>
      </w:rPr>
    </w:lvl>
    <w:lvl w:ilvl="2" w:tplc="A54037F8">
      <w:numFmt w:val="bullet"/>
      <w:lvlText w:val="•"/>
      <w:lvlJc w:val="left"/>
      <w:pPr>
        <w:ind w:left="3252" w:hanging="361"/>
      </w:pPr>
      <w:rPr>
        <w:rFonts w:hint="default"/>
        <w:lang w:val="es-ES" w:eastAsia="es-ES" w:bidi="es-ES"/>
      </w:rPr>
    </w:lvl>
    <w:lvl w:ilvl="3" w:tplc="82B61866">
      <w:numFmt w:val="bullet"/>
      <w:lvlText w:val="•"/>
      <w:lvlJc w:val="left"/>
      <w:pPr>
        <w:ind w:left="4008" w:hanging="361"/>
      </w:pPr>
      <w:rPr>
        <w:rFonts w:hint="default"/>
        <w:lang w:val="es-ES" w:eastAsia="es-ES" w:bidi="es-ES"/>
      </w:rPr>
    </w:lvl>
    <w:lvl w:ilvl="4" w:tplc="62E0A824">
      <w:numFmt w:val="bullet"/>
      <w:lvlText w:val="•"/>
      <w:lvlJc w:val="left"/>
      <w:pPr>
        <w:ind w:left="4764" w:hanging="361"/>
      </w:pPr>
      <w:rPr>
        <w:rFonts w:hint="default"/>
        <w:lang w:val="es-ES" w:eastAsia="es-ES" w:bidi="es-ES"/>
      </w:rPr>
    </w:lvl>
    <w:lvl w:ilvl="5" w:tplc="0B0296E2">
      <w:numFmt w:val="bullet"/>
      <w:lvlText w:val="•"/>
      <w:lvlJc w:val="left"/>
      <w:pPr>
        <w:ind w:left="5520" w:hanging="361"/>
      </w:pPr>
      <w:rPr>
        <w:rFonts w:hint="default"/>
        <w:lang w:val="es-ES" w:eastAsia="es-ES" w:bidi="es-ES"/>
      </w:rPr>
    </w:lvl>
    <w:lvl w:ilvl="6" w:tplc="FE7A10BC">
      <w:numFmt w:val="bullet"/>
      <w:lvlText w:val="•"/>
      <w:lvlJc w:val="left"/>
      <w:pPr>
        <w:ind w:left="6276" w:hanging="361"/>
      </w:pPr>
      <w:rPr>
        <w:rFonts w:hint="default"/>
        <w:lang w:val="es-ES" w:eastAsia="es-ES" w:bidi="es-ES"/>
      </w:rPr>
    </w:lvl>
    <w:lvl w:ilvl="7" w:tplc="71D8DE0A">
      <w:numFmt w:val="bullet"/>
      <w:lvlText w:val="•"/>
      <w:lvlJc w:val="left"/>
      <w:pPr>
        <w:ind w:left="7032" w:hanging="361"/>
      </w:pPr>
      <w:rPr>
        <w:rFonts w:hint="default"/>
        <w:lang w:val="es-ES" w:eastAsia="es-ES" w:bidi="es-ES"/>
      </w:rPr>
    </w:lvl>
    <w:lvl w:ilvl="8" w:tplc="DDBAC6FC">
      <w:numFmt w:val="bullet"/>
      <w:lvlText w:val="•"/>
      <w:lvlJc w:val="left"/>
      <w:pPr>
        <w:ind w:left="7788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F590B"/>
    <w:rsid w:val="001F590B"/>
    <w:rsid w:val="008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11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42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5D7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2911</Characters>
  <Application>Microsoft Office Word</Application>
  <DocSecurity>0</DocSecurity>
  <Lines>47</Lines>
  <Paragraphs>11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2020-03-13T08:12:00Z</dcterms:created>
  <dcterms:modified xsi:type="dcterms:W3CDTF">2020-03-13T09:12:00Z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CLX-6260 Series</vt:lpwstr>
  </property>
  <property fmtid="{D5CDD505-2E9C-101B-9397-08002B2CF9AE}" pid="4" name="LastSaved">
    <vt:filetime>2020-03-12T00:00:00Z</vt:filetime>
  </property>
</Properties>
</file>