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0C" w:rsidRPr="003860DD" w:rsidRDefault="0006150C" w:rsidP="00CA544A">
      <w:pPr>
        <w:spacing w:after="120" w:line="360" w:lineRule="auto"/>
        <w:jc w:val="both"/>
        <w:rPr>
          <w:rFonts w:ascii="Arial" w:hAnsi="Arial" w:cs="Arial"/>
        </w:rPr>
      </w:pPr>
      <w:r w:rsidRPr="009968A3">
        <w:rPr>
          <w:rFonts w:ascii="Arial" w:hAnsi="Arial" w:cs="Arial"/>
        </w:rPr>
        <w:t xml:space="preserve">El </w:t>
      </w:r>
      <w:r w:rsidR="00F15BE5" w:rsidRPr="009968A3">
        <w:rPr>
          <w:rFonts w:ascii="Arial" w:hAnsi="Arial" w:cs="Arial"/>
        </w:rPr>
        <w:t>Consejero</w:t>
      </w:r>
      <w:r w:rsidRPr="009968A3">
        <w:rPr>
          <w:rFonts w:ascii="Arial" w:hAnsi="Arial" w:cs="Arial"/>
        </w:rPr>
        <w:t xml:space="preserve"> de Derechos Sociales </w:t>
      </w:r>
      <w:r w:rsidR="00865890" w:rsidRPr="009968A3">
        <w:rPr>
          <w:rFonts w:ascii="Arial" w:hAnsi="Arial" w:cs="Arial"/>
        </w:rPr>
        <w:t>del Gobierno de Navarra</w:t>
      </w:r>
      <w:r w:rsidRPr="009968A3">
        <w:rPr>
          <w:rFonts w:ascii="Arial" w:hAnsi="Arial" w:cs="Arial"/>
        </w:rPr>
        <w:t xml:space="preserve">, en relación </w:t>
      </w:r>
      <w:r w:rsidR="00B67C4B" w:rsidRPr="009968A3">
        <w:rPr>
          <w:rFonts w:ascii="Arial" w:hAnsi="Arial" w:cs="Arial"/>
        </w:rPr>
        <w:t>con</w:t>
      </w:r>
      <w:r w:rsidRPr="009968A3">
        <w:rPr>
          <w:rFonts w:ascii="Arial" w:hAnsi="Arial" w:cs="Arial"/>
        </w:rPr>
        <w:t xml:space="preserve"> la </w:t>
      </w:r>
      <w:r w:rsidR="007749E1" w:rsidRPr="009968A3">
        <w:rPr>
          <w:rFonts w:ascii="Arial" w:hAnsi="Arial" w:cs="Arial"/>
        </w:rPr>
        <w:t>pregunta</w:t>
      </w:r>
      <w:r w:rsidRPr="009968A3">
        <w:rPr>
          <w:rFonts w:ascii="Arial" w:hAnsi="Arial" w:cs="Arial"/>
        </w:rPr>
        <w:t xml:space="preserve"> </w:t>
      </w:r>
      <w:r w:rsidR="00865890" w:rsidRPr="009968A3">
        <w:rPr>
          <w:rFonts w:ascii="Arial" w:hAnsi="Arial" w:cs="Arial"/>
        </w:rPr>
        <w:t>formulada</w:t>
      </w:r>
      <w:r w:rsidRPr="009968A3">
        <w:rPr>
          <w:rFonts w:ascii="Arial" w:hAnsi="Arial" w:cs="Arial"/>
        </w:rPr>
        <w:t xml:space="preserve"> por </w:t>
      </w:r>
      <w:r w:rsidR="00EA2D5B" w:rsidRPr="009968A3">
        <w:rPr>
          <w:rFonts w:ascii="Arial" w:hAnsi="Arial" w:cs="Arial"/>
        </w:rPr>
        <w:t>la</w:t>
      </w:r>
      <w:r w:rsidR="003860DD" w:rsidRPr="009968A3">
        <w:rPr>
          <w:rFonts w:ascii="Arial" w:hAnsi="Arial" w:cs="Arial"/>
        </w:rPr>
        <w:t xml:space="preserve"> parlamentari</w:t>
      </w:r>
      <w:r w:rsidR="00EA2D5B" w:rsidRPr="009968A3">
        <w:rPr>
          <w:rFonts w:ascii="Arial" w:hAnsi="Arial" w:cs="Arial"/>
        </w:rPr>
        <w:t>a</w:t>
      </w:r>
      <w:r w:rsidR="00B67C4B" w:rsidRPr="009968A3">
        <w:rPr>
          <w:rFonts w:ascii="Arial" w:hAnsi="Arial" w:cs="Arial"/>
        </w:rPr>
        <w:t xml:space="preserve"> d</w:t>
      </w:r>
      <w:r w:rsidR="00EC31C9" w:rsidRPr="009968A3">
        <w:rPr>
          <w:rFonts w:ascii="Arial" w:hAnsi="Arial" w:cs="Arial"/>
        </w:rPr>
        <w:t>o</w:t>
      </w:r>
      <w:r w:rsidR="00EA2D5B" w:rsidRPr="009968A3">
        <w:rPr>
          <w:rFonts w:ascii="Arial" w:hAnsi="Arial" w:cs="Arial"/>
        </w:rPr>
        <w:t>ña</w:t>
      </w:r>
      <w:r w:rsidRPr="009968A3">
        <w:rPr>
          <w:rFonts w:ascii="Arial" w:hAnsi="Arial" w:cs="Arial"/>
        </w:rPr>
        <w:t xml:space="preserve"> </w:t>
      </w:r>
      <w:r w:rsidR="009968A3" w:rsidRPr="009968A3">
        <w:rPr>
          <w:rFonts w:ascii="Arial" w:hAnsi="Arial" w:cs="Arial"/>
        </w:rPr>
        <w:t>María Carmen Segura Moreno</w:t>
      </w:r>
      <w:r w:rsidRPr="009968A3">
        <w:rPr>
          <w:rFonts w:ascii="Arial" w:hAnsi="Arial" w:cs="Arial"/>
        </w:rPr>
        <w:t>, adscrit</w:t>
      </w:r>
      <w:r w:rsidR="00EA2D5B" w:rsidRPr="009968A3">
        <w:rPr>
          <w:rFonts w:ascii="Arial" w:hAnsi="Arial" w:cs="Arial"/>
        </w:rPr>
        <w:t>a</w:t>
      </w:r>
      <w:r w:rsidRPr="009968A3">
        <w:rPr>
          <w:rFonts w:ascii="Arial" w:hAnsi="Arial" w:cs="Arial"/>
        </w:rPr>
        <w:t xml:space="preserve"> al Grupo </w:t>
      </w:r>
      <w:r w:rsidR="00B67C4B" w:rsidRPr="009968A3">
        <w:rPr>
          <w:rFonts w:ascii="Arial" w:hAnsi="Arial" w:cs="Arial"/>
        </w:rPr>
        <w:t>P</w:t>
      </w:r>
      <w:r w:rsidRPr="009968A3">
        <w:rPr>
          <w:rFonts w:ascii="Arial" w:hAnsi="Arial" w:cs="Arial"/>
        </w:rPr>
        <w:t xml:space="preserve">arlamentario </w:t>
      </w:r>
      <w:r w:rsidR="007704FF" w:rsidRPr="009968A3">
        <w:rPr>
          <w:rFonts w:ascii="Arial" w:hAnsi="Arial" w:cs="Arial"/>
        </w:rPr>
        <w:t>Unión del Pueblo Navarro</w:t>
      </w:r>
      <w:r w:rsidRPr="009968A3">
        <w:rPr>
          <w:rFonts w:ascii="Arial" w:hAnsi="Arial" w:cs="Arial"/>
        </w:rPr>
        <w:t xml:space="preserve">, </w:t>
      </w:r>
      <w:r w:rsidR="009968A3" w:rsidRPr="009968A3">
        <w:rPr>
          <w:rFonts w:ascii="Arial" w:hAnsi="Arial" w:cs="Arial"/>
        </w:rPr>
        <w:t>sobre el incremento de tarifas en 2015, 2016, 2017 y enero de 2018 para los usuarios de las residencias geriátricas</w:t>
      </w:r>
      <w:r w:rsidR="003860DD" w:rsidRPr="009968A3">
        <w:rPr>
          <w:rFonts w:ascii="Arial" w:hAnsi="Arial" w:cs="Arial"/>
        </w:rPr>
        <w:t xml:space="preserve"> </w:t>
      </w:r>
      <w:r w:rsidR="00B6563A" w:rsidRPr="009968A3">
        <w:rPr>
          <w:rFonts w:ascii="Arial" w:hAnsi="Arial" w:cs="Arial"/>
        </w:rPr>
        <w:t>(9-18</w:t>
      </w:r>
      <w:r w:rsidR="00BF65B2" w:rsidRPr="009968A3">
        <w:rPr>
          <w:rFonts w:ascii="Arial" w:hAnsi="Arial" w:cs="Arial"/>
        </w:rPr>
        <w:t>/PE</w:t>
      </w:r>
      <w:r w:rsidR="007749E1" w:rsidRPr="009968A3">
        <w:rPr>
          <w:rFonts w:ascii="Arial" w:hAnsi="Arial" w:cs="Arial"/>
        </w:rPr>
        <w:t>S</w:t>
      </w:r>
      <w:r w:rsidR="00BF65B2" w:rsidRPr="009968A3">
        <w:rPr>
          <w:rFonts w:ascii="Arial" w:hAnsi="Arial" w:cs="Arial"/>
        </w:rPr>
        <w:t>-00</w:t>
      </w:r>
      <w:r w:rsidR="00F53E64" w:rsidRPr="009968A3">
        <w:rPr>
          <w:rFonts w:ascii="Arial" w:hAnsi="Arial" w:cs="Arial"/>
        </w:rPr>
        <w:t>146</w:t>
      </w:r>
      <w:r w:rsidR="00865890" w:rsidRPr="009968A3">
        <w:rPr>
          <w:rFonts w:ascii="Arial" w:hAnsi="Arial" w:cs="Arial"/>
        </w:rPr>
        <w:t>)</w:t>
      </w:r>
      <w:r w:rsidRPr="009968A3">
        <w:rPr>
          <w:rFonts w:ascii="Arial" w:hAnsi="Arial" w:cs="Arial"/>
        </w:rPr>
        <w:t xml:space="preserve">, </w:t>
      </w:r>
      <w:r w:rsidR="00F3516B" w:rsidRPr="009968A3">
        <w:rPr>
          <w:rFonts w:ascii="Arial" w:hAnsi="Arial" w:cs="Arial"/>
        </w:rPr>
        <w:t xml:space="preserve">tiene el honor </w:t>
      </w:r>
      <w:r w:rsidR="00FB7948" w:rsidRPr="009968A3">
        <w:rPr>
          <w:rFonts w:ascii="Arial" w:hAnsi="Arial" w:cs="Arial"/>
        </w:rPr>
        <w:t>de</w:t>
      </w:r>
      <w:r w:rsidR="00D2483A" w:rsidRPr="009968A3">
        <w:rPr>
          <w:rFonts w:ascii="Arial" w:hAnsi="Arial" w:cs="Arial"/>
        </w:rPr>
        <w:t xml:space="preserve"> </w:t>
      </w:r>
      <w:r w:rsidR="00F3516B" w:rsidRPr="009968A3">
        <w:rPr>
          <w:rFonts w:ascii="Arial" w:hAnsi="Arial" w:cs="Arial"/>
        </w:rPr>
        <w:t>informarle lo siguiente</w:t>
      </w:r>
      <w:r w:rsidR="00EC3319" w:rsidRPr="009968A3">
        <w:rPr>
          <w:rFonts w:ascii="Arial" w:hAnsi="Arial" w:cs="Arial"/>
        </w:rPr>
        <w:t>:</w:t>
      </w:r>
    </w:p>
    <w:p w:rsidR="00F80F94" w:rsidRDefault="00F80F94" w:rsidP="00CA544A">
      <w:pPr>
        <w:spacing w:after="120" w:line="360" w:lineRule="auto"/>
        <w:jc w:val="both"/>
        <w:rPr>
          <w:rFonts w:ascii="Arial" w:hAnsi="Arial" w:cs="Arial"/>
        </w:rPr>
      </w:pPr>
      <w:r>
        <w:rPr>
          <w:rFonts w:ascii="Arial" w:hAnsi="Arial" w:cs="Arial"/>
        </w:rPr>
        <w:t>La citada parlamentaria realiza la siguiente pregunta:</w:t>
      </w:r>
    </w:p>
    <w:p w:rsidR="00F53E64" w:rsidRPr="009968A3" w:rsidRDefault="00F53E64" w:rsidP="00F53E64">
      <w:pPr>
        <w:spacing w:after="120" w:line="360" w:lineRule="auto"/>
        <w:jc w:val="both"/>
        <w:rPr>
          <w:rFonts w:ascii="Arial" w:hAnsi="Arial" w:cs="Arial"/>
          <w:i/>
          <w:lang w:val="es-ES_tradnl"/>
        </w:rPr>
      </w:pPr>
      <w:r w:rsidRPr="009968A3">
        <w:rPr>
          <w:rFonts w:ascii="Arial" w:hAnsi="Arial" w:cs="Arial"/>
          <w:i/>
          <w:lang w:val="es-ES_tradnl"/>
        </w:rPr>
        <w:t xml:space="preserve">¿Cuánto ha supuesto el incremento global para todos los usuarios ese cambio de tarifas en 2015, 2016, 2017 y de enero de </w:t>
      </w:r>
      <w:smartTag w:uri="urn:schemas-microsoft-com:office:smarttags" w:element="metricconverter">
        <w:smartTagPr>
          <w:attr w:name="ProductID" w:val="2018 a"/>
        </w:smartTagPr>
        <w:r w:rsidRPr="009968A3">
          <w:rPr>
            <w:rFonts w:ascii="Arial" w:hAnsi="Arial" w:cs="Arial"/>
            <w:i/>
            <w:lang w:val="es-ES_tradnl"/>
          </w:rPr>
          <w:t>2018 a</w:t>
        </w:r>
      </w:smartTag>
      <w:r w:rsidRPr="009968A3">
        <w:rPr>
          <w:rFonts w:ascii="Arial" w:hAnsi="Arial" w:cs="Arial"/>
          <w:i/>
          <w:lang w:val="es-ES_tradnl"/>
        </w:rPr>
        <w:t xml:space="preserve"> la fecha de la respuesta?</w:t>
      </w:r>
    </w:p>
    <w:p w:rsidR="00F53E64" w:rsidRPr="00F53E64" w:rsidRDefault="00F53E64" w:rsidP="002C19AD">
      <w:pPr>
        <w:numPr>
          <w:ilvl w:val="0"/>
          <w:numId w:val="9"/>
        </w:numPr>
        <w:tabs>
          <w:tab w:val="left" w:pos="426"/>
        </w:tabs>
        <w:spacing w:after="120" w:line="360" w:lineRule="auto"/>
        <w:ind w:left="426" w:hanging="284"/>
        <w:jc w:val="both"/>
        <w:rPr>
          <w:rFonts w:ascii="Arial" w:hAnsi="Arial" w:cs="Arial"/>
          <w:b/>
          <w:lang w:val="es-ES_tradnl"/>
        </w:rPr>
      </w:pPr>
      <w:r w:rsidRPr="00F53E64">
        <w:rPr>
          <w:rFonts w:ascii="Arial" w:hAnsi="Arial" w:cs="Arial"/>
          <w:lang w:val="es-ES_tradnl"/>
        </w:rPr>
        <w:t>La transformación del modelo de c</w:t>
      </w:r>
      <w:r w:rsidR="002C19AD">
        <w:rPr>
          <w:rFonts w:ascii="Arial" w:hAnsi="Arial" w:cs="Arial"/>
          <w:lang w:val="es-ES_tradnl"/>
        </w:rPr>
        <w:t xml:space="preserve">oncertación (paso de CONCERDEP </w:t>
      </w:r>
      <w:r w:rsidRPr="00F53E64">
        <w:rPr>
          <w:rFonts w:ascii="Arial" w:hAnsi="Arial" w:cs="Arial"/>
          <w:lang w:val="es-ES_tradnl"/>
        </w:rPr>
        <w:t>a RESIDEN), provocó que queda</w:t>
      </w:r>
      <w:r w:rsidR="002C19AD">
        <w:rPr>
          <w:rFonts w:ascii="Arial" w:hAnsi="Arial" w:cs="Arial"/>
          <w:lang w:val="es-ES_tradnl"/>
        </w:rPr>
        <w:t xml:space="preserve">ra sin efecto la condición que </w:t>
      </w:r>
      <w:r w:rsidRPr="00F53E64">
        <w:rPr>
          <w:rFonts w:ascii="Arial" w:hAnsi="Arial" w:cs="Arial"/>
          <w:lang w:val="es-ES_tradnl"/>
        </w:rPr>
        <w:t xml:space="preserve">justificaba la existencia de “tarifa baja” en algunos centros, ya que, para todos los centros, el módulo de concierto fue superior a la tarifa pública. Afectó a 97 usuarios de 8 centros diferentes, que sufrieron un incremento medio de 370€/mes en su tarifa. </w:t>
      </w:r>
    </w:p>
    <w:p w:rsidR="00F53E64" w:rsidRPr="00F53E64" w:rsidRDefault="00F53E64" w:rsidP="002C19AD">
      <w:pPr>
        <w:spacing w:after="120" w:line="360" w:lineRule="auto"/>
        <w:ind w:left="426"/>
        <w:jc w:val="both"/>
        <w:rPr>
          <w:rFonts w:ascii="Arial" w:hAnsi="Arial" w:cs="Arial"/>
          <w:lang w:val="es-ES_tradnl"/>
        </w:rPr>
      </w:pPr>
      <w:r w:rsidRPr="00F53E64">
        <w:rPr>
          <w:rFonts w:ascii="Arial" w:hAnsi="Arial" w:cs="Arial"/>
          <w:lang w:val="es-ES_tradnl"/>
        </w:rPr>
        <w:t>El incremento de la cuantía que han asumido estos usuarios en estos años es:</w:t>
      </w:r>
    </w:p>
    <w:tbl>
      <w:tblPr>
        <w:tblW w:w="8079" w:type="dxa"/>
        <w:tblInd w:w="496" w:type="dxa"/>
        <w:tblLayout w:type="fixed"/>
        <w:tblCellMar>
          <w:left w:w="70" w:type="dxa"/>
          <w:right w:w="70" w:type="dxa"/>
        </w:tblCellMar>
        <w:tblLook w:val="00A0" w:firstRow="1" w:lastRow="0" w:firstColumn="1" w:lastColumn="0" w:noHBand="0" w:noVBand="0"/>
      </w:tblPr>
      <w:tblGrid>
        <w:gridCol w:w="2126"/>
        <w:gridCol w:w="1488"/>
        <w:gridCol w:w="1488"/>
        <w:gridCol w:w="1488"/>
        <w:gridCol w:w="1489"/>
      </w:tblGrid>
      <w:tr w:rsidR="00F80F94" w:rsidRPr="00EB07FC" w:rsidTr="00EB07FC">
        <w:trPr>
          <w:trHeight w:val="20"/>
        </w:trPr>
        <w:tc>
          <w:tcPr>
            <w:tcW w:w="2126" w:type="dxa"/>
            <w:shd w:val="clear" w:color="auto" w:fill="000000"/>
            <w:noWrap/>
            <w:vAlign w:val="center"/>
          </w:tcPr>
          <w:p w:rsidR="00F53E64" w:rsidRPr="00EB07FC" w:rsidRDefault="00F53E64" w:rsidP="00EB07FC">
            <w:pPr>
              <w:rPr>
                <w:rFonts w:asciiTheme="minorHAnsi" w:hAnsiTheme="minorHAnsi" w:cs="Arial"/>
                <w:color w:val="FFFFFF"/>
                <w:sz w:val="20"/>
                <w:szCs w:val="20"/>
              </w:rPr>
            </w:pPr>
          </w:p>
        </w:tc>
        <w:tc>
          <w:tcPr>
            <w:tcW w:w="1488" w:type="dxa"/>
            <w:shd w:val="clear" w:color="auto" w:fill="000000"/>
            <w:noWrap/>
            <w:vAlign w:val="center"/>
          </w:tcPr>
          <w:p w:rsidR="00F53E64" w:rsidRPr="00EB07FC" w:rsidRDefault="00F53E64" w:rsidP="00EB07FC">
            <w:pPr>
              <w:rPr>
                <w:rFonts w:asciiTheme="minorHAnsi" w:hAnsiTheme="minorHAnsi" w:cs="Arial"/>
                <w:b/>
                <w:bCs/>
                <w:color w:val="FFFFFF"/>
                <w:sz w:val="20"/>
                <w:szCs w:val="20"/>
              </w:rPr>
            </w:pPr>
            <w:r w:rsidRPr="00EB07FC">
              <w:rPr>
                <w:rFonts w:asciiTheme="minorHAnsi" w:hAnsiTheme="minorHAnsi" w:cs="Arial"/>
                <w:b/>
                <w:bCs/>
                <w:color w:val="FFFFFF"/>
                <w:sz w:val="20"/>
                <w:szCs w:val="20"/>
              </w:rPr>
              <w:t>2015</w:t>
            </w:r>
          </w:p>
        </w:tc>
        <w:tc>
          <w:tcPr>
            <w:tcW w:w="1488" w:type="dxa"/>
            <w:shd w:val="clear" w:color="auto" w:fill="000000"/>
            <w:noWrap/>
            <w:vAlign w:val="center"/>
          </w:tcPr>
          <w:p w:rsidR="00F53E64" w:rsidRPr="00EB07FC" w:rsidRDefault="00F53E64" w:rsidP="00EB07FC">
            <w:pPr>
              <w:rPr>
                <w:rFonts w:asciiTheme="minorHAnsi" w:hAnsiTheme="minorHAnsi" w:cs="Arial"/>
                <w:b/>
                <w:bCs/>
                <w:color w:val="FFFFFF"/>
                <w:sz w:val="20"/>
                <w:szCs w:val="20"/>
              </w:rPr>
            </w:pPr>
            <w:r w:rsidRPr="00EB07FC">
              <w:rPr>
                <w:rFonts w:asciiTheme="minorHAnsi" w:hAnsiTheme="minorHAnsi" w:cs="Arial"/>
                <w:b/>
                <w:bCs/>
                <w:color w:val="FFFFFF"/>
                <w:sz w:val="20"/>
                <w:szCs w:val="20"/>
              </w:rPr>
              <w:t>2016</w:t>
            </w:r>
          </w:p>
        </w:tc>
        <w:tc>
          <w:tcPr>
            <w:tcW w:w="1488" w:type="dxa"/>
            <w:shd w:val="clear" w:color="auto" w:fill="000000"/>
            <w:noWrap/>
            <w:vAlign w:val="center"/>
          </w:tcPr>
          <w:p w:rsidR="00F53E64" w:rsidRPr="00EB07FC" w:rsidRDefault="00F53E64" w:rsidP="00EB07FC">
            <w:pPr>
              <w:rPr>
                <w:rFonts w:asciiTheme="minorHAnsi" w:hAnsiTheme="minorHAnsi" w:cs="Arial"/>
                <w:b/>
                <w:bCs/>
                <w:color w:val="FFFFFF"/>
                <w:sz w:val="20"/>
                <w:szCs w:val="20"/>
              </w:rPr>
            </w:pPr>
            <w:r w:rsidRPr="00EB07FC">
              <w:rPr>
                <w:rFonts w:asciiTheme="minorHAnsi" w:hAnsiTheme="minorHAnsi" w:cs="Arial"/>
                <w:b/>
                <w:bCs/>
                <w:color w:val="FFFFFF"/>
                <w:sz w:val="20"/>
                <w:szCs w:val="20"/>
              </w:rPr>
              <w:t>2017</w:t>
            </w:r>
          </w:p>
        </w:tc>
        <w:tc>
          <w:tcPr>
            <w:tcW w:w="1489" w:type="dxa"/>
            <w:shd w:val="clear" w:color="auto" w:fill="000000"/>
            <w:noWrap/>
            <w:vAlign w:val="center"/>
          </w:tcPr>
          <w:p w:rsidR="00F53E64" w:rsidRPr="00EB07FC" w:rsidRDefault="00F53E64" w:rsidP="00EB07FC">
            <w:pPr>
              <w:rPr>
                <w:rFonts w:asciiTheme="minorHAnsi" w:hAnsiTheme="minorHAnsi" w:cs="Arial"/>
                <w:b/>
                <w:bCs/>
                <w:color w:val="FFFFFF"/>
                <w:sz w:val="20"/>
                <w:szCs w:val="20"/>
              </w:rPr>
            </w:pPr>
            <w:r w:rsidRPr="00EB07FC">
              <w:rPr>
                <w:rFonts w:asciiTheme="minorHAnsi" w:hAnsiTheme="minorHAnsi" w:cs="Arial"/>
                <w:b/>
                <w:bCs/>
                <w:color w:val="FFFFFF"/>
                <w:sz w:val="20"/>
                <w:szCs w:val="20"/>
              </w:rPr>
              <w:t>2018</w:t>
            </w:r>
          </w:p>
        </w:tc>
      </w:tr>
      <w:tr w:rsidR="00F53E64" w:rsidRPr="00EB07FC" w:rsidTr="00EB07FC">
        <w:trPr>
          <w:trHeight w:val="20"/>
        </w:trPr>
        <w:tc>
          <w:tcPr>
            <w:tcW w:w="2126" w:type="dxa"/>
            <w:noWrap/>
            <w:vAlign w:val="center"/>
          </w:tcPr>
          <w:p w:rsidR="00F53E64" w:rsidRPr="00EB07FC" w:rsidRDefault="00F53E64" w:rsidP="00EB07FC">
            <w:pPr>
              <w:rPr>
                <w:rFonts w:asciiTheme="minorHAnsi" w:hAnsiTheme="minorHAnsi" w:cs="Arial"/>
                <w:b/>
                <w:bCs/>
                <w:sz w:val="20"/>
                <w:szCs w:val="20"/>
              </w:rPr>
            </w:pPr>
            <w:r w:rsidRPr="00EB07FC">
              <w:rPr>
                <w:rFonts w:asciiTheme="minorHAnsi" w:hAnsiTheme="minorHAnsi" w:cs="Arial"/>
                <w:b/>
                <w:bCs/>
                <w:sz w:val="20"/>
                <w:szCs w:val="20"/>
              </w:rPr>
              <w:t>Nº personas</w:t>
            </w:r>
          </w:p>
        </w:tc>
        <w:tc>
          <w:tcPr>
            <w:tcW w:w="1488" w:type="dxa"/>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97</w:t>
            </w:r>
          </w:p>
        </w:tc>
        <w:tc>
          <w:tcPr>
            <w:tcW w:w="1488" w:type="dxa"/>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96</w:t>
            </w:r>
          </w:p>
        </w:tc>
        <w:tc>
          <w:tcPr>
            <w:tcW w:w="1488" w:type="dxa"/>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71</w:t>
            </w:r>
          </w:p>
        </w:tc>
        <w:tc>
          <w:tcPr>
            <w:tcW w:w="1489" w:type="dxa"/>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52</w:t>
            </w:r>
          </w:p>
        </w:tc>
      </w:tr>
      <w:tr w:rsidR="00F53E64" w:rsidRPr="00EB07FC" w:rsidTr="00EB07FC">
        <w:trPr>
          <w:trHeight w:val="20"/>
        </w:trPr>
        <w:tc>
          <w:tcPr>
            <w:tcW w:w="2126" w:type="dxa"/>
            <w:tcBorders>
              <w:bottom w:val="single" w:sz="4" w:space="0" w:color="auto"/>
            </w:tcBorders>
            <w:noWrap/>
            <w:vAlign w:val="center"/>
          </w:tcPr>
          <w:p w:rsidR="00F53E64" w:rsidRPr="00EB07FC" w:rsidRDefault="00F53E64" w:rsidP="00EB07FC">
            <w:pPr>
              <w:rPr>
                <w:rFonts w:asciiTheme="minorHAnsi" w:hAnsiTheme="minorHAnsi" w:cs="Arial"/>
                <w:b/>
                <w:bCs/>
                <w:sz w:val="20"/>
                <w:szCs w:val="20"/>
              </w:rPr>
            </w:pPr>
            <w:r w:rsidRPr="00EB07FC">
              <w:rPr>
                <w:rFonts w:asciiTheme="minorHAnsi" w:hAnsiTheme="minorHAnsi" w:cs="Arial"/>
                <w:b/>
                <w:bCs/>
                <w:sz w:val="20"/>
                <w:szCs w:val="20"/>
              </w:rPr>
              <w:t>Cuantía total</w:t>
            </w:r>
          </w:p>
        </w:tc>
        <w:tc>
          <w:tcPr>
            <w:tcW w:w="1488" w:type="dxa"/>
            <w:tcBorders>
              <w:bottom w:val="single" w:sz="4" w:space="0" w:color="auto"/>
            </w:tcBorders>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470.878,66 €</w:t>
            </w:r>
          </w:p>
        </w:tc>
        <w:tc>
          <w:tcPr>
            <w:tcW w:w="1488" w:type="dxa"/>
            <w:tcBorders>
              <w:bottom w:val="single" w:sz="4" w:space="0" w:color="auto"/>
            </w:tcBorders>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603.862,92 €</w:t>
            </w:r>
          </w:p>
        </w:tc>
        <w:tc>
          <w:tcPr>
            <w:tcW w:w="1488" w:type="dxa"/>
            <w:tcBorders>
              <w:bottom w:val="single" w:sz="4" w:space="0" w:color="auto"/>
            </w:tcBorders>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483.917,34 €</w:t>
            </w:r>
          </w:p>
        </w:tc>
        <w:tc>
          <w:tcPr>
            <w:tcW w:w="1489" w:type="dxa"/>
            <w:tcBorders>
              <w:bottom w:val="single" w:sz="4" w:space="0" w:color="auto"/>
            </w:tcBorders>
            <w:noWrap/>
            <w:vAlign w:val="center"/>
          </w:tcPr>
          <w:p w:rsidR="00F53E64" w:rsidRPr="00EB07FC" w:rsidRDefault="00F53E64" w:rsidP="00EB07FC">
            <w:pPr>
              <w:rPr>
                <w:rFonts w:asciiTheme="minorHAnsi" w:hAnsiTheme="minorHAnsi" w:cs="Arial"/>
                <w:sz w:val="20"/>
                <w:szCs w:val="20"/>
              </w:rPr>
            </w:pPr>
            <w:r w:rsidRPr="00EB07FC">
              <w:rPr>
                <w:rFonts w:asciiTheme="minorHAnsi" w:hAnsiTheme="minorHAnsi" w:cs="Arial"/>
                <w:sz w:val="20"/>
                <w:szCs w:val="20"/>
              </w:rPr>
              <w:t>183.433,08 €</w:t>
            </w:r>
          </w:p>
        </w:tc>
      </w:tr>
    </w:tbl>
    <w:p w:rsidR="00F53E64" w:rsidRPr="00F53E64" w:rsidRDefault="00F53E64" w:rsidP="002C19AD">
      <w:pPr>
        <w:spacing w:line="360" w:lineRule="auto"/>
        <w:ind w:left="426"/>
        <w:jc w:val="both"/>
        <w:rPr>
          <w:rFonts w:ascii="Arial" w:hAnsi="Arial" w:cs="Arial"/>
          <w:b/>
          <w:lang w:val="es-ES_tradnl"/>
        </w:rPr>
      </w:pPr>
    </w:p>
    <w:p w:rsidR="00F53E64" w:rsidRPr="00F53E64" w:rsidRDefault="00F53E64" w:rsidP="002C19AD">
      <w:pPr>
        <w:spacing w:after="120" w:line="360" w:lineRule="auto"/>
        <w:ind w:left="426"/>
        <w:jc w:val="both"/>
        <w:rPr>
          <w:rFonts w:ascii="Arial" w:hAnsi="Arial" w:cs="Arial"/>
          <w:lang w:val="es-ES_tradnl"/>
        </w:rPr>
      </w:pPr>
      <w:r w:rsidRPr="00F53E64">
        <w:rPr>
          <w:rFonts w:ascii="Arial" w:hAnsi="Arial" w:cs="Arial"/>
          <w:lang w:val="es-ES_tradnl"/>
        </w:rPr>
        <w:t>Ese coste es</w:t>
      </w:r>
      <w:bookmarkStart w:id="0" w:name="_GoBack"/>
      <w:bookmarkEnd w:id="0"/>
      <w:r w:rsidRPr="00F53E64">
        <w:rPr>
          <w:rFonts w:ascii="Arial" w:hAnsi="Arial" w:cs="Arial"/>
          <w:lang w:val="es-ES_tradnl"/>
        </w:rPr>
        <w:t xml:space="preserve"> mayor en 2016 ya que esos 8 centros se incorporaron al nuevo modelo de concertación RESIDEN de forma progresiva a lo largo de </w:t>
      </w:r>
      <w:smartTag w:uri="urn:schemas-microsoft-com:office:smarttags" w:element="metricconverter">
        <w:smartTagPr>
          <w:attr w:name="ProductID" w:val="2015. A"/>
        </w:smartTagPr>
        <w:r w:rsidRPr="00F53E64">
          <w:rPr>
            <w:rFonts w:ascii="Arial" w:hAnsi="Arial" w:cs="Arial"/>
            <w:lang w:val="es-ES_tradnl"/>
          </w:rPr>
          <w:t>2015. A</w:t>
        </w:r>
      </w:smartTag>
      <w:r w:rsidRPr="00F53E64">
        <w:rPr>
          <w:rFonts w:ascii="Arial" w:hAnsi="Arial" w:cs="Arial"/>
          <w:lang w:val="es-ES_tradnl"/>
        </w:rPr>
        <w:t xml:space="preserve"> partir de 2017, el coste global se reduce por la pérdida de usuarios. </w:t>
      </w:r>
    </w:p>
    <w:p w:rsidR="00F53E64" w:rsidRPr="00F53E64" w:rsidRDefault="00F53E64" w:rsidP="002C19AD">
      <w:pPr>
        <w:numPr>
          <w:ilvl w:val="0"/>
          <w:numId w:val="9"/>
        </w:numPr>
        <w:tabs>
          <w:tab w:val="left" w:pos="426"/>
        </w:tabs>
        <w:spacing w:after="120" w:line="360" w:lineRule="auto"/>
        <w:ind w:left="426" w:hanging="284"/>
        <w:jc w:val="both"/>
        <w:rPr>
          <w:rFonts w:ascii="Arial" w:hAnsi="Arial" w:cs="Arial"/>
          <w:b/>
          <w:lang w:val="es-ES_tradnl"/>
        </w:rPr>
      </w:pPr>
      <w:r w:rsidRPr="00F53E64">
        <w:rPr>
          <w:rFonts w:ascii="Arial" w:hAnsi="Arial" w:cs="Arial"/>
          <w:lang w:val="es-ES_tradnl"/>
        </w:rPr>
        <w:t>Este modelo también perjudicó a las personas que, ocupando una plaza privada en centros cuyo precio privado era inferior al precio del concierto, recibían una prestación vinculada al servicio. Sin embargo, no podemos dar datos de los mismos porque no se guardó la identificación de las personas afectadas, lo que no nos permite recuperar la información.</w:t>
      </w:r>
    </w:p>
    <w:p w:rsidR="00F53E64" w:rsidRPr="00F53E64" w:rsidRDefault="00F53E64" w:rsidP="002C19AD">
      <w:pPr>
        <w:numPr>
          <w:ilvl w:val="0"/>
          <w:numId w:val="9"/>
        </w:numPr>
        <w:tabs>
          <w:tab w:val="left" w:pos="426"/>
        </w:tabs>
        <w:spacing w:after="120" w:line="360" w:lineRule="auto"/>
        <w:ind w:left="426" w:hanging="284"/>
        <w:jc w:val="both"/>
        <w:rPr>
          <w:rFonts w:ascii="Arial" w:hAnsi="Arial" w:cs="Arial"/>
          <w:b/>
          <w:lang w:val="es-ES_tradnl"/>
        </w:rPr>
      </w:pPr>
      <w:r w:rsidRPr="00F53E64">
        <w:rPr>
          <w:rFonts w:ascii="Arial" w:hAnsi="Arial" w:cs="Arial"/>
          <w:lang w:val="es-ES_tradnl"/>
        </w:rPr>
        <w:t>Tampoco se guardó la identificación de las personas que se vieron afectadas por el cambio de referencia que definía las “tarifas bajas”, cambio establecid</w:t>
      </w:r>
      <w:r w:rsidR="002C19AD">
        <w:rPr>
          <w:rFonts w:ascii="Arial" w:hAnsi="Arial" w:cs="Arial"/>
          <w:lang w:val="es-ES_tradnl"/>
        </w:rPr>
        <w:t>o en el Acuerdo del Consejo de G</w:t>
      </w:r>
      <w:r w:rsidRPr="00F53E64">
        <w:rPr>
          <w:rFonts w:ascii="Arial" w:hAnsi="Arial" w:cs="Arial"/>
          <w:lang w:val="es-ES_tradnl"/>
        </w:rPr>
        <w:t xml:space="preserve">obierno de la Agencia Navarra </w:t>
      </w:r>
      <w:r w:rsidRPr="00F53E64">
        <w:rPr>
          <w:rFonts w:ascii="Arial" w:hAnsi="Arial" w:cs="Arial"/>
          <w:lang w:val="es-ES_tradnl"/>
        </w:rPr>
        <w:lastRenderedPageBreak/>
        <w:t xml:space="preserve">para la Dependencia, de 17 de diciembre de 2013, publicado en el BON el 8 de enero de 2014. Esta modificación afectó a 244 personas. </w:t>
      </w:r>
    </w:p>
    <w:p w:rsidR="00F53E64" w:rsidRPr="00F53E64" w:rsidRDefault="00F53E64" w:rsidP="002C19AD">
      <w:pPr>
        <w:numPr>
          <w:ilvl w:val="0"/>
          <w:numId w:val="9"/>
        </w:numPr>
        <w:tabs>
          <w:tab w:val="left" w:pos="426"/>
        </w:tabs>
        <w:spacing w:after="120" w:line="360" w:lineRule="auto"/>
        <w:ind w:left="426" w:hanging="284"/>
        <w:jc w:val="both"/>
        <w:rPr>
          <w:rFonts w:ascii="Arial" w:hAnsi="Arial" w:cs="Arial"/>
          <w:b/>
          <w:lang w:val="es-ES_tradnl"/>
        </w:rPr>
      </w:pPr>
      <w:r w:rsidRPr="00F53E64">
        <w:rPr>
          <w:rFonts w:ascii="Arial" w:hAnsi="Arial" w:cs="Arial"/>
          <w:lang w:val="es-ES_tradnl"/>
        </w:rPr>
        <w:t xml:space="preserve">En 2015, con los expedientes activos, se calculó que el incremento global asumido por los usuarios afectados por estos cambios (modificación de tarifas y/o cambio de modelo de concertación) ascendía en </w:t>
      </w:r>
      <w:smartTag w:uri="urn:schemas-microsoft-com:office:smarttags" w:element="metricconverter">
        <w:smartTagPr>
          <w:attr w:name="ProductID" w:val="2014 a"/>
        </w:smartTagPr>
        <w:r w:rsidRPr="00F53E64">
          <w:rPr>
            <w:rFonts w:ascii="Arial" w:hAnsi="Arial" w:cs="Arial"/>
            <w:lang w:val="es-ES_tradnl"/>
          </w:rPr>
          <w:t>2014 a</w:t>
        </w:r>
      </w:smartTag>
      <w:r w:rsidRPr="00F53E64">
        <w:rPr>
          <w:rFonts w:ascii="Arial" w:hAnsi="Arial" w:cs="Arial"/>
          <w:lang w:val="es-ES_tradnl"/>
        </w:rPr>
        <w:t xml:space="preserve"> 1.323.626 € y el aumento estimado para 2015 era de 1.156.970 €. De estos, </w:t>
      </w:r>
      <w:r w:rsidRPr="00F53E64">
        <w:rPr>
          <w:rFonts w:ascii="Arial" w:hAnsi="Arial" w:cs="Arial"/>
        </w:rPr>
        <w:t>470.878,66 € corresponden a la desaparición de</w:t>
      </w:r>
      <w:r w:rsidR="002C19AD">
        <w:rPr>
          <w:rFonts w:ascii="Arial" w:hAnsi="Arial" w:cs="Arial"/>
        </w:rPr>
        <w:t xml:space="preserve"> la “tarifa baja” consecuencia </w:t>
      </w:r>
      <w:r w:rsidRPr="00F53E64">
        <w:rPr>
          <w:rFonts w:ascii="Arial" w:hAnsi="Arial" w:cs="Arial"/>
        </w:rPr>
        <w:t xml:space="preserve">del cambio de modelo de concertación. </w:t>
      </w:r>
    </w:p>
    <w:p w:rsidR="0006150C" w:rsidRPr="00C96585" w:rsidRDefault="0006150C" w:rsidP="00CA544A">
      <w:pPr>
        <w:spacing w:after="120" w:line="360" w:lineRule="auto"/>
        <w:jc w:val="both"/>
        <w:rPr>
          <w:rFonts w:ascii="Arial" w:hAnsi="Arial" w:cs="Arial"/>
        </w:rPr>
      </w:pPr>
      <w:r w:rsidRPr="00C96585">
        <w:rPr>
          <w:rFonts w:ascii="Arial" w:hAnsi="Arial" w:cs="Arial"/>
        </w:rPr>
        <w:t>Es cuanto tengo el honor de informar en cumplimiento del artículo 1</w:t>
      </w:r>
      <w:r w:rsidR="007517B2">
        <w:rPr>
          <w:rFonts w:ascii="Arial" w:hAnsi="Arial" w:cs="Arial"/>
        </w:rPr>
        <w:t>9</w:t>
      </w:r>
      <w:r w:rsidRPr="00C96585">
        <w:rPr>
          <w:rFonts w:ascii="Arial" w:hAnsi="Arial" w:cs="Arial"/>
        </w:rPr>
        <w:t>4 del Reglamento del Parlamento de Navarra.</w:t>
      </w:r>
    </w:p>
    <w:p w:rsidR="0006150C" w:rsidRPr="003860DD" w:rsidRDefault="0006150C" w:rsidP="00CA544A">
      <w:pPr>
        <w:spacing w:after="120" w:line="360" w:lineRule="auto"/>
        <w:jc w:val="both"/>
        <w:rPr>
          <w:rFonts w:ascii="Arial" w:hAnsi="Arial" w:cs="Arial"/>
          <w:sz w:val="10"/>
          <w:szCs w:val="10"/>
        </w:rPr>
      </w:pPr>
    </w:p>
    <w:p w:rsidR="0006150C" w:rsidRPr="00C96585" w:rsidRDefault="0006150C" w:rsidP="00CA544A">
      <w:pPr>
        <w:spacing w:after="120" w:line="360" w:lineRule="auto"/>
        <w:jc w:val="center"/>
        <w:outlineLvl w:val="0"/>
        <w:rPr>
          <w:rFonts w:ascii="Arial" w:hAnsi="Arial" w:cs="Arial"/>
        </w:rPr>
      </w:pPr>
      <w:r w:rsidRPr="00C96585">
        <w:rPr>
          <w:rFonts w:ascii="Arial" w:hAnsi="Arial" w:cs="Arial"/>
        </w:rPr>
        <w:t xml:space="preserve">Pamplona, </w:t>
      </w:r>
      <w:r w:rsidR="002C19AD">
        <w:rPr>
          <w:rFonts w:ascii="Arial" w:hAnsi="Arial" w:cs="Arial"/>
        </w:rPr>
        <w:t>27 de julio</w:t>
      </w:r>
      <w:r w:rsidR="00E20828">
        <w:rPr>
          <w:rFonts w:ascii="Arial" w:hAnsi="Arial" w:cs="Arial"/>
        </w:rPr>
        <w:t xml:space="preserve"> de 2018</w:t>
      </w:r>
    </w:p>
    <w:p w:rsidR="0006150C" w:rsidRDefault="00D45F8B" w:rsidP="007517B2">
      <w:pPr>
        <w:spacing w:after="120" w:line="360" w:lineRule="auto"/>
        <w:jc w:val="center"/>
      </w:pPr>
      <w:r>
        <w:rPr>
          <w:rFonts w:ascii="Arial" w:hAnsi="Arial" w:cs="Arial"/>
        </w:rPr>
        <w:t xml:space="preserve">El </w:t>
      </w:r>
      <w:r w:rsidR="00F15BE5">
        <w:rPr>
          <w:rFonts w:ascii="Arial" w:hAnsi="Arial" w:cs="Arial"/>
        </w:rPr>
        <w:t>Consejero</w:t>
      </w:r>
      <w:r>
        <w:rPr>
          <w:rFonts w:ascii="Arial" w:hAnsi="Arial" w:cs="Arial"/>
        </w:rPr>
        <w:t xml:space="preserve"> de Derechos Sociales</w:t>
      </w:r>
      <w:r w:rsidR="007517B2">
        <w:rPr>
          <w:rFonts w:ascii="Arial" w:hAnsi="Arial" w:cs="Arial"/>
        </w:rPr>
        <w:t xml:space="preserve">: </w:t>
      </w:r>
      <w:r>
        <w:rPr>
          <w:rFonts w:ascii="Arial" w:hAnsi="Arial" w:cs="Arial"/>
        </w:rPr>
        <w:t xml:space="preserve">Miguel </w:t>
      </w:r>
      <w:proofErr w:type="spellStart"/>
      <w:r>
        <w:rPr>
          <w:rFonts w:ascii="Arial" w:hAnsi="Arial" w:cs="Arial"/>
        </w:rPr>
        <w:t>Laparra</w:t>
      </w:r>
      <w:proofErr w:type="spellEnd"/>
      <w:r>
        <w:rPr>
          <w:rFonts w:ascii="Arial" w:hAnsi="Arial" w:cs="Arial"/>
        </w:rPr>
        <w:t xml:space="preserve"> Navarro</w:t>
      </w:r>
    </w:p>
    <w:sectPr w:rsidR="0006150C" w:rsidSect="003860DD">
      <w:headerReference w:type="even" r:id="rId8"/>
      <w:headerReference w:type="default" r:id="rId9"/>
      <w:footerReference w:type="even" r:id="rId10"/>
      <w:footerReference w:type="default" r:id="rId11"/>
      <w:headerReference w:type="first" r:id="rId12"/>
      <w:footerReference w:type="first" r:id="rId13"/>
      <w:pgSz w:w="11906" w:h="16838" w:code="9"/>
      <w:pgMar w:top="1588" w:right="1701" w:bottom="1079"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A4" w:rsidRDefault="00761DA4">
      <w:r>
        <w:separator/>
      </w:r>
    </w:p>
  </w:endnote>
  <w:endnote w:type="continuationSeparator" w:id="0">
    <w:p w:rsidR="00761DA4" w:rsidRDefault="0076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7517B2" w:rsidRDefault="003770D5" w:rsidP="007517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7517B2" w:rsidRDefault="003770D5" w:rsidP="007517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B2" w:rsidRDefault="007517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A4" w:rsidRDefault="00761DA4">
      <w:r>
        <w:separator/>
      </w:r>
    </w:p>
  </w:footnote>
  <w:footnote w:type="continuationSeparator" w:id="0">
    <w:p w:rsidR="00761DA4" w:rsidRDefault="0076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B2" w:rsidRDefault="007517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7517B2" w:rsidRDefault="003770D5" w:rsidP="007517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B2" w:rsidRDefault="007517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B8A"/>
    <w:multiLevelType w:val="hybridMultilevel"/>
    <w:tmpl w:val="51F6B20C"/>
    <w:lvl w:ilvl="0" w:tplc="C8EA4EFA">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09184D"/>
    <w:rsid w:val="001207D5"/>
    <w:rsid w:val="0015056C"/>
    <w:rsid w:val="0019679B"/>
    <w:rsid w:val="001D2F3E"/>
    <w:rsid w:val="00225C7D"/>
    <w:rsid w:val="00241092"/>
    <w:rsid w:val="00252442"/>
    <w:rsid w:val="002C19AD"/>
    <w:rsid w:val="00332E76"/>
    <w:rsid w:val="00360CD5"/>
    <w:rsid w:val="003770D5"/>
    <w:rsid w:val="003860DD"/>
    <w:rsid w:val="003926A4"/>
    <w:rsid w:val="00394EE0"/>
    <w:rsid w:val="003E7CAB"/>
    <w:rsid w:val="00462A9A"/>
    <w:rsid w:val="004D3ACF"/>
    <w:rsid w:val="0055627E"/>
    <w:rsid w:val="0056046D"/>
    <w:rsid w:val="0058384E"/>
    <w:rsid w:val="005D4333"/>
    <w:rsid w:val="005E5A1A"/>
    <w:rsid w:val="00625CDC"/>
    <w:rsid w:val="006345F0"/>
    <w:rsid w:val="00641778"/>
    <w:rsid w:val="00666A3F"/>
    <w:rsid w:val="007008C6"/>
    <w:rsid w:val="007130CC"/>
    <w:rsid w:val="0072343A"/>
    <w:rsid w:val="007477D1"/>
    <w:rsid w:val="007517B2"/>
    <w:rsid w:val="00761DA4"/>
    <w:rsid w:val="007704FF"/>
    <w:rsid w:val="0077073F"/>
    <w:rsid w:val="007749E1"/>
    <w:rsid w:val="007A7B54"/>
    <w:rsid w:val="007E0158"/>
    <w:rsid w:val="0080339F"/>
    <w:rsid w:val="008230A2"/>
    <w:rsid w:val="00832DA8"/>
    <w:rsid w:val="008442C4"/>
    <w:rsid w:val="00865890"/>
    <w:rsid w:val="008A7332"/>
    <w:rsid w:val="008F0A77"/>
    <w:rsid w:val="0092634A"/>
    <w:rsid w:val="00941F19"/>
    <w:rsid w:val="00970F18"/>
    <w:rsid w:val="00980A6E"/>
    <w:rsid w:val="009968A3"/>
    <w:rsid w:val="009A245D"/>
    <w:rsid w:val="009C1765"/>
    <w:rsid w:val="009D7AC7"/>
    <w:rsid w:val="00A90748"/>
    <w:rsid w:val="00AA3582"/>
    <w:rsid w:val="00AB306A"/>
    <w:rsid w:val="00B123A0"/>
    <w:rsid w:val="00B6563A"/>
    <w:rsid w:val="00B67C4B"/>
    <w:rsid w:val="00BF65B2"/>
    <w:rsid w:val="00C01B8F"/>
    <w:rsid w:val="00C517F4"/>
    <w:rsid w:val="00C703AD"/>
    <w:rsid w:val="00CA544A"/>
    <w:rsid w:val="00CB0E0F"/>
    <w:rsid w:val="00CB1CBC"/>
    <w:rsid w:val="00CC0679"/>
    <w:rsid w:val="00CD7DE9"/>
    <w:rsid w:val="00CE5F5F"/>
    <w:rsid w:val="00D16EAB"/>
    <w:rsid w:val="00D2483A"/>
    <w:rsid w:val="00D45F8B"/>
    <w:rsid w:val="00DC2615"/>
    <w:rsid w:val="00DD3F5C"/>
    <w:rsid w:val="00E023C6"/>
    <w:rsid w:val="00E179F4"/>
    <w:rsid w:val="00E20828"/>
    <w:rsid w:val="00E26C41"/>
    <w:rsid w:val="00E4466D"/>
    <w:rsid w:val="00E56279"/>
    <w:rsid w:val="00E6542D"/>
    <w:rsid w:val="00E7291A"/>
    <w:rsid w:val="00EA2D5B"/>
    <w:rsid w:val="00EB07FC"/>
    <w:rsid w:val="00EB1387"/>
    <w:rsid w:val="00EB5135"/>
    <w:rsid w:val="00EC31C9"/>
    <w:rsid w:val="00EC3319"/>
    <w:rsid w:val="00EC60D9"/>
    <w:rsid w:val="00ED55BF"/>
    <w:rsid w:val="00ED756F"/>
    <w:rsid w:val="00F009D6"/>
    <w:rsid w:val="00F15BE5"/>
    <w:rsid w:val="00F263F9"/>
    <w:rsid w:val="00F3516B"/>
    <w:rsid w:val="00F50854"/>
    <w:rsid w:val="00F53E64"/>
    <w:rsid w:val="00F80F94"/>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2244</Characters>
  <Application>Microsoft Office Word</Application>
  <DocSecurity>0</DocSecurity>
  <Lines>224</Lines>
  <Paragraphs>122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2018-09-10T10:36:00Z</dcterms:created>
  <dcterms:modified xsi:type="dcterms:W3CDTF">2018-09-10T10:59:00Z</dcterms:modified>
</cp:coreProperties>
</file>