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 un error en la Ley Foral 22/2020, de 29 de diciembre, de modificación de la Ley Foral de Haciendas Locales de Navarra, publicada en el Boletín Oficial del Parlamento de Navarra número 150 de 30 de diciembre de 2020, se procede a efectuar la oportuna rectificación: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artículo único, apartado catorce, donde dice: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“–Ciclomotores: 5,22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–Motocicletas hasta 125 cc: 5,26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–Motocicletas de más de 125 cc hasta 250 cc: 7,90”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“–Ciclomotores: 5,26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–Motocicletas hasta 125 cc: 7,90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–Motocicletas de más de 125 cc hasta 250 cc: 13,09”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