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Advertidos errores en la Ley Foral de modificación de diversos impuestos y otras medidas tributarias, publicada en el Boletín Oficial del Parlamento de Navarra número 162 de 28 de diciembre de 2018, se procede a efectuar la oportuna rectificación: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En el apartado veinticinco del artículo primero, donde dice: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“No será precisa tal liquidación cuando el importe de la devolución efectuada coincida con el solicitado por el sujeto pasivo en la correspondiente declaraciónliquidación o autoliquidación”.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Debe decir: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“No será precisa tal liquidación cuando el importe de la devolución efectuada coincida con el solicitado por el sujeto pasivo en la correspondiente declaración-liquidación o autoliquidación”.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En el artículo tercero, donde dice: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“Con efectos para los períodos impositivos que se inicien a partir del 1 de enero de 2019, excepto lo previsto en el apartado catorce, que tendrá efectos para los periodos impositivos que se inicien a partir del 1 de enero de 2018, los preceptos de la Ley Foral 26/2016, de 28 de diciembre, del Impuesto sobre Sociedades, que a continuación se relacionan quedarán redactados del siguiente modo:”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Debe decir: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“Con efectos para los períodos impositivos que se inicien a partir del 1 de enero de 2019, excepto lo previsto en el apartado quince, que tendrá efectos para los periodos impositivos que se inicien a partir del 1 de enero de 2018, los preceptos de la Ley Foral 26/2016, de 28 de diciembre, del Impuesto sobre Sociedades, que a continuación se relacionan quedarán redactados del siguiente modo:”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diciembre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