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D" w:rsidRPr="00350A7D" w:rsidRDefault="00654D84" w:rsidP="00D214A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 xml:space="preserve">En relación </w:t>
      </w:r>
      <w:r w:rsidR="00442FB4" w:rsidRPr="00350A7D">
        <w:rPr>
          <w:rFonts w:ascii="Arial" w:hAnsi="Arial" w:cs="Arial"/>
          <w:sz w:val="22"/>
          <w:szCs w:val="22"/>
        </w:rPr>
        <w:t>con la Pregunta Escrita (PES-00</w:t>
      </w:r>
      <w:r w:rsidR="001C1FF0" w:rsidRPr="00350A7D">
        <w:rPr>
          <w:rFonts w:ascii="Arial" w:hAnsi="Arial" w:cs="Arial"/>
          <w:sz w:val="22"/>
          <w:szCs w:val="22"/>
        </w:rPr>
        <w:t>253</w:t>
      </w:r>
      <w:r w:rsidRPr="00350A7D">
        <w:rPr>
          <w:rFonts w:ascii="Arial" w:hAnsi="Arial" w:cs="Arial"/>
          <w:sz w:val="22"/>
          <w:szCs w:val="22"/>
        </w:rPr>
        <w:t xml:space="preserve">) realizada por </w:t>
      </w:r>
      <w:r w:rsidR="00883682" w:rsidRPr="00350A7D">
        <w:rPr>
          <w:rFonts w:ascii="Arial" w:hAnsi="Arial" w:cs="Arial"/>
          <w:sz w:val="22"/>
          <w:szCs w:val="22"/>
        </w:rPr>
        <w:t>e</w:t>
      </w:r>
      <w:r w:rsidRPr="00350A7D">
        <w:rPr>
          <w:rFonts w:ascii="Arial" w:hAnsi="Arial" w:cs="Arial"/>
          <w:sz w:val="22"/>
          <w:szCs w:val="22"/>
        </w:rPr>
        <w:t>l Ilm</w:t>
      </w:r>
      <w:r w:rsidR="00883682" w:rsidRPr="00350A7D">
        <w:rPr>
          <w:rFonts w:ascii="Arial" w:hAnsi="Arial" w:cs="Arial"/>
          <w:sz w:val="22"/>
          <w:szCs w:val="22"/>
        </w:rPr>
        <w:t>o</w:t>
      </w:r>
      <w:r w:rsidRPr="00350A7D">
        <w:rPr>
          <w:rFonts w:ascii="Arial" w:hAnsi="Arial" w:cs="Arial"/>
          <w:sz w:val="22"/>
          <w:szCs w:val="22"/>
        </w:rPr>
        <w:t xml:space="preserve">. Sr. D. </w:t>
      </w:r>
      <w:r w:rsidR="00915F81" w:rsidRPr="00350A7D">
        <w:rPr>
          <w:rFonts w:ascii="Arial" w:hAnsi="Arial" w:cs="Arial"/>
          <w:sz w:val="22"/>
          <w:szCs w:val="22"/>
        </w:rPr>
        <w:t>A</w:t>
      </w:r>
      <w:r w:rsidR="001C1FF0" w:rsidRPr="00350A7D">
        <w:rPr>
          <w:rFonts w:ascii="Arial" w:hAnsi="Arial" w:cs="Arial"/>
          <w:sz w:val="22"/>
          <w:szCs w:val="22"/>
        </w:rPr>
        <w:t>dolfo Aráiz Flamarique</w:t>
      </w:r>
      <w:r w:rsidRPr="00350A7D">
        <w:rPr>
          <w:rFonts w:ascii="Arial" w:hAnsi="Arial" w:cs="Arial"/>
          <w:sz w:val="22"/>
          <w:szCs w:val="22"/>
        </w:rPr>
        <w:t xml:space="preserve">, Parlamentario Foral adscrito al Grupo Parlamentario de </w:t>
      </w:r>
      <w:r w:rsidR="001C1FF0" w:rsidRPr="00350A7D">
        <w:rPr>
          <w:rFonts w:ascii="Arial" w:hAnsi="Arial" w:cs="Arial"/>
          <w:sz w:val="22"/>
          <w:szCs w:val="22"/>
        </w:rPr>
        <w:t>EH Bildu Nafarroa</w:t>
      </w:r>
      <w:r w:rsidRPr="00350A7D">
        <w:rPr>
          <w:rFonts w:ascii="Arial" w:hAnsi="Arial" w:cs="Arial"/>
          <w:sz w:val="22"/>
          <w:szCs w:val="22"/>
        </w:rPr>
        <w:t>, en la que se solicita al Gobierno de Navarra la siguiente información: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¿Cuántas actas o expedientes de denuncia se formularon por la Policía Foral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al amparo de los apartados 1 y 3 del artículo 7 del Real Decreto 463/2020, de 14 de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marzo que dieron lugar a la incoación de procedimientos sancionadores?</w:t>
      </w:r>
    </w:p>
    <w:p w:rsidR="00350A7D" w:rsidRPr="00350A7D" w:rsidRDefault="00D9407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Según datos extraídos 3582.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¿En cuántas actas de denuncia incoadas con base a esos apartados del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artículo 7 del Real Decreto 463/2020, de 14 de marzo, a la fecha de dictarse por el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Tribunal Constitucional la sentencia 148/2021 no se había incoado todavía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procedimiento sancionador?</w:t>
      </w:r>
    </w:p>
    <w:p w:rsidR="00350A7D" w:rsidRPr="00350A7D" w:rsidRDefault="00D94070" w:rsidP="001C1F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En 969.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¿Cuántos de los procedimientos sancionadores incoados con base a los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apartados 1 y 3 del artículo 7 del Real Decreto 463/2020, de 14 de marzo fueron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declarados firmes en vía administrativa?</w:t>
      </w:r>
    </w:p>
    <w:p w:rsidR="00350A7D" w:rsidRPr="00350A7D" w:rsidRDefault="00D94070" w:rsidP="00D9407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Adquirieron firmeza 923.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¿En cuántos de ellos las personas afectadas procedieron al pago de la sanción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impuesta?</w:t>
      </w:r>
    </w:p>
    <w:p w:rsidR="00350A7D" w:rsidRPr="00350A7D" w:rsidRDefault="00350A7D" w:rsidP="001C1F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046FC" w:rsidRPr="00350A7D">
        <w:rPr>
          <w:rFonts w:ascii="Arial" w:hAnsi="Arial" w:cs="Arial"/>
          <w:sz w:val="22"/>
          <w:szCs w:val="22"/>
        </w:rPr>
        <w:t>ste departamento sólo tiene acceso a la información de expedientes finalizados por pronto pago que han sido 453.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¿Qué cuantía se ha recaudado por las sanciones impuestas en los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procedimientos sancionadores incoados por infracción de los apartados 1 y 3 del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artículo 7 del Real Decreto 463/2020, de 14 de marzo?</w:t>
      </w:r>
    </w:p>
    <w:p w:rsidR="00350A7D" w:rsidRPr="00350A7D" w:rsidRDefault="00C046FC" w:rsidP="00C046F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Este departamento sólo tiene una cantidad estimada por ingresos por pronto pago que ronda los 158.550 euros.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¿Tiene previsto el Departamento competente en la materia la adopción de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50A7D">
        <w:rPr>
          <w:rFonts w:ascii="Arial" w:hAnsi="Arial" w:cs="Arial"/>
          <w:b/>
          <w:sz w:val="22"/>
          <w:szCs w:val="22"/>
        </w:rPr>
        <w:t>alguna</w:t>
      </w:r>
      <w:proofErr w:type="gramEnd"/>
      <w:r w:rsidRPr="00350A7D">
        <w:rPr>
          <w:rFonts w:ascii="Arial" w:hAnsi="Arial" w:cs="Arial"/>
          <w:b/>
          <w:sz w:val="22"/>
          <w:szCs w:val="22"/>
        </w:rPr>
        <w:t xml:space="preserve"> resolución o acto administrativo de carácter general como consecuencia de lo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resuelto por el Tribunal Constitucional en la sentencia 148/2021?</w:t>
      </w:r>
    </w:p>
    <w:p w:rsidR="00350A7D" w:rsidRPr="00350A7D" w:rsidRDefault="00C046FC" w:rsidP="001C1F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El Departamento tiene un informe del Secretario General Técnico donde se analizan las repercusiones de la Sentencia del Tribunal Constitucional a la que usted hace referencia.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0A7D">
        <w:rPr>
          <w:rFonts w:ascii="Arial" w:hAnsi="Arial" w:cs="Arial"/>
          <w:b/>
          <w:sz w:val="22"/>
          <w:szCs w:val="22"/>
        </w:rPr>
        <w:t>¿Tiene previsto el Departamento competente en la materia, como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consecuencia de lo resuelto por el Tribunal Constitucional en la sentencia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148/2021, dejar de incoar procedimientos sancionadores en aquellas actas de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denuncia sobre las que no se hubiera hasta la fecha incoado dichos procedimientos?</w:t>
      </w:r>
    </w:p>
    <w:p w:rsidR="00350A7D" w:rsidRPr="00350A7D" w:rsidRDefault="00C046FC" w:rsidP="001C1F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Sí, de conformidad con las conclusiones emitidas en el informe antes citado.</w:t>
      </w:r>
    </w:p>
    <w:p w:rsidR="001C1FF0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50A7D">
        <w:rPr>
          <w:rFonts w:ascii="Arial" w:hAnsi="Arial" w:cs="Arial"/>
          <w:b/>
          <w:sz w:val="22"/>
          <w:szCs w:val="22"/>
        </w:rPr>
        <w:t>¿</w:t>
      </w:r>
      <w:proofErr w:type="gramEnd"/>
      <w:r w:rsidRPr="00350A7D">
        <w:rPr>
          <w:rFonts w:ascii="Arial" w:hAnsi="Arial" w:cs="Arial"/>
          <w:b/>
          <w:sz w:val="22"/>
          <w:szCs w:val="22"/>
        </w:rPr>
        <w:t>Tiene previsto el Departamento competente en la materia acordar la</w:t>
      </w:r>
    </w:p>
    <w:p w:rsidR="00350A7D" w:rsidRPr="00350A7D" w:rsidRDefault="001C1FF0" w:rsidP="001C1FF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50A7D">
        <w:rPr>
          <w:rFonts w:ascii="Arial" w:hAnsi="Arial" w:cs="Arial"/>
          <w:b/>
          <w:sz w:val="22"/>
          <w:szCs w:val="22"/>
        </w:rPr>
        <w:lastRenderedPageBreak/>
        <w:t>finalización</w:t>
      </w:r>
      <w:proofErr w:type="gramEnd"/>
      <w:r w:rsidRPr="00350A7D">
        <w:rPr>
          <w:rFonts w:ascii="Arial" w:hAnsi="Arial" w:cs="Arial"/>
          <w:b/>
          <w:sz w:val="22"/>
          <w:szCs w:val="22"/>
        </w:rPr>
        <w:t>, con archivo de las actuaciones, de los procedimientos administrativos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sancionadores en los que no haya recaído resolución sancionadora y, además, hayan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sido incoados con el único motivo de haber infringido los apartados 1 y/o 3 del</w:t>
      </w:r>
      <w:r w:rsidR="00D94070" w:rsidRPr="00350A7D">
        <w:rPr>
          <w:rFonts w:ascii="Arial" w:hAnsi="Arial" w:cs="Arial"/>
          <w:b/>
          <w:sz w:val="22"/>
          <w:szCs w:val="22"/>
        </w:rPr>
        <w:t xml:space="preserve"> </w:t>
      </w:r>
      <w:r w:rsidRPr="00350A7D">
        <w:rPr>
          <w:rFonts w:ascii="Arial" w:hAnsi="Arial" w:cs="Arial"/>
          <w:b/>
          <w:sz w:val="22"/>
          <w:szCs w:val="22"/>
        </w:rPr>
        <w:t>artículo 7 del Real Decreto 463/2020, de 14 de marzo?</w:t>
      </w:r>
    </w:p>
    <w:p w:rsidR="00350A7D" w:rsidRPr="00350A7D" w:rsidRDefault="00C046FC" w:rsidP="00C046FC">
      <w:pPr>
        <w:pStyle w:val="Default"/>
        <w:spacing w:line="360" w:lineRule="auto"/>
        <w:jc w:val="both"/>
        <w:rPr>
          <w:rFonts w:ascii="Arial" w:hAnsi="Arial" w:cs="Arial"/>
          <w:color w:val="1F497D"/>
        </w:rPr>
      </w:pPr>
      <w:r w:rsidRPr="00350A7D">
        <w:rPr>
          <w:rFonts w:ascii="Arial" w:hAnsi="Arial" w:cs="Arial"/>
          <w:sz w:val="22"/>
          <w:szCs w:val="22"/>
        </w:rPr>
        <w:t>Sí, de conformidad con las conclusiones emitidas en el informe antes citado.</w:t>
      </w:r>
      <w:r w:rsidRPr="00350A7D">
        <w:rPr>
          <w:rFonts w:ascii="Arial" w:hAnsi="Arial" w:cs="Arial"/>
          <w:color w:val="1F497D"/>
        </w:rPr>
        <w:t xml:space="preserve"> </w:t>
      </w:r>
    </w:p>
    <w:p w:rsidR="00350A7D" w:rsidRPr="00350A7D" w:rsidRDefault="00D94070" w:rsidP="00D9407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>Es cuanto tengo el honor de informar en cumplimiento de lo dispuesto en el artículo 194 del Reglamento del Parlamento de Navarra.</w:t>
      </w:r>
    </w:p>
    <w:p w:rsidR="00350A7D" w:rsidRPr="00350A7D" w:rsidRDefault="00654D84" w:rsidP="00654D84">
      <w:pPr>
        <w:ind w:left="-993"/>
        <w:jc w:val="center"/>
        <w:rPr>
          <w:rFonts w:ascii="Arial" w:hAnsi="Arial" w:cs="Arial"/>
        </w:rPr>
      </w:pPr>
      <w:r w:rsidRPr="00350A7D">
        <w:rPr>
          <w:rFonts w:ascii="Arial" w:hAnsi="Arial" w:cs="Arial"/>
        </w:rPr>
        <w:t>Pamplona-</w:t>
      </w:r>
      <w:proofErr w:type="spellStart"/>
      <w:r w:rsidRPr="00350A7D">
        <w:rPr>
          <w:rFonts w:ascii="Arial" w:hAnsi="Arial" w:cs="Arial"/>
        </w:rPr>
        <w:t>Iruñea</w:t>
      </w:r>
      <w:proofErr w:type="spellEnd"/>
      <w:r w:rsidRPr="00350A7D">
        <w:rPr>
          <w:rFonts w:ascii="Arial" w:hAnsi="Arial" w:cs="Arial"/>
        </w:rPr>
        <w:t xml:space="preserve">, </w:t>
      </w:r>
      <w:r w:rsidR="008C350E" w:rsidRPr="00350A7D">
        <w:rPr>
          <w:rFonts w:ascii="Arial" w:hAnsi="Arial" w:cs="Arial"/>
        </w:rPr>
        <w:t>2</w:t>
      </w:r>
      <w:r w:rsidR="00C046FC" w:rsidRPr="00350A7D">
        <w:rPr>
          <w:rFonts w:ascii="Arial" w:hAnsi="Arial" w:cs="Arial"/>
        </w:rPr>
        <w:t>7</w:t>
      </w:r>
      <w:r w:rsidRPr="00350A7D">
        <w:rPr>
          <w:rFonts w:ascii="Arial" w:hAnsi="Arial" w:cs="Arial"/>
        </w:rPr>
        <w:t xml:space="preserve"> d</w:t>
      </w:r>
      <w:bookmarkStart w:id="0" w:name="_GoBack"/>
      <w:bookmarkEnd w:id="0"/>
      <w:r w:rsidRPr="00350A7D">
        <w:rPr>
          <w:rFonts w:ascii="Arial" w:hAnsi="Arial" w:cs="Arial"/>
        </w:rPr>
        <w:t xml:space="preserve">e </w:t>
      </w:r>
      <w:r w:rsidR="001E0770" w:rsidRPr="00350A7D">
        <w:rPr>
          <w:rFonts w:ascii="Arial" w:hAnsi="Arial" w:cs="Arial"/>
        </w:rPr>
        <w:t xml:space="preserve">octubre </w:t>
      </w:r>
      <w:r w:rsidRPr="00350A7D">
        <w:rPr>
          <w:rFonts w:ascii="Arial" w:hAnsi="Arial" w:cs="Arial"/>
        </w:rPr>
        <w:t>de 2021</w:t>
      </w:r>
    </w:p>
    <w:p w:rsidR="00350A7D" w:rsidRPr="00350A7D" w:rsidRDefault="00350A7D" w:rsidP="00350A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A7D">
        <w:rPr>
          <w:rFonts w:ascii="Arial" w:hAnsi="Arial" w:cs="Arial"/>
          <w:sz w:val="22"/>
          <w:szCs w:val="22"/>
        </w:rPr>
        <w:t xml:space="preserve">El Consejero de Presidencia, Igualdad, Función Pública e </w:t>
      </w:r>
      <w:r>
        <w:rPr>
          <w:rFonts w:ascii="Arial" w:hAnsi="Arial" w:cs="Arial"/>
          <w:sz w:val="22"/>
          <w:szCs w:val="22"/>
        </w:rPr>
        <w:t xml:space="preserve">Interior: </w:t>
      </w:r>
      <w:r w:rsidR="00654D84" w:rsidRPr="00350A7D">
        <w:rPr>
          <w:rFonts w:ascii="Arial" w:hAnsi="Arial" w:cs="Arial"/>
          <w:sz w:val="22"/>
          <w:szCs w:val="22"/>
        </w:rPr>
        <w:t xml:space="preserve">Javier </w:t>
      </w:r>
      <w:proofErr w:type="spellStart"/>
      <w:r w:rsidR="00654D84" w:rsidRPr="00350A7D">
        <w:rPr>
          <w:rFonts w:ascii="Arial" w:hAnsi="Arial" w:cs="Arial"/>
          <w:sz w:val="22"/>
          <w:szCs w:val="22"/>
        </w:rPr>
        <w:t>Remírez</w:t>
      </w:r>
      <w:proofErr w:type="spellEnd"/>
      <w:r w:rsidR="00654D84" w:rsidRPr="00350A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D84" w:rsidRPr="00350A7D">
        <w:rPr>
          <w:rFonts w:ascii="Arial" w:hAnsi="Arial" w:cs="Arial"/>
          <w:sz w:val="22"/>
          <w:szCs w:val="22"/>
        </w:rPr>
        <w:t>Apesteguía</w:t>
      </w:r>
      <w:proofErr w:type="spellEnd"/>
    </w:p>
    <w:sectPr w:rsidR="00350A7D" w:rsidRPr="00350A7D" w:rsidSect="00655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3E" w:rsidRDefault="0044383E" w:rsidP="00654D84">
      <w:pPr>
        <w:spacing w:after="0" w:line="240" w:lineRule="auto"/>
      </w:pPr>
      <w:r>
        <w:separator/>
      </w:r>
    </w:p>
  </w:endnote>
  <w:endnote w:type="continuationSeparator" w:id="0">
    <w:p w:rsidR="0044383E" w:rsidRDefault="0044383E" w:rsidP="006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3E" w:rsidRDefault="0044383E" w:rsidP="00654D84">
      <w:pPr>
        <w:spacing w:after="0" w:line="240" w:lineRule="auto"/>
      </w:pPr>
      <w:r>
        <w:separator/>
      </w:r>
    </w:p>
  </w:footnote>
  <w:footnote w:type="continuationSeparator" w:id="0">
    <w:p w:rsidR="0044383E" w:rsidRDefault="0044383E" w:rsidP="0065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714"/>
    <w:multiLevelType w:val="hybridMultilevel"/>
    <w:tmpl w:val="1612F05E"/>
    <w:lvl w:ilvl="0" w:tplc="9C2A72C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29E"/>
    <w:multiLevelType w:val="multilevel"/>
    <w:tmpl w:val="B616D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1B1073"/>
    <w:multiLevelType w:val="hybridMultilevel"/>
    <w:tmpl w:val="A31272C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CE8689D2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F247C4"/>
    <w:multiLevelType w:val="multilevel"/>
    <w:tmpl w:val="DDEC5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921BD2"/>
    <w:multiLevelType w:val="hybridMultilevel"/>
    <w:tmpl w:val="F4E6CA2E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77734BE"/>
    <w:multiLevelType w:val="hybridMultilevel"/>
    <w:tmpl w:val="10BEA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C7C26"/>
    <w:multiLevelType w:val="hybridMultilevel"/>
    <w:tmpl w:val="511042BC"/>
    <w:lvl w:ilvl="0" w:tplc="385C88D8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950F0B"/>
    <w:multiLevelType w:val="hybridMultilevel"/>
    <w:tmpl w:val="BB7E525A"/>
    <w:lvl w:ilvl="0" w:tplc="CE868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397"/>
    <w:multiLevelType w:val="multilevel"/>
    <w:tmpl w:val="55B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76844"/>
    <w:multiLevelType w:val="hybridMultilevel"/>
    <w:tmpl w:val="8CF05E0E"/>
    <w:lvl w:ilvl="0" w:tplc="732244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B0C22"/>
    <w:multiLevelType w:val="hybridMultilevel"/>
    <w:tmpl w:val="6C2AE4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4B058D"/>
    <w:multiLevelType w:val="multilevel"/>
    <w:tmpl w:val="35C8B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413F33"/>
    <w:multiLevelType w:val="hybridMultilevel"/>
    <w:tmpl w:val="CF4C18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A0205"/>
    <w:multiLevelType w:val="hybridMultilevel"/>
    <w:tmpl w:val="405A4F32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4E5A0ACD"/>
    <w:multiLevelType w:val="hybridMultilevel"/>
    <w:tmpl w:val="C2FA8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B5289"/>
    <w:multiLevelType w:val="hybridMultilevel"/>
    <w:tmpl w:val="19BC9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83453"/>
    <w:multiLevelType w:val="hybridMultilevel"/>
    <w:tmpl w:val="15ACB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1C9"/>
    <w:multiLevelType w:val="hybridMultilevel"/>
    <w:tmpl w:val="40F2EB66"/>
    <w:lvl w:ilvl="0" w:tplc="9C2A72C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C2A12A0"/>
    <w:multiLevelType w:val="hybridMultilevel"/>
    <w:tmpl w:val="072A4DA2"/>
    <w:lvl w:ilvl="0" w:tplc="CE868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3C0A"/>
    <w:multiLevelType w:val="hybridMultilevel"/>
    <w:tmpl w:val="C1EE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C534E"/>
    <w:multiLevelType w:val="hybridMultilevel"/>
    <w:tmpl w:val="54DCF0BE"/>
    <w:lvl w:ilvl="0" w:tplc="CE868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83D34"/>
    <w:multiLevelType w:val="multilevel"/>
    <w:tmpl w:val="6F48B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743594"/>
    <w:multiLevelType w:val="hybridMultilevel"/>
    <w:tmpl w:val="74F2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B4A9E"/>
    <w:multiLevelType w:val="hybridMultilevel"/>
    <w:tmpl w:val="8116BBF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A26E4"/>
    <w:multiLevelType w:val="hybridMultilevel"/>
    <w:tmpl w:val="55C4CB62"/>
    <w:lvl w:ilvl="0" w:tplc="A9FEFC1C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9"/>
  </w:num>
  <w:num w:numId="5">
    <w:abstractNumId w:val="22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20"/>
  </w:num>
  <w:num w:numId="12">
    <w:abstractNumId w:val="18"/>
  </w:num>
  <w:num w:numId="13">
    <w:abstractNumId w:val="3"/>
  </w:num>
  <w:num w:numId="14">
    <w:abstractNumId w:val="21"/>
  </w:num>
  <w:num w:numId="15">
    <w:abstractNumId w:val="2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24"/>
  </w:num>
  <w:num w:numId="23">
    <w:abstractNumId w:val="17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6"/>
    <w:rsid w:val="00065810"/>
    <w:rsid w:val="00067256"/>
    <w:rsid w:val="00083939"/>
    <w:rsid w:val="00083D29"/>
    <w:rsid w:val="00087446"/>
    <w:rsid w:val="000A19F7"/>
    <w:rsid w:val="000E76FC"/>
    <w:rsid w:val="001071CB"/>
    <w:rsid w:val="00134377"/>
    <w:rsid w:val="00137C60"/>
    <w:rsid w:val="0017399C"/>
    <w:rsid w:val="00176FF5"/>
    <w:rsid w:val="001B3DB1"/>
    <w:rsid w:val="001B4AE4"/>
    <w:rsid w:val="001B66CE"/>
    <w:rsid w:val="001C0768"/>
    <w:rsid w:val="001C123C"/>
    <w:rsid w:val="001C1FF0"/>
    <w:rsid w:val="001D0AB5"/>
    <w:rsid w:val="001D222B"/>
    <w:rsid w:val="001E0770"/>
    <w:rsid w:val="001E2986"/>
    <w:rsid w:val="001E4B66"/>
    <w:rsid w:val="001F72D5"/>
    <w:rsid w:val="00214144"/>
    <w:rsid w:val="00221048"/>
    <w:rsid w:val="002404D5"/>
    <w:rsid w:val="00245EE8"/>
    <w:rsid w:val="0025276E"/>
    <w:rsid w:val="00254CE0"/>
    <w:rsid w:val="002932CC"/>
    <w:rsid w:val="002A4326"/>
    <w:rsid w:val="002B4ED6"/>
    <w:rsid w:val="002C0F46"/>
    <w:rsid w:val="002C3DFB"/>
    <w:rsid w:val="002F3DCE"/>
    <w:rsid w:val="002F65FF"/>
    <w:rsid w:val="002F696A"/>
    <w:rsid w:val="00334792"/>
    <w:rsid w:val="003401D7"/>
    <w:rsid w:val="00345A35"/>
    <w:rsid w:val="00350A7D"/>
    <w:rsid w:val="00357AF1"/>
    <w:rsid w:val="0036618A"/>
    <w:rsid w:val="0037435A"/>
    <w:rsid w:val="003769CA"/>
    <w:rsid w:val="003A72EB"/>
    <w:rsid w:val="003B1B3D"/>
    <w:rsid w:val="003D1BD5"/>
    <w:rsid w:val="003D3EE8"/>
    <w:rsid w:val="003D4DC5"/>
    <w:rsid w:val="003E0BDF"/>
    <w:rsid w:val="003E16DB"/>
    <w:rsid w:val="00402A95"/>
    <w:rsid w:val="00433B27"/>
    <w:rsid w:val="00442FB4"/>
    <w:rsid w:val="0044383E"/>
    <w:rsid w:val="0044581C"/>
    <w:rsid w:val="00453D7D"/>
    <w:rsid w:val="00463A91"/>
    <w:rsid w:val="00472DFA"/>
    <w:rsid w:val="004945E9"/>
    <w:rsid w:val="004A0DF9"/>
    <w:rsid w:val="004A603C"/>
    <w:rsid w:val="004B611A"/>
    <w:rsid w:val="004D1487"/>
    <w:rsid w:val="004E1983"/>
    <w:rsid w:val="004E5189"/>
    <w:rsid w:val="00506EEF"/>
    <w:rsid w:val="005175EB"/>
    <w:rsid w:val="00523D7D"/>
    <w:rsid w:val="005277EE"/>
    <w:rsid w:val="0053136E"/>
    <w:rsid w:val="005366EF"/>
    <w:rsid w:val="005567C8"/>
    <w:rsid w:val="005915EC"/>
    <w:rsid w:val="005A2DCF"/>
    <w:rsid w:val="005A5AA8"/>
    <w:rsid w:val="005A6CFF"/>
    <w:rsid w:val="005C59CA"/>
    <w:rsid w:val="005D0B08"/>
    <w:rsid w:val="005E1AC4"/>
    <w:rsid w:val="005E5188"/>
    <w:rsid w:val="005E79D7"/>
    <w:rsid w:val="005F091F"/>
    <w:rsid w:val="006044B8"/>
    <w:rsid w:val="00605548"/>
    <w:rsid w:val="0061656B"/>
    <w:rsid w:val="00641E88"/>
    <w:rsid w:val="00654D84"/>
    <w:rsid w:val="00655E88"/>
    <w:rsid w:val="00660F2D"/>
    <w:rsid w:val="00675ACD"/>
    <w:rsid w:val="00687D4F"/>
    <w:rsid w:val="006912BC"/>
    <w:rsid w:val="006A35E9"/>
    <w:rsid w:val="006C51A8"/>
    <w:rsid w:val="006D1B25"/>
    <w:rsid w:val="006D6ADF"/>
    <w:rsid w:val="006E06E4"/>
    <w:rsid w:val="007008BE"/>
    <w:rsid w:val="007224BE"/>
    <w:rsid w:val="00752526"/>
    <w:rsid w:val="007532FE"/>
    <w:rsid w:val="00762C2B"/>
    <w:rsid w:val="007630F9"/>
    <w:rsid w:val="00783934"/>
    <w:rsid w:val="007B0674"/>
    <w:rsid w:val="007B1BD4"/>
    <w:rsid w:val="007B597A"/>
    <w:rsid w:val="007C3306"/>
    <w:rsid w:val="007D0AF7"/>
    <w:rsid w:val="00800404"/>
    <w:rsid w:val="00801325"/>
    <w:rsid w:val="00817C8D"/>
    <w:rsid w:val="00821037"/>
    <w:rsid w:val="00822489"/>
    <w:rsid w:val="008233B6"/>
    <w:rsid w:val="0083018B"/>
    <w:rsid w:val="008405D9"/>
    <w:rsid w:val="00845D9F"/>
    <w:rsid w:val="00847509"/>
    <w:rsid w:val="00852E4F"/>
    <w:rsid w:val="008530F6"/>
    <w:rsid w:val="00881FDF"/>
    <w:rsid w:val="00882EA9"/>
    <w:rsid w:val="00883682"/>
    <w:rsid w:val="008A17D9"/>
    <w:rsid w:val="008A20E9"/>
    <w:rsid w:val="008C350E"/>
    <w:rsid w:val="008D7AF0"/>
    <w:rsid w:val="008D7E75"/>
    <w:rsid w:val="008E7E83"/>
    <w:rsid w:val="0090224B"/>
    <w:rsid w:val="0091214A"/>
    <w:rsid w:val="00915F81"/>
    <w:rsid w:val="0092779B"/>
    <w:rsid w:val="00954596"/>
    <w:rsid w:val="009649B9"/>
    <w:rsid w:val="009656F8"/>
    <w:rsid w:val="0099360D"/>
    <w:rsid w:val="009B5EAD"/>
    <w:rsid w:val="009F6D5C"/>
    <w:rsid w:val="00A246F6"/>
    <w:rsid w:val="00A24F9F"/>
    <w:rsid w:val="00A2534A"/>
    <w:rsid w:val="00A36542"/>
    <w:rsid w:val="00A4006C"/>
    <w:rsid w:val="00A569DD"/>
    <w:rsid w:val="00A5717B"/>
    <w:rsid w:val="00A75500"/>
    <w:rsid w:val="00A84EA2"/>
    <w:rsid w:val="00A97449"/>
    <w:rsid w:val="00AB52A4"/>
    <w:rsid w:val="00AC5967"/>
    <w:rsid w:val="00AF254C"/>
    <w:rsid w:val="00AF717F"/>
    <w:rsid w:val="00B17522"/>
    <w:rsid w:val="00B20F64"/>
    <w:rsid w:val="00B27900"/>
    <w:rsid w:val="00B55A46"/>
    <w:rsid w:val="00B6023C"/>
    <w:rsid w:val="00B67A68"/>
    <w:rsid w:val="00B7007E"/>
    <w:rsid w:val="00B70202"/>
    <w:rsid w:val="00B726CD"/>
    <w:rsid w:val="00BC45DE"/>
    <w:rsid w:val="00BD2CB0"/>
    <w:rsid w:val="00BE3CB1"/>
    <w:rsid w:val="00BE50EB"/>
    <w:rsid w:val="00BE7D38"/>
    <w:rsid w:val="00C046FC"/>
    <w:rsid w:val="00C110CA"/>
    <w:rsid w:val="00C13D0F"/>
    <w:rsid w:val="00C40F7A"/>
    <w:rsid w:val="00C643C7"/>
    <w:rsid w:val="00C71164"/>
    <w:rsid w:val="00C7243C"/>
    <w:rsid w:val="00C7289F"/>
    <w:rsid w:val="00C910E9"/>
    <w:rsid w:val="00CC79F1"/>
    <w:rsid w:val="00CD58F2"/>
    <w:rsid w:val="00D214AC"/>
    <w:rsid w:val="00D22417"/>
    <w:rsid w:val="00D23559"/>
    <w:rsid w:val="00D269EF"/>
    <w:rsid w:val="00D330C2"/>
    <w:rsid w:val="00D3447B"/>
    <w:rsid w:val="00D35A44"/>
    <w:rsid w:val="00D41C13"/>
    <w:rsid w:val="00D46C0D"/>
    <w:rsid w:val="00D51908"/>
    <w:rsid w:val="00D74E5C"/>
    <w:rsid w:val="00D7695F"/>
    <w:rsid w:val="00D81047"/>
    <w:rsid w:val="00D828E9"/>
    <w:rsid w:val="00D83F38"/>
    <w:rsid w:val="00D94070"/>
    <w:rsid w:val="00D948E8"/>
    <w:rsid w:val="00DA29AA"/>
    <w:rsid w:val="00DA4CB7"/>
    <w:rsid w:val="00DB0562"/>
    <w:rsid w:val="00DC5302"/>
    <w:rsid w:val="00DE43DE"/>
    <w:rsid w:val="00E25BED"/>
    <w:rsid w:val="00E33932"/>
    <w:rsid w:val="00E345B4"/>
    <w:rsid w:val="00E45EE3"/>
    <w:rsid w:val="00E5032D"/>
    <w:rsid w:val="00E71460"/>
    <w:rsid w:val="00E778A0"/>
    <w:rsid w:val="00E867C9"/>
    <w:rsid w:val="00E978B1"/>
    <w:rsid w:val="00EA5642"/>
    <w:rsid w:val="00EB555E"/>
    <w:rsid w:val="00EB5DDB"/>
    <w:rsid w:val="00ED420D"/>
    <w:rsid w:val="00EE55AB"/>
    <w:rsid w:val="00EF2045"/>
    <w:rsid w:val="00EF2733"/>
    <w:rsid w:val="00EF4476"/>
    <w:rsid w:val="00EF7B63"/>
    <w:rsid w:val="00F05FC4"/>
    <w:rsid w:val="00F1533F"/>
    <w:rsid w:val="00F20904"/>
    <w:rsid w:val="00F4440C"/>
    <w:rsid w:val="00F5591F"/>
    <w:rsid w:val="00F844C8"/>
    <w:rsid w:val="00F9468D"/>
    <w:rsid w:val="00FF1A6F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E2986"/>
    <w:rPr>
      <w:i/>
      <w:iCs/>
    </w:rPr>
  </w:style>
  <w:style w:type="paragraph" w:styleId="Prrafodelista">
    <w:name w:val="List Paragraph"/>
    <w:basedOn w:val="Normal"/>
    <w:uiPriority w:val="34"/>
    <w:qFormat/>
    <w:rsid w:val="00E867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95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E25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E3C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D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4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8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E2986"/>
    <w:rPr>
      <w:i/>
      <w:iCs/>
    </w:rPr>
  </w:style>
  <w:style w:type="paragraph" w:styleId="Prrafodelista">
    <w:name w:val="List Paragraph"/>
    <w:basedOn w:val="Normal"/>
    <w:uiPriority w:val="34"/>
    <w:qFormat/>
    <w:rsid w:val="00E867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95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E25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E3C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D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4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8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A79A-7D39-46D0-8367-16A551E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X043840</dc:creator>
  <cp:keywords/>
  <dc:description/>
  <cp:lastModifiedBy>Aranaz, Carlota</cp:lastModifiedBy>
  <cp:revision>31</cp:revision>
  <cp:lastPrinted>2021-09-21T12:39:00Z</cp:lastPrinted>
  <dcterms:created xsi:type="dcterms:W3CDTF">2021-10-07T10:10:00Z</dcterms:created>
  <dcterms:modified xsi:type="dcterms:W3CDTF">2021-10-28T14:46:00Z</dcterms:modified>
</cp:coreProperties>
</file>