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5B" w:rsidRDefault="00615116">
      <w:pPr>
        <w:rPr>
          <w:rStyle w:val="Normal1"/>
        </w:rPr>
      </w:pPr>
      <w:r>
        <w:rPr>
          <w:rStyle w:val="Normal1"/>
        </w:rPr>
        <w:t>Legebiltzarreko Erregelamenduaren 130. artikuluak ezarritakoa betez, agintzen da Zenbait zerga aldatu eta beste tributu-neurri batzuk hartzeari buruzko Foru Lege proiektuari aurkezturiko zuzenketak Nafarroako Parlamentuko Aldizkari Ofizialean argitara daitezen. Foru lege proiektua 2017ko azaroaren 10eko 138. Nafarroako Parlamentuko Aldizkari Ofizialean argitaratu zen.</w:t>
      </w:r>
    </w:p>
    <w:p w:rsidR="00C6145B" w:rsidRDefault="00615116">
      <w:pPr>
        <w:rPr>
          <w:rStyle w:val="Normal1"/>
        </w:rPr>
      </w:pPr>
      <w:r>
        <w:rPr>
          <w:rStyle w:val="Normal1"/>
        </w:rPr>
        <w:t>Iruñean, 2017ko azaroaren 23an</w:t>
      </w:r>
    </w:p>
    <w:p w:rsidR="00C6145B" w:rsidRDefault="00615116">
      <w:pPr>
        <w:rPr>
          <w:rStyle w:val="Normal1"/>
        </w:rPr>
      </w:pPr>
      <w:r>
        <w:rPr>
          <w:rStyle w:val="Normal1"/>
        </w:rPr>
        <w:t>Lehendakaria: Ainhoa Aznárez Igarza</w:t>
      </w:r>
    </w:p>
    <w:p w:rsidR="00C6145B" w:rsidRDefault="00615116">
      <w:pPr>
        <w:pStyle w:val="aemnum"/>
      </w:pPr>
      <w:r>
        <w:t xml:space="preserve">1. zuzenketa </w:t>
      </w:r>
    </w:p>
    <w:p w:rsidR="00C6145B" w:rsidRDefault="00615116">
      <w:pPr>
        <w:pStyle w:val="aformula"/>
      </w:pPr>
      <w:r>
        <w:t>Unión del Pueblo Navarro talde parlamentarioak aurkeztua</w:t>
      </w:r>
    </w:p>
    <w:p w:rsidR="00C6145B" w:rsidRDefault="00615116">
      <w:pPr>
        <w:pStyle w:val="agrupo"/>
      </w:pPr>
      <w:r>
        <w:t xml:space="preserve"> </w:t>
      </w:r>
    </w:p>
    <w:p w:rsidR="00C6145B" w:rsidRDefault="00615116">
      <w:pPr>
        <w:rPr>
          <w:rStyle w:val="Normal1"/>
        </w:rPr>
      </w:pPr>
      <w:r>
        <w:rPr>
          <w:rStyle w:val="Normal1"/>
        </w:rPr>
        <w:t>Osoko zuzenketa, Zenbait zerga aldatu eta beste tributu-neurri batzuk hartzeari buruzko Foru Lege proiektuari aurkeztutakoa, ordezko testuarekin.</w:t>
      </w:r>
    </w:p>
    <w:p w:rsidR="00C6145B" w:rsidRDefault="00615116">
      <w:pPr>
        <w:rPr>
          <w:rStyle w:val="Normal1"/>
        </w:rPr>
      </w:pPr>
      <w:r>
        <w:rPr>
          <w:rStyle w:val="Normal1"/>
        </w:rPr>
        <w:t>Zioak: Nafarroako Gobernuak eztabaidatzeko eta onesteko aurkeztu duen lege proiektuak, hirugarren urtez jarraian, zerga-igoera berriak planteatzen ditu Nafarroako tributu-sistemako zerga gehienetan, bereziki PFEZean, Sozietateen gaineko zergan, Ondarearen gaineko zergan eta Oinordetzen eta dohaintzen gaineko zergan.</w:t>
      </w:r>
    </w:p>
    <w:p w:rsidR="00C6145B" w:rsidRDefault="00615116">
      <w:pPr>
        <w:rPr>
          <w:rStyle w:val="Normal1"/>
        </w:rPr>
      </w:pPr>
      <w:r>
        <w:rPr>
          <w:rStyle w:val="Normal1"/>
        </w:rPr>
        <w:t>Neurri gehienek presio fiskalaren areagotze zamatsua ekarriko dute eta zergadun multzo handi samarrari eraginen diote. Zenbait zergatan, tributazioaren gehikuntzak zergadunen deslokalizazioa eta, ondorioz, diru-bilketako jarioen galera eraginen du. Azken batean, Nafarroako fiskalitateak Espainiako beste lurralde batzuekin lehiatzeko duen desabantaila handituko du, eta beste koska bat estutuko da.</w:t>
      </w:r>
    </w:p>
    <w:p w:rsidR="00C6145B" w:rsidRDefault="00615116">
      <w:pPr>
        <w:rPr>
          <w:rStyle w:val="Normal1"/>
          <w:spacing w:val="-2"/>
        </w:rPr>
      </w:pPr>
      <w:r>
        <w:rPr>
          <w:rStyle w:val="Normal1"/>
          <w:spacing w:val="-2"/>
        </w:rPr>
        <w:t>Horregatik guztiagatik, Unión del Pueblo Navarro taldeak lege proiektu horri osoko zuzenketa aurkezten dio, ordezko testu honekin:</w:t>
      </w:r>
    </w:p>
    <w:p w:rsidR="00C6145B" w:rsidRDefault="00615116">
      <w:pPr>
        <w:pStyle w:val="Lcaptulo"/>
      </w:pPr>
      <w:r>
        <w:t>ORDEZKO TESTUA</w:t>
      </w:r>
    </w:p>
    <w:p w:rsidR="00C6145B" w:rsidRDefault="00615116">
      <w:pPr>
        <w:rPr>
          <w:rStyle w:val="Normal1"/>
        </w:rPr>
      </w:pPr>
      <w:r>
        <w:rPr>
          <w:rStyle w:val="Normal1"/>
        </w:rPr>
        <w:t>Ordezko testu honek arau hauek aldatzen ditu, besteak beste: Pertsona Fisikoen Errentaren gaineko Zergari buruzko Foru Legearen testu bategina, ekainaren 2ko 4/2008 Legegintzako Foru Dekretuak onetsia; Pertsona Fisikoen Errentaren gaineko Zergaren Erregelamendua (maiatzaren 24ko 174/1999 Foru Dekretua); azaroaren 19ko 13/1992 Foru Legea, Ondarearen gaineko zergari buruzkoa; eta abenduaren 28ko 26/2016 Foru Legea, Sozietateen gaineko zergari buruzkoa.</w:t>
      </w:r>
    </w:p>
    <w:p w:rsidR="00C6145B" w:rsidRDefault="00615116">
      <w:pPr>
        <w:rPr>
          <w:rStyle w:val="Normal1"/>
        </w:rPr>
      </w:pPr>
      <w:r>
        <w:rPr>
          <w:rStyle w:val="Normal1"/>
        </w:rPr>
        <w:t>Foru lege proiektua eta ordezko testu hau aurkezten diren unean argi dago ekonomia suspertzen ari dela. Izan ere, jarduera erritmo onean hazi da azken hiruhilekoetan, eta gainerako adierazle makroekonomikoek hobera egin dute nabarmen. Suspertze horrek, hala ere, ingurunea alde izan behar du, historia garaikidean ia batere aurrekaririk izan ez duen krisiaren ondorio negatiboak erabat gainditzeko behar duen abiadari eutsi ahal izateko.</w:t>
      </w:r>
    </w:p>
    <w:p w:rsidR="00C6145B" w:rsidRDefault="00615116">
      <w:pPr>
        <w:rPr>
          <w:rStyle w:val="Normal1"/>
        </w:rPr>
      </w:pPr>
      <w:r>
        <w:rPr>
          <w:rStyle w:val="Normal1"/>
        </w:rPr>
        <w:t>Ildo horretan, politika ekonomikoaren funtsezko tresna da premia horiei egokitutako fiskalitatea, ekoizpen jarduera hauspotzen jarraitzeko pizgarri egokiak sortzen dituena. Zerga-oinarria handitzea da kontua, hartara, beste lurralde batzuekin lehiatzeko moduko presio fiskalarekin, diru gehiago biltzeko eta gobernu-ekintza gidatu behar duten ekitatearen, egonkortasun ekonomikoaren eta efizientziaren helburuei aurre egin ahal izateko.</w:t>
      </w:r>
    </w:p>
    <w:p w:rsidR="00C6145B" w:rsidRDefault="00615116">
      <w:pPr>
        <w:rPr>
          <w:rStyle w:val="Normal1"/>
        </w:rPr>
      </w:pPr>
      <w:r>
        <w:rPr>
          <w:rStyle w:val="Normal1"/>
        </w:rPr>
        <w:t>Testuak lau artikulu ditu.</w:t>
      </w:r>
    </w:p>
    <w:p w:rsidR="00C6145B" w:rsidRDefault="00615116">
      <w:pPr>
        <w:rPr>
          <w:rStyle w:val="Normal1"/>
        </w:rPr>
      </w:pPr>
      <w:r>
        <w:rPr>
          <w:rStyle w:val="Normal1"/>
        </w:rPr>
        <w:t>Pertsona fisikoen errentaren gaineko zergan aldaketa asko sartu dira. Lehenik, lanaren errenta txikienak dituzten zergadunak kontuan izanik, oraingo 11.250 euroetatik 14.000 eurora igotzen da errentaren aitorpena aurkeztu beharraren muga. Bigarrenik, Nafarroako zergadunak beste lurralde batzuetako zergadunak baino gaizkiago egon ez daitezen, 2015eko abenduaren 31ra arte erabilitako eskalak eta karga-tasak berreskuratzen dira eta 3.700 eurotik 5.400 eurora igotzen da gutxieneko pertsonala. Halaber 30.000 eurotik 61.000 eurora igotzen da atzerrian egindako lanengatiko salbuespena, eta egungo 3.500 euroetatik urtean 8.000 eurora handitzen da pentsio planetarako ekarpenengatiko gehieneko murriztapena.</w:t>
      </w:r>
    </w:p>
    <w:p w:rsidR="00C6145B" w:rsidRDefault="00615116">
      <w:pPr>
        <w:rPr>
          <w:rStyle w:val="Normal1"/>
        </w:rPr>
      </w:pPr>
      <w:r>
        <w:rPr>
          <w:rStyle w:val="Normal1"/>
        </w:rPr>
        <w:t>Hirugarrenik, etxebizitzen alokairuaren merkatua bizkortu eta “ezkutuko” errentamenduak azaleratu nahian, apustu irmoa egiten da ohiko etxebizitzarengatiko kenkaria handitzeko eta eskurabidea hobetzeko. Horretarako, zergadun guztiei ematen zaie hura lortzeko aukera, edozein dela ere errentariaren errenta maila, eta 1.500 eurora igotzen da arau orokor gisa, edo 1.800 eurora 30 urtetik beherako zergadunentzat eta familia ugarientzat.</w:t>
      </w:r>
    </w:p>
    <w:p w:rsidR="00C6145B" w:rsidRDefault="00615116">
      <w:pPr>
        <w:rPr>
          <w:rStyle w:val="Normal1"/>
        </w:rPr>
      </w:pPr>
      <w:r>
        <w:rPr>
          <w:rStyle w:val="Normal1"/>
        </w:rPr>
        <w:lastRenderedPageBreak/>
        <w:t>Laugarrenik, familia ugarien eta lan egiten duten gurasoen egoera kontuan harturik, zenbait neurri sartzen dira. Zehazki, bi kenkari berri sortzen dira. Lehenbizikoa urtean 1.000 eurokoa izanen da gehienez, eta 0-3 urteko haur hezkuntzako ikastetxeei ordaindutako diru kopuruengatik aplikatuko da. Horrela, guraso horiei errenta baliagarria 83,33 euro haziko zaie hilean. Bigarrena urtean 500 euroko kenkaria izanen da, murriztapena edukitzeko eskubidea ematen dieten hiru ondorengo ahaide edo gehiago dituzten subjektu pasiboentzat, edo abenduaren 31n familia ugaritzat jotzen diren familia unitateentzat, Familia Ugariei buruzko martxoaren 25eko 20/2003 Foru Legean ezarritakoaren arabera.</w:t>
      </w:r>
    </w:p>
    <w:p w:rsidR="00C6145B" w:rsidRDefault="00615116">
      <w:pPr>
        <w:rPr>
          <w:rStyle w:val="Normal1"/>
        </w:rPr>
      </w:pPr>
      <w:r>
        <w:rPr>
          <w:rStyle w:val="Normal1"/>
        </w:rPr>
        <w:t>Bosgarrenik, atzerrian dauden “talentudunak” erakartzeko eta Nafarroara itzul daitezen errazteko, pertsona horiei tributazioa arinduko zaie baldin eta Nafarroako zergadun bihurtzen badira bizilekua aldatzen duten urtean eta hala irauten badute hurrengo lau urteetan.</w:t>
      </w:r>
    </w:p>
    <w:p w:rsidR="00C6145B" w:rsidRDefault="00615116">
      <w:pPr>
        <w:rPr>
          <w:rStyle w:val="Normal1"/>
        </w:rPr>
      </w:pPr>
      <w:r>
        <w:rPr>
          <w:rStyle w:val="Normal1"/>
        </w:rPr>
        <w:t>Seigarrenik, ingurune aldakor eta globalizatura moldatzeko xedearekin, langileek beren enpresetan partaidetza izateko pizgarriak ematen dira, oztopoak kenduz eta orain dauden betekizunak malgutuz, gaur egun bai enpresaburu eskualdatzailearentzat bai langileentzat dauden pizgarrien aplikazioa mugatzen baitute.</w:t>
      </w:r>
    </w:p>
    <w:p w:rsidR="00C6145B" w:rsidRDefault="00615116">
      <w:pPr>
        <w:rPr>
          <w:rStyle w:val="Normal1"/>
        </w:rPr>
      </w:pPr>
      <w:r>
        <w:rPr>
          <w:rStyle w:val="Normal1"/>
        </w:rPr>
        <w:t>Azkenik, oinordetza-titulu gisa identifikatzen dira orainaldiko eraginkortasuna duten oinordetza-kontratu edo -itunak, alde batera utzita noiz gauzatzen den haien eraginkortasuna. Horrela ekidin nahi da arrazoi fiskalengatik heriotzara arte geroratzea zentzuzko erabaki ekonomikoak.</w:t>
      </w:r>
    </w:p>
    <w:p w:rsidR="00C6145B" w:rsidRDefault="00615116">
      <w:pPr>
        <w:rPr>
          <w:rStyle w:val="Normal1"/>
        </w:rPr>
      </w:pPr>
      <w:r>
        <w:rPr>
          <w:rStyle w:val="Normal1"/>
        </w:rPr>
        <w:t>Ondarearen gaineko zergan funtsezko aldaketak egiten dira. Lehenik, salbuetsita gelditzeko betekizunak betetzen dituzten enpresa-ondasunetarako salbuespen-sistema berreskuratzen da, 2015eko ekitaldian zegoen bezala eta gainerako lurraldeetan dagoen bezala. Bigarrenik, salbuespenari heltzeko betekizunak betetzen dituzten enpresa-ondasunen edo entitateetako partaidetzen balioaren gainean gaur egun dagoen zigorra kentzen da, milioi bat euroz gaindiko zenbatekoari dagokionez. Hirugarrenik, salbuetsita dagoen gutxienekoa 550.000 eurokoa da gaur egun eta 800.000 eurora igotzen da. Azkenik, “ezkutu fiskal” deituaren aplikazioa nabarmen beheratu, eta beste lurralde batzuetan bezalatsu uzten da.</w:t>
      </w:r>
    </w:p>
    <w:p w:rsidR="00C6145B" w:rsidRDefault="00615116">
      <w:pPr>
        <w:rPr>
          <w:rStyle w:val="Normal1"/>
        </w:rPr>
      </w:pPr>
      <w:r>
        <w:rPr>
          <w:rStyle w:val="Normal1"/>
        </w:rPr>
        <w:t>Sozietateen gaineko zergak bi motatako neurriak dakartza. Alde batetik, Nafarroako enpresen tamaina eta, horrenbestez, lehiakortasuna handitzera bideratutako neurriak. Bestetik, % 19ko zerga-tasa ezartzen da arau orokor gisa eta % 23koa ondare-entitateentzat.</w:t>
      </w:r>
    </w:p>
    <w:p w:rsidR="00C6145B" w:rsidRDefault="00615116">
      <w:pPr>
        <w:rPr>
          <w:rStyle w:val="Normal1"/>
        </w:rPr>
      </w:pPr>
      <w:r>
        <w:rPr>
          <w:rStyle w:val="Normal1"/>
          <w:b/>
        </w:rPr>
        <w:t>Lehen artikulua.</w:t>
      </w:r>
      <w:r>
        <w:rPr>
          <w:rStyle w:val="Normal1"/>
        </w:rPr>
        <w:t xml:space="preserve"> Pertsona Fisikoen Errentaren gaineko Zergari buruzko Foru Legearen testu bategina.</w:t>
      </w:r>
    </w:p>
    <w:p w:rsidR="00C6145B" w:rsidRDefault="00615116">
      <w:pPr>
        <w:rPr>
          <w:rStyle w:val="Normal1"/>
        </w:rPr>
      </w:pPr>
      <w:r>
        <w:rPr>
          <w:rStyle w:val="Normal1"/>
        </w:rPr>
        <w:t>Pertsona Fisikoen Errentaren gaineko Zergari buruzko Foru Legearen testu bateginaren manu hauek (testu bategina ekainaren 2ko 4/2008 Legegintzako Foru Dekretuaren bidez onetsi zen) honela idatzita geldituko dira:</w:t>
      </w:r>
    </w:p>
    <w:p w:rsidR="00C6145B" w:rsidRDefault="00615116">
      <w:pPr>
        <w:rPr>
          <w:rStyle w:val="Normal1"/>
        </w:rPr>
      </w:pPr>
      <w:r>
        <w:rPr>
          <w:rStyle w:val="Normal1"/>
          <w:u w:val="single"/>
        </w:rPr>
        <w:t>Bat</w:t>
      </w:r>
      <w:r>
        <w:rPr>
          <w:rStyle w:val="Normal1"/>
        </w:rPr>
        <w:t>. 7.n) artikulua. 2018ko urtarrilaren 1etik aurrera izanen ditu ondorioak</w:t>
      </w:r>
    </w:p>
    <w:p w:rsidR="00C6145B" w:rsidRDefault="00615116">
      <w:pPr>
        <w:rPr>
          <w:rStyle w:val="Normal1"/>
        </w:rPr>
      </w:pPr>
      <w:r>
        <w:rPr>
          <w:rStyle w:val="Normal1"/>
        </w:rPr>
        <w:t>“7.n) artikulua, 3. zenbakia, bigarren paragrafoa.</w:t>
      </w:r>
    </w:p>
    <w:p w:rsidR="00C6145B" w:rsidRDefault="00615116">
      <w:pPr>
        <w:rPr>
          <w:rStyle w:val="Normal1"/>
        </w:rPr>
      </w:pPr>
      <w:r>
        <w:rPr>
          <w:rStyle w:val="Normal1"/>
        </w:rPr>
        <w:t>Atzerrian egon bitartean sortutako ordainsariei aplikatuko zaie salbuespena, urtero 61.000 eurori gehienez. Erregelamenduz ezartzen ahalko da egun bati dagokion zenbateko salbuetsia kalkulatzeko prozedura”.</w:t>
      </w:r>
    </w:p>
    <w:p w:rsidR="00C6145B" w:rsidRDefault="00615116">
      <w:pPr>
        <w:rPr>
          <w:rStyle w:val="Normal1"/>
        </w:rPr>
      </w:pPr>
      <w:r>
        <w:rPr>
          <w:rStyle w:val="Normal1"/>
          <w:u w:val="single"/>
        </w:rPr>
        <w:t>Bi</w:t>
      </w:r>
      <w:r>
        <w:rPr>
          <w:rStyle w:val="Normal1"/>
        </w:rPr>
        <w:t>. 31. artikulua. 2018ko urtarrilaren 1etik aurrera izanen ditu ondorioak</w:t>
      </w:r>
    </w:p>
    <w:p w:rsidR="00C6145B" w:rsidRDefault="00615116">
      <w:pPr>
        <w:rPr>
          <w:rStyle w:val="Normal1"/>
        </w:rPr>
      </w:pPr>
      <w:r>
        <w:rPr>
          <w:rStyle w:val="Normal1"/>
        </w:rPr>
        <w:t>“31. artikulua. Bigarren paragrafoa.</w:t>
      </w:r>
    </w:p>
    <w:p w:rsidR="00C6145B" w:rsidRDefault="00615116">
      <w:pPr>
        <w:rPr>
          <w:rStyle w:val="Normal1"/>
        </w:rPr>
      </w:pPr>
      <w:r>
        <w:rPr>
          <w:rStyle w:val="Normal1"/>
        </w:rPr>
        <w:t>Subjektu pasiboa hil dela-eta kosturik gabe eskualdatzen badira foru lege honen 29. artikuluan aipatutako besteren kapitalak hartu eta erabiltzea adierazten duten aktiboak, kapital higigarriaren etekinik ez dagoela iritziko da.</w:t>
      </w:r>
    </w:p>
    <w:p w:rsidR="00C6145B" w:rsidRDefault="00615116">
      <w:pPr>
        <w:rPr>
          <w:rStyle w:val="Normal1"/>
        </w:rPr>
      </w:pPr>
      <w:r>
        <w:rPr>
          <w:rStyle w:val="Normal1"/>
        </w:rPr>
        <w:t>Aurreko paragrafoan xedatutakoa orobat aplikatuko da kostu gabeko eskualdaketa orainaldiko eraginkortasuna duen edozein oinordetza-tituluren bidez egiten denean. Horri dagokionez, oinordetza-titulutzat joko dira urtarrilaren 26ko 16/2004 Foru Dekretuak onetsitako Oinordetzen eta Dohaintzen gaineko Zergaren Erregelamenduaren 4. artikuluan adierazitakoak.</w:t>
      </w:r>
    </w:p>
    <w:p w:rsidR="00C6145B" w:rsidRDefault="00615116">
      <w:pPr>
        <w:rPr>
          <w:rStyle w:val="Normal1"/>
        </w:rPr>
      </w:pPr>
      <w:r>
        <w:rPr>
          <w:rStyle w:val="Normal1"/>
        </w:rPr>
        <w:lastRenderedPageBreak/>
        <w:t>Orainaldiko eraginkortasuna duten oinordetza-tituluen bidez kosturik gabe egiten diren eskualdaketetan, aurreko paragrafoan aipatutako horietan, eskuratze-baliotzat hartuko da, besteren kapitalak hartu eta erabiltzea adierazten duten aktiboen eskuratzailearentzat, etorkizuneko eskualdaketei begira, dohaintza-emaileak dohaintza-hartzaileari ematen dizkion unean aktibook duten balioa, salbu eta dohaintza-emailea hil baino lehen dohaintza-hartzaileak aktibo horiek eskualdatzen dituenean; kasu horretan dohaintza-hartzailea dohaintza-emailearen lekuan subrogatuko da aktibo horien eskuratze-balioei eta -datei dagokienez, eta orainaldiko eraginkortasuna duen oinordetza-itunaren aurretik dohaintza-emaileak zituen balio eta datuei eutsiko die.</w:t>
      </w:r>
    </w:p>
    <w:p w:rsidR="00C6145B" w:rsidRDefault="00615116">
      <w:pPr>
        <w:rPr>
          <w:rStyle w:val="Normal1"/>
        </w:rPr>
      </w:pPr>
      <w:r>
        <w:rPr>
          <w:rStyle w:val="Normal1"/>
        </w:rPr>
        <w:t>Aurreko paragrafoan xedatutakoa berdin aplikatuko da aktiboak dohaintza-emailea hil aurretik itzultzen, amortizatzen, trukatzen edo bihurtzen direnean ere”.</w:t>
      </w:r>
    </w:p>
    <w:p w:rsidR="00C6145B" w:rsidRDefault="00615116">
      <w:pPr>
        <w:rPr>
          <w:rStyle w:val="Normal1"/>
        </w:rPr>
      </w:pPr>
      <w:r>
        <w:rPr>
          <w:rStyle w:val="Normal1"/>
          <w:u w:val="single"/>
        </w:rPr>
        <w:t>Hiru</w:t>
      </w:r>
      <w:r>
        <w:rPr>
          <w:rStyle w:val="Normal1"/>
        </w:rPr>
        <w:t>. 35. artikulua. 5. 2018ko urtarrilaren 1etik aurrera izanen ditu ondorioak</w:t>
      </w:r>
    </w:p>
    <w:p w:rsidR="00C6145B" w:rsidRDefault="00615116">
      <w:pPr>
        <w:rPr>
          <w:rStyle w:val="Normal1"/>
        </w:rPr>
      </w:pPr>
      <w:r>
        <w:rPr>
          <w:rStyle w:val="Normal1"/>
        </w:rPr>
        <w:t>5. Etekin garbia zuzeneko zenbatespenaren bitartez zehazterakoan honako hauek gastu kengarritzat joko dira:</w:t>
      </w:r>
    </w:p>
    <w:p w:rsidR="00C6145B" w:rsidRDefault="00615116">
      <w:pPr>
        <w:rPr>
          <w:rStyle w:val="Normal1"/>
        </w:rPr>
      </w:pPr>
      <w:r>
        <w:rPr>
          <w:rStyle w:val="Normal1"/>
        </w:rPr>
        <w:t>a) Subjektu pasiboak berarentzat, ezkontidearentzat eta gutxieneko familiarra dela-eta kenkarirako eskubidea ematen dioten ondorengo ahaideentzat egin duen gaixotasun-aseguruaren primak. Aipatutako pertsona horietako bakoitzeko gehieneko gastu kengarria 500 eurokoa izanen da, edo 1.500 eurokoa desgaitasuna duen pertsona horietako bakoitzeko.</w:t>
      </w:r>
    </w:p>
    <w:p w:rsidR="00C6145B" w:rsidRDefault="00615116">
      <w:pPr>
        <w:rPr>
          <w:rStyle w:val="Normal1"/>
        </w:rPr>
      </w:pPr>
      <w:r>
        <w:rPr>
          <w:rStyle w:val="Normal1"/>
        </w:rPr>
        <w:t>b) Zergadunak bere ohiko etxebizitzaren zati bat jarduera ekonomikoaren garapenari lotzen dion kasuetan, etxebizitza horren hornidura gastuen —hala nola ura, gasa, argindarra, telefonia edo Internet— portzentaje bat, jarduerarako erabiltzen diren metro karratuen eta etxebizitzaren azalera osoaren arteko proportzioari ehuneko 30 aplikatuta kalkulatuko dena, salbu eta portzentaje handiagoa edo txikiagoa frogatzen denean.</w:t>
      </w:r>
    </w:p>
    <w:p w:rsidR="00C6145B" w:rsidRDefault="00615116">
      <w:pPr>
        <w:rPr>
          <w:rStyle w:val="Normal1"/>
        </w:rPr>
      </w:pPr>
      <w:r>
        <w:rPr>
          <w:rStyle w:val="Normal1"/>
        </w:rPr>
        <w:t>c) Zergadunak jarduera ekonomikoaren garapenean izandako mantenu gastuak, betiere jatetxe- eta ostalaritza-establezimenduetan egindako gastuak badira eta ordaintzeko bide elektronikoren bat erabili bada. Zenbatekoaren mugak, langileen mantenu gastu arruntetarako dieta eta diru-esleipenei erregelamenduz ezarritakoak izanen dira.</w:t>
      </w:r>
    </w:p>
    <w:p w:rsidR="00C6145B" w:rsidRDefault="00615116">
      <w:pPr>
        <w:rPr>
          <w:rStyle w:val="Normal1"/>
        </w:rPr>
      </w:pPr>
      <w:r>
        <w:rPr>
          <w:rStyle w:val="Normal1"/>
          <w:u w:val="single"/>
        </w:rPr>
        <w:t>Lau</w:t>
      </w:r>
      <w:r>
        <w:rPr>
          <w:rStyle w:val="Normal1"/>
        </w:rPr>
        <w:t>. 39 artikulua. 4.b). 2018ko urtarrilaren 1etik aurrera izanen ditu ondorioak</w:t>
      </w:r>
    </w:p>
    <w:p w:rsidR="00C6145B" w:rsidRDefault="00615116">
      <w:pPr>
        <w:rPr>
          <w:rStyle w:val="Normal1"/>
        </w:rPr>
      </w:pPr>
      <w:r>
        <w:rPr>
          <w:rStyle w:val="Normal1"/>
        </w:rPr>
        <w:t>“b) Zergaduna hil dela-eta kosturik gabe egiten diren eskualdaketetan, baita kostu gabeko eskualdaketa orainaldiko eraginkortasuna duen oinordetza-tituluren baten bidez egiten denean ere.</w:t>
      </w:r>
    </w:p>
    <w:p w:rsidR="00C6145B" w:rsidRDefault="00615116">
      <w:pPr>
        <w:rPr>
          <w:rStyle w:val="Normal1"/>
        </w:rPr>
      </w:pPr>
      <w:r>
        <w:rPr>
          <w:rStyle w:val="Normal1"/>
        </w:rPr>
        <w:t>Horri dagokionez, oinordetza-tituluak dira urtarrilaren 26ko 16/2004 Foru Dekretuak onetsitako Oinordetzen eta Dohaintzen gaineko Zergaren Erregelamenduak 4. artikuluan adierazitakoak”.</w:t>
      </w:r>
    </w:p>
    <w:p w:rsidR="00C6145B" w:rsidRDefault="00615116">
      <w:pPr>
        <w:rPr>
          <w:rStyle w:val="Normal1"/>
        </w:rPr>
      </w:pPr>
      <w:r>
        <w:rPr>
          <w:rStyle w:val="Normal1"/>
          <w:u w:val="single"/>
        </w:rPr>
        <w:t>Bost</w:t>
      </w:r>
      <w:r>
        <w:rPr>
          <w:rStyle w:val="Normal1"/>
        </w:rPr>
        <w:t>. 55.1.7.a) b’) artikulua. 2018ko urtarrilaren 1etik aurrera izanen ditu ondorioak</w:t>
      </w:r>
    </w:p>
    <w:p w:rsidR="00C6145B" w:rsidRDefault="00615116">
      <w:pPr>
        <w:rPr>
          <w:rStyle w:val="Normal1"/>
        </w:rPr>
      </w:pPr>
      <w:r>
        <w:rPr>
          <w:rStyle w:val="Normal1"/>
        </w:rPr>
        <w:t>“b’) 8.000 euro urtean</w:t>
      </w:r>
    </w:p>
    <w:p w:rsidR="00C6145B" w:rsidRDefault="00615116">
      <w:pPr>
        <w:rPr>
          <w:rStyle w:val="Normal1"/>
        </w:rPr>
      </w:pPr>
      <w:r>
        <w:rPr>
          <w:rStyle w:val="Normal1"/>
        </w:rPr>
        <w:t>Berrogeita hamar urteko partaide edo mutualisten kasuan, zenbatekoa 12.500 eurokoa izanen da urtean”.</w:t>
      </w:r>
    </w:p>
    <w:p w:rsidR="00C6145B" w:rsidRDefault="00615116">
      <w:pPr>
        <w:rPr>
          <w:rStyle w:val="Normal1"/>
        </w:rPr>
      </w:pPr>
      <w:r>
        <w:rPr>
          <w:rStyle w:val="Normal1"/>
          <w:u w:val="single"/>
        </w:rPr>
        <w:t>Sei</w:t>
      </w:r>
      <w:r>
        <w:rPr>
          <w:rStyle w:val="Normal1"/>
        </w:rPr>
        <w:t>. 55. artikulua, 3., 4., 5. eta 6. zenbakiak. 2018ko urtarrilaren 1etik aurrera izanen ditu ondorioak</w:t>
      </w:r>
    </w:p>
    <w:p w:rsidR="00C6145B" w:rsidRDefault="00615116">
      <w:pPr>
        <w:rPr>
          <w:rStyle w:val="Normal1"/>
        </w:rPr>
      </w:pPr>
      <w:r>
        <w:rPr>
          <w:rStyle w:val="Normal1"/>
        </w:rPr>
        <w:t>“55. artikulua, 3., 4., 5. eta 6. zenbakiak.</w:t>
      </w:r>
    </w:p>
    <w:p w:rsidR="00C6145B" w:rsidRDefault="00615116">
      <w:pPr>
        <w:rPr>
          <w:rStyle w:val="Normal1"/>
        </w:rPr>
      </w:pPr>
      <w:r>
        <w:rPr>
          <w:rStyle w:val="Normal1"/>
        </w:rPr>
        <w:t>3. Gutxieneko pertsonal pasiboarengatik. Oro har, gutxieneko pertsonala subjektu bakoitzeko 5.400 eurokoa izanen da urtean. Zenbateko horri honako hauek gehituko zaizkio:</w:t>
      </w:r>
    </w:p>
    <w:p w:rsidR="00C6145B" w:rsidRDefault="00615116">
      <w:pPr>
        <w:rPr>
          <w:rStyle w:val="Normal1"/>
        </w:rPr>
      </w:pPr>
      <w:r>
        <w:rPr>
          <w:rStyle w:val="Normal1"/>
        </w:rPr>
        <w:t>a) 945 euro, hirurogeita bost urte edo gehiago duten subjektu pasiboentzat. Zenbateko hori 2.100 eurokoa izanen da subjektu pasiboak hirurogeita hamabost urte edo gehiagoko adina baldin badu.</w:t>
      </w:r>
    </w:p>
    <w:p w:rsidR="00C6145B" w:rsidRDefault="00615116">
      <w:pPr>
        <w:rPr>
          <w:rStyle w:val="Normal1"/>
        </w:rPr>
      </w:pPr>
      <w:r>
        <w:rPr>
          <w:rStyle w:val="Normal1"/>
        </w:rPr>
        <w:t>b) 2.750 euro subjektu pasibo desgaituentzat, frogatzen badute ehuneko 33ko desgaitasun-maila edo handiagoa dutela eta ehuneko 65ekoa baino txikiagoa. Zenbateko hori 9.900 eurokoa izanen da subjektu pasiboak frogatzen badu ehuneko 65eko desgaitasun-maila edo handiagoa duela.</w:t>
      </w:r>
    </w:p>
    <w:p w:rsidR="00C6145B" w:rsidRDefault="00615116">
      <w:pPr>
        <w:rPr>
          <w:rStyle w:val="Normal1"/>
        </w:rPr>
      </w:pPr>
      <w:r>
        <w:rPr>
          <w:rStyle w:val="Normal1"/>
        </w:rPr>
        <w:t xml:space="preserve">4. Gutxieneko familiarrarengatik: </w:t>
      </w:r>
    </w:p>
    <w:p w:rsidR="00C6145B" w:rsidRDefault="00615116">
      <w:pPr>
        <w:rPr>
          <w:rStyle w:val="Normal1"/>
        </w:rPr>
      </w:pPr>
      <w:r>
        <w:rPr>
          <w:rStyle w:val="Normal1"/>
        </w:rPr>
        <w:t>Lehena. Gutxieneko familiarra honako hau izanen da:</w:t>
      </w:r>
    </w:p>
    <w:p w:rsidR="00C6145B" w:rsidRDefault="00615116">
      <w:pPr>
        <w:rPr>
          <w:rStyle w:val="Normal1"/>
        </w:rPr>
      </w:pPr>
      <w:r>
        <w:rPr>
          <w:rStyle w:val="Normal1"/>
        </w:rPr>
        <w:t>a) Subjektu pasiboarekin bizi eta urteko errenta —salbuetsiak kenduta— ondorio askotarako errenta-adierazle publikoa (IPREM) {*} baino altuagoa ez duen aurreko ahaide bakoitzeko, zenbateko hauetako bat:</w:t>
      </w:r>
    </w:p>
    <w:p w:rsidR="00C6145B" w:rsidRDefault="00615116">
      <w:pPr>
        <w:rPr>
          <w:rStyle w:val="Normal1"/>
        </w:rPr>
      </w:pPr>
      <w:r>
        <w:rPr>
          <w:rStyle w:val="Normal1"/>
        </w:rPr>
        <w:lastRenderedPageBreak/>
        <w:t>– 945 euro, aurreko ahaideak hirurogeita bost urte edo gehiago baditu edo, gazteagoa izan arren, apartatu honetako c) letran adierazitako zenbatekoak aplikatzeko eskubidea izateko baldintzak betetzen baditu.</w:t>
      </w:r>
    </w:p>
    <w:p w:rsidR="00C6145B" w:rsidRDefault="00615116">
      <w:pPr>
        <w:rPr>
          <w:rStyle w:val="Normal1"/>
        </w:rPr>
      </w:pPr>
      <w:r>
        <w:rPr>
          <w:rStyle w:val="Normal1"/>
        </w:rPr>
        <w:t>– 2.100 euro, aurreko ahaideak hirurogeita hamabost urte edo gehiago baditu. Letra honetan aurreikusitako errenta-muga, aurreko ahaide horiek familia unitate baten parte badira, ondorio askotarako errenta-adierazle publikoa (IPREM) halako bi izanen da, familia unitate osorako.</w:t>
      </w:r>
    </w:p>
    <w:p w:rsidR="00C6145B" w:rsidRDefault="00615116">
      <w:pPr>
        <w:rPr>
          <w:rStyle w:val="Normal1"/>
        </w:rPr>
      </w:pPr>
      <w:r>
        <w:rPr>
          <w:rStyle w:val="Normal1"/>
        </w:rPr>
        <w:t>b) Hogeita hamar urte baino gutxiagoko ondorengo ahaide ezkongabe bakoitzeko, baldin eta subjektu pasiboarekin bizi bada eta ondorio askotarako errenta-adierazle publikotik (IPREM) goragoko urteko errentarik jasotzen ez badu, salbuetsiak bazter utzirik:</w:t>
      </w:r>
    </w:p>
    <w:p w:rsidR="00C6145B" w:rsidRDefault="00615116">
      <w:pPr>
        <w:rPr>
          <w:rStyle w:val="Normal1"/>
        </w:rPr>
      </w:pPr>
      <w:r>
        <w:rPr>
          <w:rStyle w:val="Normal1"/>
        </w:rPr>
        <w:t>– 1.732 euro urtean, lehenbizikoagatik.</w:t>
      </w:r>
    </w:p>
    <w:p w:rsidR="00C6145B" w:rsidRDefault="00615116">
      <w:pPr>
        <w:rPr>
          <w:rStyle w:val="Normal1"/>
        </w:rPr>
      </w:pPr>
      <w:r>
        <w:rPr>
          <w:rStyle w:val="Normal1"/>
        </w:rPr>
        <w:t>– 1.837 euro urtean, bigarrenagatik.</w:t>
      </w:r>
    </w:p>
    <w:p w:rsidR="00C6145B" w:rsidRDefault="00615116">
      <w:pPr>
        <w:rPr>
          <w:rStyle w:val="Normal1"/>
        </w:rPr>
      </w:pPr>
      <w:r>
        <w:rPr>
          <w:rStyle w:val="Normal1"/>
        </w:rPr>
        <w:t>– 2. 625 euro urtean, hirugarrenagatik.</w:t>
      </w:r>
    </w:p>
    <w:p w:rsidR="00C6145B" w:rsidRDefault="00615116">
      <w:pPr>
        <w:rPr>
          <w:rStyle w:val="Normal1"/>
        </w:rPr>
      </w:pPr>
      <w:r>
        <w:rPr>
          <w:rStyle w:val="Normal1"/>
        </w:rPr>
        <w:t>– 3.517 euro urtean, laugarrenagatik.</w:t>
      </w:r>
    </w:p>
    <w:p w:rsidR="00C6145B" w:rsidRDefault="00615116">
      <w:pPr>
        <w:rPr>
          <w:rStyle w:val="Normal1"/>
        </w:rPr>
      </w:pPr>
      <w:r>
        <w:rPr>
          <w:rStyle w:val="Normal1"/>
        </w:rPr>
        <w:t>– 3.990 euro urtean, bosgarrenagatik.</w:t>
      </w:r>
    </w:p>
    <w:p w:rsidR="00C6145B" w:rsidRDefault="00615116">
      <w:pPr>
        <w:rPr>
          <w:rStyle w:val="Normal1"/>
        </w:rPr>
      </w:pPr>
      <w:r>
        <w:rPr>
          <w:rStyle w:val="Normal1"/>
        </w:rPr>
        <w:t>– 4.620 euro seigarrenagatik eta ondokoengatik.</w:t>
      </w:r>
    </w:p>
    <w:p w:rsidR="00C6145B" w:rsidRDefault="00615116">
      <w:pPr>
        <w:rPr>
          <w:rStyle w:val="Normal1"/>
        </w:rPr>
      </w:pPr>
      <w:r>
        <w:rPr>
          <w:rStyle w:val="Normal1"/>
        </w:rPr>
        <w:t>Zenbateko horiek orobat aplikatuko dira ondorengo ahaide ezkongabe bakoitzeko, haren adina zein ere den, baldin eta eskubidea badu ondoko c) letran aurreikusitako kenkariak baliatzeko. Horretaz gain, letra honetan ezarritako zenbatekoak aplikatzeko eskubidea ematen duten hiru urte baino gutxiagoko ondorengo ahaide edo haur adoptatu bakoitzeko, 2.310 euro urtean. Zenbateko hori 4.200 eurokoa izanen da urtean, baldin eta, aplikatzekoak diren arauen eta hitzarmenen arabera, adopzioak nazioartekoak badira. Adopzio kasuetan, kasuko murriztapena aplikatuko da Erregistro Zibileko izen-ematearen zergaldian eta hurrengo bietan.</w:t>
      </w:r>
    </w:p>
    <w:p w:rsidR="00C6145B" w:rsidRDefault="00615116">
      <w:pPr>
        <w:rPr>
          <w:rStyle w:val="Normal1"/>
        </w:rPr>
      </w:pPr>
      <w:r>
        <w:rPr>
          <w:rStyle w:val="Normal1"/>
        </w:rPr>
        <w:t>c) Subjektu pasiboarekin bizi den ondorengo ahaide ezkongabe edo aurreko ahaide bakoitzeko, bere adina zein ere den, 2.420 euro urtean, arestiko letretan xedatutakoari jarraikiz bidezkoak diren zenbatekoez gain, baldin eta ondoko baldintzak betetzen badituzte: horien urtealdi-errentak, salbuetsiak kanpo, kasuan kasuko zergaldian, ondorio askotarako errenta-adierazle publikoa (IPREM) baino handiagoak ez izatea, eta desgaitasunen bat izatea, eta duten desgaitasun maila ehuneko 33koa edo handiagoa eta ehuneko 65ekoa baino txikiagoa dela frogatzea. Zenbateko hori 8.470 eurokoa izanen da urtean, egiaztatutako desgaitasun maila ehuneko 65ekoa edo handiagoa bada.</w:t>
      </w:r>
    </w:p>
    <w:p w:rsidR="00C6145B" w:rsidRDefault="00615116">
      <w:pPr>
        <w:rPr>
          <w:rStyle w:val="Normal1"/>
        </w:rPr>
      </w:pPr>
      <w:r>
        <w:rPr>
          <w:rStyle w:val="Normal1"/>
        </w:rPr>
        <w:t>Aurreko ahaide horiek familia unitate baten parte badira, aurreko paragrafoan aurreikusitako errenta-muga izanen da ondorio askotarako errenta-adierazle publikoa (IPREM) halako bi, familia unitate osorako.</w:t>
      </w:r>
    </w:p>
    <w:p w:rsidR="00C6145B" w:rsidRDefault="00615116">
      <w:pPr>
        <w:rPr>
          <w:rStyle w:val="Normal1"/>
        </w:rPr>
      </w:pPr>
      <w:r>
        <w:rPr>
          <w:rStyle w:val="Normal1"/>
        </w:rPr>
        <w:t>Aurreko b) eta c) letretan xedatutakoaren ondorioetarako, ondorengo ahaideen sailkapen berean sartuko dira aplikatzekoa den legedi zibilean ezarritako terminoetan egindako tutoretza, umeordetze edo harrera kasuengatik subjektu pasiboarekin lotura duten pertsonak, aurreko edo ondorengo ahaideak ez direnak.</w:t>
      </w:r>
    </w:p>
    <w:p w:rsidR="00C6145B" w:rsidRDefault="00615116">
      <w:pPr>
        <w:rPr>
          <w:rStyle w:val="Normal1"/>
        </w:rPr>
      </w:pPr>
      <w:r>
        <w:rPr>
          <w:rStyle w:val="Normal1"/>
        </w:rPr>
        <w:t>Bigarrena. Bi subjektu pasibok edo gehiagok baldin badute gutxieneko familiarrak aplikatzeko eskubidea, zenbatekoa haien artean banatuko da zati berdinetan. Berdin jokatuko da ondorengo ahaideen zaintza partekatuaren kasuetan. Nolanahi ere, subjektu pasiboek ahaidetasun gradu desberdina baldin badute aurreko ahaidearekin, ondorengoarekin edo pertsona lagunduarekin, gutxieneko familiarra gradurik hurbilenekoei aplikatuko zaie, non eta horiek ez duten ondorio askotarako errenta-adierazleaz (IPREM) goitiko errentarik (salbuetsiak alde batera utzita), kasu horretan hurrengo gradukoei aplikatuko baitzaie.</w:t>
      </w:r>
    </w:p>
    <w:p w:rsidR="00C6145B" w:rsidRDefault="00615116">
      <w:pPr>
        <w:rPr>
          <w:rStyle w:val="Normal1"/>
        </w:rPr>
      </w:pPr>
      <w:r>
        <w:rPr>
          <w:rStyle w:val="Normal1"/>
        </w:rPr>
        <w:t>Subjektu pasibo bakoitzaren gutxieneko pertsonal eta familiarra apartatu honen eta aurrekoaren arabera aplikatu beharreko zenbatekoen batura izanen da.</w:t>
      </w:r>
    </w:p>
    <w:p w:rsidR="00C6145B" w:rsidRDefault="00615116">
      <w:pPr>
        <w:rPr>
          <w:rStyle w:val="Normal1"/>
        </w:rPr>
      </w:pPr>
      <w:r>
        <w:rPr>
          <w:rStyle w:val="Normal1"/>
        </w:rPr>
        <w:t>5. Ondorengo eta aurreko ahaideak, beste ahaide batzuk eta desgaitasuna duten pertsonak zaintzeagatik. Subjektu pasiboak Gizarte Segurantzarekiko kotizazioengatik zergaldian ordaindutako diru kopuruak, bai eta Gizarte Segurantzako kotizazio-oinarriaren ehuneko 15 ere, ondoko ezaugarriak dituzten pertsonak etxean zaintzeko lanetan aritzen direnekin formalizatutako kontratuen ondorioz:</w:t>
      </w:r>
    </w:p>
    <w:p w:rsidR="00C6145B" w:rsidRDefault="00615116">
      <w:pPr>
        <w:rPr>
          <w:rStyle w:val="Normal1"/>
        </w:rPr>
      </w:pPr>
      <w:r>
        <w:rPr>
          <w:rStyle w:val="Normal1"/>
        </w:rPr>
        <w:t>a) Hamasei urtetik beherako ondorengoak.</w:t>
      </w:r>
    </w:p>
    <w:p w:rsidR="00C6145B" w:rsidRDefault="00615116">
      <w:pPr>
        <w:rPr>
          <w:rStyle w:val="Normal1"/>
        </w:rPr>
      </w:pPr>
      <w:r>
        <w:rPr>
          <w:rStyle w:val="Normal1"/>
        </w:rPr>
        <w:lastRenderedPageBreak/>
        <w:t>b) Subjektu pasiboari eskubidea ematen diotenak artikulu honetako 4.1 apartatuko a) eta c) letretan aurreikusitako gutxieneko familiarra aplikatzeko, edo hamahirugarren xedapen iragankorrean ezarritako terminoen arabera pertsona lagunduaren izaera duten ahaideengatiko murriztapena aplikatzeko.</w:t>
      </w:r>
    </w:p>
    <w:p w:rsidR="00C6145B" w:rsidRDefault="00615116">
      <w:pPr>
        <w:rPr>
          <w:rStyle w:val="Normal1"/>
        </w:rPr>
      </w:pPr>
      <w:r>
        <w:rPr>
          <w:rStyle w:val="Normal1"/>
        </w:rPr>
        <w:t>c) Aurreko ahaideak, anai-arrebak eta osaba-izebak, artikulu honen 4. zenbakiko 1. apartatuko a) edo c) letretan aurreko ahaideentzat ezarritako baldintzak betetzen badituzte.</w:t>
      </w:r>
    </w:p>
    <w:p w:rsidR="00C6145B" w:rsidRDefault="00615116">
      <w:pPr>
        <w:rPr>
          <w:rStyle w:val="Normal1"/>
        </w:rPr>
      </w:pPr>
      <w:r>
        <w:rPr>
          <w:rStyle w:val="Normal1"/>
        </w:rPr>
        <w:t>Murriztapen hori ere aplikatzen ahalko da subjektu pasiboa bera zaintzeko formalizatutako kontratuen kasuan, hirurogeita bost urte edo gehiago baditu edo ehuneko 65eko edo gehiagoko desgaitasuna frogatzen badu.</w:t>
      </w:r>
    </w:p>
    <w:p w:rsidR="00C6145B" w:rsidRDefault="00615116">
      <w:pPr>
        <w:rPr>
          <w:rStyle w:val="Normal1"/>
        </w:rPr>
      </w:pPr>
      <w:r>
        <w:rPr>
          <w:rStyle w:val="Normal1"/>
        </w:rPr>
        <w:t>6. Artikulu honetan aipatutako murriztapenak honako arau hauei jarraikiz eginen dira:</w:t>
      </w:r>
    </w:p>
    <w:p w:rsidR="00C6145B" w:rsidRDefault="00615116">
      <w:pPr>
        <w:rPr>
          <w:rStyle w:val="Normal1"/>
        </w:rPr>
      </w:pPr>
      <w:r>
        <w:rPr>
          <w:rStyle w:val="Normal1"/>
        </w:rPr>
        <w:t>Lehena. Lehenbizi aplikatuko dira 1. eta 2. apartatuetan ezarritakoak, bai eta hamahirugarren, hamalaugarren eta hamabosgarren xedapen gehigarrietan ezarritakoak ere.</w:t>
      </w:r>
    </w:p>
    <w:p w:rsidR="00C6145B" w:rsidRDefault="00615116">
      <w:pPr>
        <w:rPr>
          <w:rStyle w:val="Normal1"/>
        </w:rPr>
      </w:pPr>
      <w:r>
        <w:rPr>
          <w:rStyle w:val="Normal1"/>
        </w:rPr>
        <w:t>Bigarrena. Emaitza positiboa bada, 3., 4., 5. eta 6. apartatuetan ezarritakoa aplikatuko da, haren mugaraino. Aplikatu gabeko diru kopuruak, halakorik balitz, zerga-oinarriaren aurrezkiaren zati berezia murriztuko luke, baina negatibo bihurtu gabe. Emaitza negatiboa bada, 3., 4., 5. eta 6. apartatuetakoak zerga-oinarriaren aurrezkiaren zati berezia gutxitzeko aplikatuko dira, eta kasu honetan ere ezin izanen da negatiboa izan”.</w:t>
      </w:r>
    </w:p>
    <w:p w:rsidR="00C6145B" w:rsidRDefault="00615116">
      <w:pPr>
        <w:rPr>
          <w:rStyle w:val="Normal1"/>
        </w:rPr>
      </w:pPr>
      <w:r>
        <w:rPr>
          <w:rStyle w:val="Normal1"/>
          <w:u w:val="single"/>
        </w:rPr>
        <w:t>Zazpi</w:t>
      </w:r>
      <w:r>
        <w:rPr>
          <w:rStyle w:val="Normal1"/>
        </w:rPr>
        <w:t>. 59. artikulua. 2018ko urtarrilaren 1etik aurrera izanen ditu ondorioak</w:t>
      </w:r>
    </w:p>
    <w:p w:rsidR="00C6145B" w:rsidRDefault="00615116">
      <w:pPr>
        <w:rPr>
          <w:rStyle w:val="Normal1"/>
        </w:rPr>
      </w:pPr>
      <w:r>
        <w:rPr>
          <w:rStyle w:val="Normal1"/>
        </w:rPr>
        <w:t>“59. artikulua. Likidazio-oinarri orokorraren karga-tasa</w:t>
      </w:r>
    </w:p>
    <w:p w:rsidR="00615116" w:rsidRDefault="00615116" w:rsidP="00615116">
      <w:pPr>
        <w:pStyle w:val="Prrafodelista"/>
        <w:numPr>
          <w:ilvl w:val="0"/>
          <w:numId w:val="1"/>
        </w:numPr>
        <w:rPr>
          <w:rStyle w:val="Normal1"/>
        </w:rPr>
      </w:pPr>
      <w:r>
        <w:rPr>
          <w:rStyle w:val="Normal1"/>
        </w:rPr>
        <w:t>Likidazio-oinarri orokorrari honako eskala honetan adierazten diren karga-tasak aplikatuko zaizkio:</w:t>
      </w:r>
    </w:p>
    <w:tbl>
      <w:tblPr>
        <w:tblStyle w:val="TableNormal"/>
        <w:tblW w:w="8182" w:type="dxa"/>
        <w:tblInd w:w="8" w:type="dxa"/>
        <w:tblLayout w:type="fixed"/>
        <w:tblLook w:val="01E0" w:firstRow="1" w:lastRow="1" w:firstColumn="1" w:lastColumn="1" w:noHBand="0" w:noVBand="0"/>
      </w:tblPr>
      <w:tblGrid>
        <w:gridCol w:w="1985"/>
        <w:gridCol w:w="1559"/>
        <w:gridCol w:w="2795"/>
        <w:gridCol w:w="1843"/>
      </w:tblGrid>
      <w:tr w:rsidR="00615116" w:rsidRPr="00475462" w:rsidTr="00475462">
        <w:trPr>
          <w:trHeight w:hRule="exact" w:val="791"/>
        </w:trPr>
        <w:tc>
          <w:tcPr>
            <w:tcW w:w="1985"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tabs>
                <w:tab w:val="left" w:pos="142"/>
              </w:tabs>
              <w:spacing w:before="40" w:after="40"/>
              <w:ind w:right="108"/>
              <w:jc w:val="center"/>
              <w:rPr>
                <w:rFonts w:ascii="Arial" w:eastAsia="Courier New" w:hAnsi="Arial" w:cs="Arial"/>
                <w:sz w:val="18"/>
                <w:szCs w:val="18"/>
              </w:rPr>
            </w:pPr>
            <w:r w:rsidRPr="00475462">
              <w:rPr>
                <w:rFonts w:ascii="Arial" w:hAnsi="Arial" w:cs="Arial"/>
                <w:sz w:val="18"/>
                <w:szCs w:val="18"/>
              </w:rPr>
              <w:t>Likidazio-oinarria, zenbateraino</w:t>
            </w:r>
          </w:p>
        </w:tc>
        <w:tc>
          <w:tcPr>
            <w:tcW w:w="1559"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tabs>
                <w:tab w:val="left" w:pos="142"/>
              </w:tabs>
              <w:spacing w:before="40" w:after="40"/>
              <w:ind w:right="134"/>
              <w:jc w:val="center"/>
              <w:rPr>
                <w:rFonts w:ascii="Arial" w:eastAsia="Courier New" w:hAnsi="Arial" w:cs="Arial"/>
                <w:sz w:val="18"/>
                <w:szCs w:val="18"/>
              </w:rPr>
            </w:pPr>
            <w:r w:rsidRPr="00475462">
              <w:rPr>
                <w:rFonts w:ascii="Arial" w:hAnsi="Arial" w:cs="Arial"/>
                <w:sz w:val="18"/>
                <w:szCs w:val="18"/>
              </w:rPr>
              <w:t>Kuota osoa</w:t>
            </w:r>
          </w:p>
        </w:tc>
        <w:tc>
          <w:tcPr>
            <w:tcW w:w="2795"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tabs>
                <w:tab w:val="left" w:pos="142"/>
              </w:tabs>
              <w:spacing w:before="40" w:after="40"/>
              <w:ind w:right="212"/>
              <w:jc w:val="center"/>
              <w:rPr>
                <w:rFonts w:ascii="Arial" w:eastAsia="Courier New" w:hAnsi="Arial" w:cs="Arial"/>
                <w:sz w:val="18"/>
                <w:szCs w:val="18"/>
              </w:rPr>
            </w:pPr>
            <w:r w:rsidRPr="00475462">
              <w:rPr>
                <w:rFonts w:ascii="Arial" w:hAnsi="Arial" w:cs="Arial"/>
                <w:sz w:val="18"/>
                <w:szCs w:val="18"/>
              </w:rPr>
              <w:t>Oinarriaren soberakina, zenbateraino</w:t>
            </w:r>
          </w:p>
        </w:tc>
        <w:tc>
          <w:tcPr>
            <w:tcW w:w="1843" w:type="dxa"/>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tabs>
                <w:tab w:val="left" w:pos="142"/>
              </w:tabs>
              <w:spacing w:before="40" w:after="40"/>
              <w:ind w:right="77"/>
              <w:jc w:val="center"/>
              <w:rPr>
                <w:rFonts w:ascii="Arial" w:eastAsia="Courier New" w:hAnsi="Arial" w:cs="Arial"/>
                <w:sz w:val="18"/>
                <w:szCs w:val="18"/>
              </w:rPr>
            </w:pPr>
            <w:r w:rsidRPr="00475462">
              <w:rPr>
                <w:rFonts w:ascii="Arial" w:hAnsi="Arial" w:cs="Arial"/>
                <w:sz w:val="18"/>
                <w:szCs w:val="18"/>
              </w:rPr>
              <w:t>Aplikatzekoa den tasa</w:t>
            </w:r>
          </w:p>
        </w:tc>
      </w:tr>
      <w:tr w:rsidR="00615116" w:rsidRPr="00475462" w:rsidTr="00475462">
        <w:trPr>
          <w:trHeight w:hRule="exact" w:val="311"/>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center"/>
              <w:rPr>
                <w:rFonts w:ascii="Arial" w:eastAsia="Times New Roman" w:hAnsi="Arial" w:cs="Arial"/>
                <w:sz w:val="18"/>
                <w:szCs w:val="18"/>
              </w:rPr>
            </w:pPr>
            <w:r w:rsidRPr="00475462">
              <w:rPr>
                <w:rFonts w:ascii="Arial" w:hAnsi="Arial" w:cs="Arial"/>
                <w:sz w:val="18"/>
                <w:szCs w:val="18"/>
              </w:rPr>
              <w:t>-</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tabs>
                <w:tab w:val="left" w:pos="142"/>
              </w:tabs>
              <w:spacing w:before="40" w:after="40" w:line="240" w:lineRule="auto"/>
              <w:ind w:right="426"/>
              <w:rPr>
                <w:rFonts w:ascii="Arial" w:hAnsi="Arial" w:cs="Arial"/>
                <w:sz w:val="18"/>
                <w:szCs w:val="18"/>
              </w:rPr>
            </w:pP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3.940,00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12,50</w:t>
            </w:r>
          </w:p>
        </w:tc>
      </w:tr>
      <w:tr w:rsidR="00615116" w:rsidRPr="00475462" w:rsidTr="00475462">
        <w:trPr>
          <w:trHeight w:hRule="exact" w:val="311"/>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3.940,00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492,50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4.815,00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21,50</w:t>
            </w:r>
          </w:p>
        </w:tc>
      </w:tr>
      <w:tr w:rsidR="00615116" w:rsidRPr="00475462" w:rsidTr="00475462">
        <w:trPr>
          <w:trHeight w:hRule="exact" w:val="311"/>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8.755,00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1.527;50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9.295,00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24,50</w:t>
            </w:r>
          </w:p>
        </w:tc>
      </w:tr>
      <w:tr w:rsidR="00615116" w:rsidRPr="00475462" w:rsidTr="00475462">
        <w:trPr>
          <w:trHeight w:hRule="exact" w:val="354"/>
        </w:trPr>
        <w:tc>
          <w:tcPr>
            <w:tcW w:w="1985"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18.050,00</w:t>
            </w:r>
          </w:p>
        </w:tc>
        <w:tc>
          <w:tcPr>
            <w:tcW w:w="1559"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3.805,00</w:t>
            </w:r>
          </w:p>
        </w:tc>
        <w:tc>
          <w:tcPr>
            <w:tcW w:w="2795"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13.680,00</w:t>
            </w:r>
          </w:p>
        </w:tc>
        <w:tc>
          <w:tcPr>
            <w:tcW w:w="1843"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27,50</w:t>
            </w:r>
          </w:p>
        </w:tc>
      </w:tr>
      <w:tr w:rsidR="00615116" w:rsidRPr="00475462" w:rsidTr="00475462">
        <w:trPr>
          <w:trHeight w:hRule="exact" w:val="256"/>
        </w:trPr>
        <w:tc>
          <w:tcPr>
            <w:tcW w:w="1985" w:type="dxa"/>
            <w:tcBorders>
              <w:top w:val="single" w:sz="2"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31.730,00</w:t>
            </w:r>
          </w:p>
        </w:tc>
        <w:tc>
          <w:tcPr>
            <w:tcW w:w="1559" w:type="dxa"/>
            <w:tcBorders>
              <w:top w:val="single" w:sz="2"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7.567,00</w:t>
            </w:r>
          </w:p>
        </w:tc>
        <w:tc>
          <w:tcPr>
            <w:tcW w:w="2795" w:type="dxa"/>
            <w:tcBorders>
              <w:top w:val="single" w:sz="2"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15.120,00</w:t>
            </w:r>
          </w:p>
        </w:tc>
        <w:tc>
          <w:tcPr>
            <w:tcW w:w="1843" w:type="dxa"/>
            <w:tcBorders>
              <w:top w:val="single" w:sz="2"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36,00</w:t>
            </w:r>
          </w:p>
        </w:tc>
      </w:tr>
      <w:tr w:rsidR="00615116" w:rsidRPr="00475462" w:rsidTr="00475462">
        <w:trPr>
          <w:trHeight w:hRule="exact" w:val="311"/>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46.850,00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13.010,20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8.160,00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40,00</w:t>
            </w:r>
          </w:p>
        </w:tc>
      </w:tr>
      <w:tr w:rsidR="00615116" w:rsidRPr="00475462" w:rsidTr="00475462">
        <w:trPr>
          <w:trHeight w:hRule="exact" w:val="308"/>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55.010,00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16.274,20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35.630,00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42,00</w:t>
            </w:r>
          </w:p>
        </w:tc>
      </w:tr>
      <w:tr w:rsidR="00615116" w:rsidRPr="00475462" w:rsidTr="00475462">
        <w:trPr>
          <w:trHeight w:hRule="exact" w:val="306"/>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90.640,00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31.238,80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34.360,00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45,00</w:t>
            </w:r>
          </w:p>
        </w:tc>
      </w:tr>
      <w:tr w:rsidR="00615116" w:rsidRPr="00475462" w:rsidTr="00475462">
        <w:trPr>
          <w:trHeight w:hRule="exact" w:val="308"/>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125.000,00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46.700,80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50.000,00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46,00</w:t>
            </w:r>
          </w:p>
        </w:tc>
      </w:tr>
      <w:tr w:rsidR="00615116" w:rsidRPr="00475462" w:rsidTr="00475462">
        <w:trPr>
          <w:trHeight w:hRule="exact" w:val="313"/>
        </w:trPr>
        <w:tc>
          <w:tcPr>
            <w:tcW w:w="198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175.000,00</w:t>
            </w:r>
          </w:p>
        </w:tc>
        <w:tc>
          <w:tcPr>
            <w:tcW w:w="1559"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69.700,80</w:t>
            </w:r>
          </w:p>
        </w:tc>
        <w:tc>
          <w:tcPr>
            <w:tcW w:w="2795"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952"/>
              <w:jc w:val="right"/>
              <w:rPr>
                <w:rFonts w:ascii="Arial" w:eastAsia="Times New Roman" w:hAnsi="Arial" w:cs="Arial"/>
                <w:sz w:val="18"/>
                <w:szCs w:val="18"/>
              </w:rPr>
            </w:pPr>
            <w:r w:rsidRPr="00475462">
              <w:rPr>
                <w:rFonts w:ascii="Arial" w:hAnsi="Arial" w:cs="Arial"/>
                <w:sz w:val="18"/>
                <w:szCs w:val="18"/>
              </w:rPr>
              <w:t>125.000,00</w:t>
            </w:r>
          </w:p>
        </w:tc>
        <w:tc>
          <w:tcPr>
            <w:tcW w:w="1843" w:type="dxa"/>
            <w:tcBorders>
              <w:top w:val="single" w:sz="6" w:space="0" w:color="000000"/>
              <w:left w:val="single" w:sz="6" w:space="0" w:color="000000"/>
              <w:bottom w:val="single" w:sz="6" w:space="0" w:color="000000"/>
              <w:right w:val="single" w:sz="6" w:space="0" w:color="000000"/>
            </w:tcBorders>
          </w:tcPr>
          <w:p w:rsidR="00615116" w:rsidRPr="00475462" w:rsidRDefault="00615116" w:rsidP="00475462">
            <w:pPr>
              <w:pStyle w:val="TableParagraph"/>
              <w:tabs>
                <w:tab w:val="left" w:pos="142"/>
              </w:tabs>
              <w:spacing w:before="40" w:after="40"/>
              <w:ind w:right="426"/>
              <w:jc w:val="right"/>
              <w:rPr>
                <w:rFonts w:ascii="Arial" w:eastAsia="Times New Roman" w:hAnsi="Arial" w:cs="Arial"/>
                <w:sz w:val="18"/>
                <w:szCs w:val="18"/>
              </w:rPr>
            </w:pPr>
            <w:r w:rsidRPr="00475462">
              <w:rPr>
                <w:rFonts w:ascii="Arial" w:hAnsi="Arial" w:cs="Arial"/>
                <w:sz w:val="18"/>
                <w:szCs w:val="18"/>
              </w:rPr>
              <w:t>% 47,00”</w:t>
            </w:r>
          </w:p>
        </w:tc>
      </w:tr>
    </w:tbl>
    <w:p w:rsidR="00615116" w:rsidRDefault="00615116" w:rsidP="00615116">
      <w:pPr>
        <w:rPr>
          <w:rStyle w:val="Normal1"/>
        </w:rPr>
      </w:pPr>
    </w:p>
    <w:p w:rsidR="00C6145B" w:rsidRDefault="00615116">
      <w:pPr>
        <w:rPr>
          <w:rStyle w:val="Normal1"/>
        </w:rPr>
      </w:pPr>
      <w:r>
        <w:rPr>
          <w:rStyle w:val="Normal1"/>
          <w:u w:val="single"/>
        </w:rPr>
        <w:t>Zortzi</w:t>
      </w:r>
      <w:r>
        <w:rPr>
          <w:rStyle w:val="Normal1"/>
        </w:rPr>
        <w:t>. 60. artikulua. 2018ko urtarrilaren 1etik aurrera izanen ditu ondorioak</w:t>
      </w:r>
    </w:p>
    <w:p w:rsidR="00C6145B" w:rsidRDefault="00615116">
      <w:pPr>
        <w:rPr>
          <w:rStyle w:val="Normal1"/>
        </w:rPr>
      </w:pPr>
      <w:r>
        <w:rPr>
          <w:rStyle w:val="Normal1"/>
        </w:rPr>
        <w:t>“60. artikulua. Aurrezkiaren likidazio-oinarri bereziaren karga-tasa</w:t>
      </w:r>
    </w:p>
    <w:p w:rsidR="00C6145B" w:rsidRDefault="00615116">
      <w:pPr>
        <w:rPr>
          <w:rStyle w:val="Normal1"/>
        </w:rPr>
      </w:pPr>
      <w:r>
        <w:rPr>
          <w:rStyle w:val="Normal1"/>
        </w:rPr>
        <w:t>Aurrezkiaren likidazio-oinarri bereziari honako eskala honetan adierazten diren karga-tasak aplikatuko zaizkio:</w:t>
      </w:r>
    </w:p>
    <w:tbl>
      <w:tblPr>
        <w:tblStyle w:val="TableNormal"/>
        <w:tblW w:w="8222" w:type="dxa"/>
        <w:tblInd w:w="3" w:type="dxa"/>
        <w:tblLayout w:type="fixed"/>
        <w:tblLook w:val="01E0" w:firstRow="1" w:lastRow="1" w:firstColumn="1" w:lastColumn="1" w:noHBand="0" w:noVBand="0"/>
      </w:tblPr>
      <w:tblGrid>
        <w:gridCol w:w="1985"/>
        <w:gridCol w:w="1559"/>
        <w:gridCol w:w="2835"/>
        <w:gridCol w:w="1843"/>
      </w:tblGrid>
      <w:tr w:rsidR="00615116" w:rsidRPr="00475462" w:rsidTr="00475462">
        <w:trPr>
          <w:trHeight w:hRule="exact" w:val="700"/>
        </w:trPr>
        <w:tc>
          <w:tcPr>
            <w:tcW w:w="1985" w:type="dxa"/>
            <w:tcBorders>
              <w:top w:val="single" w:sz="2" w:space="0" w:color="000000"/>
              <w:left w:val="single" w:sz="2"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spacing w:before="40" w:after="40"/>
              <w:ind w:right="120"/>
              <w:jc w:val="center"/>
              <w:rPr>
                <w:rFonts w:ascii="Arial" w:eastAsia="Arial" w:hAnsi="Arial" w:cs="Arial"/>
                <w:sz w:val="18"/>
                <w:szCs w:val="18"/>
              </w:rPr>
            </w:pPr>
            <w:bookmarkStart w:id="0" w:name="_GoBack"/>
            <w:r w:rsidRPr="00475462">
              <w:rPr>
                <w:rFonts w:ascii="Arial" w:hAnsi="Arial" w:cs="Arial"/>
                <w:sz w:val="18"/>
                <w:szCs w:val="18"/>
              </w:rPr>
              <w:t>Likidazio-oinarria, zenbateraino</w:t>
            </w:r>
          </w:p>
        </w:tc>
        <w:tc>
          <w:tcPr>
            <w:tcW w:w="1559"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spacing w:before="40" w:after="40"/>
              <w:ind w:right="139"/>
              <w:jc w:val="center"/>
              <w:rPr>
                <w:rFonts w:ascii="Arial" w:eastAsia="Arial" w:hAnsi="Arial" w:cs="Arial"/>
                <w:sz w:val="18"/>
                <w:szCs w:val="18"/>
              </w:rPr>
            </w:pPr>
            <w:r w:rsidRPr="00475462">
              <w:rPr>
                <w:rFonts w:ascii="Arial" w:hAnsi="Arial" w:cs="Arial"/>
                <w:w w:val="105"/>
                <w:sz w:val="18"/>
                <w:szCs w:val="18"/>
              </w:rPr>
              <w:t>Kuota osoa</w:t>
            </w:r>
          </w:p>
        </w:tc>
        <w:tc>
          <w:tcPr>
            <w:tcW w:w="2835"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spacing w:before="40" w:after="40"/>
              <w:ind w:right="235"/>
              <w:jc w:val="center"/>
              <w:rPr>
                <w:rFonts w:ascii="Arial" w:eastAsia="Arial" w:hAnsi="Arial" w:cs="Arial"/>
                <w:sz w:val="18"/>
                <w:szCs w:val="18"/>
              </w:rPr>
            </w:pPr>
            <w:r w:rsidRPr="00475462">
              <w:rPr>
                <w:rFonts w:ascii="Arial" w:hAnsi="Arial" w:cs="Arial"/>
                <w:sz w:val="18"/>
                <w:szCs w:val="18"/>
              </w:rPr>
              <w:t>Oinarriaren soberakina, zenbateraino</w:t>
            </w:r>
          </w:p>
        </w:tc>
        <w:tc>
          <w:tcPr>
            <w:tcW w:w="1843" w:type="dxa"/>
            <w:tcBorders>
              <w:top w:val="single" w:sz="2" w:space="0" w:color="000000"/>
              <w:left w:val="single" w:sz="6" w:space="0" w:color="000000"/>
              <w:bottom w:val="single" w:sz="6" w:space="0" w:color="000000"/>
              <w:right w:val="single" w:sz="6" w:space="0" w:color="000000"/>
            </w:tcBorders>
            <w:shd w:val="clear" w:color="auto" w:fill="C6D9F1" w:themeFill="text2" w:themeFillTint="33"/>
            <w:vAlign w:val="center"/>
          </w:tcPr>
          <w:p w:rsidR="00615116" w:rsidRPr="00475462" w:rsidRDefault="00475462" w:rsidP="00475462">
            <w:pPr>
              <w:pStyle w:val="TableParagraph"/>
              <w:spacing w:before="40" w:after="40"/>
              <w:ind w:right="81"/>
              <w:jc w:val="center"/>
              <w:rPr>
                <w:rFonts w:ascii="Arial" w:eastAsia="Arial" w:hAnsi="Arial" w:cs="Arial"/>
                <w:sz w:val="18"/>
                <w:szCs w:val="18"/>
              </w:rPr>
            </w:pPr>
            <w:r w:rsidRPr="00475462">
              <w:rPr>
                <w:rFonts w:ascii="Arial" w:hAnsi="Arial" w:cs="Arial"/>
                <w:w w:val="105"/>
                <w:sz w:val="18"/>
                <w:szCs w:val="18"/>
              </w:rPr>
              <w:t>Aplikatzekoa den tasa</w:t>
            </w:r>
          </w:p>
        </w:tc>
      </w:tr>
      <w:tr w:rsidR="00615116" w:rsidRPr="00475462" w:rsidTr="00475462">
        <w:trPr>
          <w:trHeight w:hRule="exact" w:val="359"/>
        </w:trPr>
        <w:tc>
          <w:tcPr>
            <w:tcW w:w="1985" w:type="dxa"/>
            <w:tcBorders>
              <w:top w:val="single" w:sz="6" w:space="0" w:color="000000"/>
              <w:left w:val="single" w:sz="2" w:space="0" w:color="000000"/>
              <w:bottom w:val="single" w:sz="2" w:space="0" w:color="000000"/>
              <w:right w:val="single" w:sz="6" w:space="0" w:color="000000"/>
            </w:tcBorders>
          </w:tcPr>
          <w:p w:rsidR="00615116" w:rsidRPr="00475462" w:rsidRDefault="00615116" w:rsidP="00475462">
            <w:pPr>
              <w:spacing w:before="40" w:after="40" w:line="240" w:lineRule="auto"/>
              <w:rPr>
                <w:rFonts w:ascii="Arial" w:hAnsi="Arial" w:cs="Arial"/>
                <w:sz w:val="18"/>
                <w:szCs w:val="18"/>
              </w:rPr>
            </w:pPr>
          </w:p>
        </w:tc>
        <w:tc>
          <w:tcPr>
            <w:tcW w:w="1559"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18"/>
              <w:jc w:val="center"/>
              <w:rPr>
                <w:rFonts w:ascii="Arial" w:eastAsia="Times New Roman" w:hAnsi="Arial" w:cs="Arial"/>
                <w:sz w:val="18"/>
                <w:szCs w:val="18"/>
              </w:rPr>
            </w:pPr>
            <w:r w:rsidRPr="00475462">
              <w:rPr>
                <w:rFonts w:ascii="Arial" w:hAnsi="Arial" w:cs="Arial"/>
                <w:w w:val="85"/>
                <w:sz w:val="18"/>
                <w:szCs w:val="18"/>
              </w:rPr>
              <w:t>-</w:t>
            </w:r>
          </w:p>
        </w:tc>
        <w:tc>
          <w:tcPr>
            <w:tcW w:w="2835"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325" w:right="992"/>
              <w:jc w:val="right"/>
              <w:rPr>
                <w:rFonts w:ascii="Arial" w:eastAsia="Arial" w:hAnsi="Arial" w:cs="Arial"/>
                <w:sz w:val="18"/>
                <w:szCs w:val="18"/>
              </w:rPr>
            </w:pPr>
            <w:r w:rsidRPr="00475462">
              <w:rPr>
                <w:rFonts w:ascii="Arial" w:hAnsi="Arial" w:cs="Arial"/>
                <w:sz w:val="18"/>
                <w:szCs w:val="18"/>
              </w:rPr>
              <w:t>6.000,00</w:t>
            </w:r>
          </w:p>
        </w:tc>
        <w:tc>
          <w:tcPr>
            <w:tcW w:w="1843" w:type="dxa"/>
            <w:tcBorders>
              <w:top w:val="single" w:sz="6"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490"/>
              <w:rPr>
                <w:rFonts w:ascii="Arial" w:eastAsia="Arial" w:hAnsi="Arial" w:cs="Arial"/>
                <w:sz w:val="18"/>
                <w:szCs w:val="18"/>
              </w:rPr>
            </w:pPr>
            <w:r w:rsidRPr="00475462">
              <w:rPr>
                <w:rFonts w:ascii="Arial" w:hAnsi="Arial" w:cs="Arial"/>
                <w:w w:val="105"/>
                <w:sz w:val="18"/>
                <w:szCs w:val="18"/>
              </w:rPr>
              <w:t>% 19,00</w:t>
            </w:r>
          </w:p>
        </w:tc>
      </w:tr>
      <w:tr w:rsidR="00615116" w:rsidRPr="00475462" w:rsidTr="00475462">
        <w:trPr>
          <w:trHeight w:hRule="exact" w:val="311"/>
        </w:trPr>
        <w:tc>
          <w:tcPr>
            <w:tcW w:w="1985" w:type="dxa"/>
            <w:tcBorders>
              <w:top w:val="single" w:sz="2" w:space="0" w:color="000000"/>
              <w:left w:val="single" w:sz="2" w:space="0" w:color="000000"/>
              <w:bottom w:val="single" w:sz="2" w:space="0" w:color="000000"/>
              <w:right w:val="single" w:sz="6" w:space="0" w:color="000000"/>
            </w:tcBorders>
          </w:tcPr>
          <w:p w:rsidR="00615116" w:rsidRPr="00475462" w:rsidRDefault="00615116" w:rsidP="00475462">
            <w:pPr>
              <w:pStyle w:val="TableParagraph"/>
              <w:spacing w:before="40" w:after="40"/>
              <w:ind w:left="614"/>
              <w:rPr>
                <w:rFonts w:ascii="Arial" w:eastAsia="Arial" w:hAnsi="Arial" w:cs="Arial"/>
                <w:sz w:val="18"/>
                <w:szCs w:val="18"/>
              </w:rPr>
            </w:pPr>
            <w:r w:rsidRPr="00475462">
              <w:rPr>
                <w:rFonts w:ascii="Arial" w:hAnsi="Arial" w:cs="Arial"/>
                <w:sz w:val="18"/>
                <w:szCs w:val="18"/>
              </w:rPr>
              <w:t>6.000,00</w:t>
            </w:r>
          </w:p>
        </w:tc>
        <w:tc>
          <w:tcPr>
            <w:tcW w:w="1559" w:type="dxa"/>
            <w:tcBorders>
              <w:top w:val="single" w:sz="2"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346"/>
              <w:rPr>
                <w:rFonts w:ascii="Arial" w:eastAsia="Arial" w:hAnsi="Arial" w:cs="Arial"/>
                <w:sz w:val="18"/>
                <w:szCs w:val="18"/>
              </w:rPr>
            </w:pPr>
            <w:r w:rsidRPr="00475462">
              <w:rPr>
                <w:rFonts w:ascii="Arial" w:hAnsi="Arial" w:cs="Arial"/>
                <w:sz w:val="18"/>
                <w:szCs w:val="18"/>
              </w:rPr>
              <w:t>1.140,00</w:t>
            </w:r>
          </w:p>
        </w:tc>
        <w:tc>
          <w:tcPr>
            <w:tcW w:w="2835" w:type="dxa"/>
            <w:tcBorders>
              <w:top w:val="single" w:sz="2"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229" w:right="992"/>
              <w:jc w:val="right"/>
              <w:rPr>
                <w:rFonts w:ascii="Arial" w:eastAsia="Arial" w:hAnsi="Arial" w:cs="Arial"/>
                <w:sz w:val="18"/>
                <w:szCs w:val="18"/>
              </w:rPr>
            </w:pPr>
            <w:r w:rsidRPr="00475462">
              <w:rPr>
                <w:rFonts w:ascii="Arial" w:hAnsi="Arial" w:cs="Arial"/>
                <w:sz w:val="18"/>
                <w:szCs w:val="18"/>
              </w:rPr>
              <w:t>12.000,00</w:t>
            </w:r>
          </w:p>
        </w:tc>
        <w:tc>
          <w:tcPr>
            <w:tcW w:w="1843" w:type="dxa"/>
            <w:tcBorders>
              <w:top w:val="single" w:sz="2" w:space="0" w:color="000000"/>
              <w:left w:val="single" w:sz="6" w:space="0" w:color="000000"/>
              <w:bottom w:val="single" w:sz="2" w:space="0" w:color="000000"/>
              <w:right w:val="single" w:sz="6" w:space="0" w:color="000000"/>
            </w:tcBorders>
          </w:tcPr>
          <w:p w:rsidR="00615116" w:rsidRPr="00475462" w:rsidRDefault="00615116" w:rsidP="00475462">
            <w:pPr>
              <w:pStyle w:val="TableParagraph"/>
              <w:spacing w:before="40" w:after="40"/>
              <w:ind w:left="475"/>
              <w:rPr>
                <w:rFonts w:ascii="Arial" w:eastAsia="Arial" w:hAnsi="Arial" w:cs="Arial"/>
                <w:sz w:val="18"/>
                <w:szCs w:val="18"/>
              </w:rPr>
            </w:pPr>
            <w:r w:rsidRPr="00475462">
              <w:rPr>
                <w:rFonts w:ascii="Arial" w:hAnsi="Arial" w:cs="Arial"/>
                <w:sz w:val="18"/>
                <w:szCs w:val="18"/>
              </w:rPr>
              <w:t>% 21,00</w:t>
            </w:r>
          </w:p>
        </w:tc>
      </w:tr>
      <w:tr w:rsidR="00615116" w:rsidRPr="00475462" w:rsidTr="00475462">
        <w:trPr>
          <w:trHeight w:hRule="exact" w:val="270"/>
        </w:trPr>
        <w:tc>
          <w:tcPr>
            <w:tcW w:w="1985" w:type="dxa"/>
            <w:tcBorders>
              <w:top w:val="single" w:sz="2" w:space="0" w:color="000000"/>
              <w:left w:val="single" w:sz="2" w:space="0" w:color="000000"/>
              <w:bottom w:val="single" w:sz="4" w:space="0" w:color="000000"/>
              <w:right w:val="single" w:sz="6" w:space="0" w:color="000000"/>
            </w:tcBorders>
          </w:tcPr>
          <w:p w:rsidR="00615116" w:rsidRPr="00475462" w:rsidRDefault="00615116" w:rsidP="00475462">
            <w:pPr>
              <w:pStyle w:val="TableParagraph"/>
              <w:spacing w:before="40" w:after="40"/>
              <w:ind w:left="518"/>
              <w:rPr>
                <w:rFonts w:ascii="Arial" w:eastAsia="Arial" w:hAnsi="Arial" w:cs="Arial"/>
                <w:sz w:val="18"/>
                <w:szCs w:val="18"/>
              </w:rPr>
            </w:pPr>
            <w:r w:rsidRPr="00475462">
              <w:rPr>
                <w:rFonts w:ascii="Arial" w:hAnsi="Arial" w:cs="Arial"/>
                <w:sz w:val="18"/>
                <w:szCs w:val="18"/>
              </w:rPr>
              <w:t>18.000,00</w:t>
            </w:r>
          </w:p>
        </w:tc>
        <w:tc>
          <w:tcPr>
            <w:tcW w:w="1559" w:type="dxa"/>
            <w:tcBorders>
              <w:top w:val="single" w:sz="2" w:space="0" w:color="000000"/>
              <w:left w:val="single" w:sz="6" w:space="0" w:color="000000"/>
              <w:bottom w:val="single" w:sz="4" w:space="0" w:color="000000"/>
              <w:right w:val="single" w:sz="6" w:space="0" w:color="000000"/>
            </w:tcBorders>
          </w:tcPr>
          <w:p w:rsidR="00615116" w:rsidRPr="00475462" w:rsidRDefault="00615116" w:rsidP="00475462">
            <w:pPr>
              <w:pStyle w:val="TableParagraph"/>
              <w:spacing w:before="40" w:after="40"/>
              <w:ind w:left="327"/>
              <w:rPr>
                <w:rFonts w:ascii="Arial" w:eastAsia="Arial" w:hAnsi="Arial" w:cs="Arial"/>
                <w:sz w:val="18"/>
                <w:szCs w:val="18"/>
              </w:rPr>
            </w:pPr>
            <w:r w:rsidRPr="00475462">
              <w:rPr>
                <w:rFonts w:ascii="Arial" w:hAnsi="Arial" w:cs="Arial"/>
                <w:sz w:val="18"/>
                <w:szCs w:val="18"/>
              </w:rPr>
              <w:t>3.660,00</w:t>
            </w:r>
          </w:p>
        </w:tc>
        <w:tc>
          <w:tcPr>
            <w:tcW w:w="2835" w:type="dxa"/>
            <w:tcBorders>
              <w:top w:val="single" w:sz="2" w:space="0" w:color="000000"/>
              <w:left w:val="single" w:sz="6" w:space="0" w:color="000000"/>
              <w:bottom w:val="single" w:sz="5" w:space="0" w:color="000000"/>
              <w:right w:val="single" w:sz="6" w:space="0" w:color="000000"/>
            </w:tcBorders>
          </w:tcPr>
          <w:p w:rsidR="00615116" w:rsidRPr="00475462" w:rsidRDefault="00615116" w:rsidP="00475462">
            <w:pPr>
              <w:pStyle w:val="TableParagraph"/>
              <w:spacing w:before="40" w:after="40"/>
              <w:ind w:left="334" w:right="992"/>
              <w:jc w:val="right"/>
              <w:rPr>
                <w:rFonts w:ascii="Arial" w:eastAsia="Arial" w:hAnsi="Arial" w:cs="Arial"/>
                <w:sz w:val="18"/>
                <w:szCs w:val="18"/>
              </w:rPr>
            </w:pPr>
            <w:r w:rsidRPr="00475462">
              <w:rPr>
                <w:rFonts w:ascii="Arial" w:hAnsi="Arial" w:cs="Arial"/>
                <w:sz w:val="18"/>
                <w:szCs w:val="18"/>
              </w:rPr>
              <w:t>Gainerakoa</w:t>
            </w:r>
          </w:p>
        </w:tc>
        <w:tc>
          <w:tcPr>
            <w:tcW w:w="1843" w:type="dxa"/>
            <w:tcBorders>
              <w:top w:val="single" w:sz="2" w:space="0" w:color="000000"/>
              <w:left w:val="single" w:sz="6" w:space="0" w:color="000000"/>
              <w:bottom w:val="single" w:sz="5" w:space="0" w:color="000000"/>
              <w:right w:val="single" w:sz="6" w:space="0" w:color="000000"/>
            </w:tcBorders>
          </w:tcPr>
          <w:p w:rsidR="00615116" w:rsidRPr="00475462" w:rsidRDefault="00615116" w:rsidP="00475462">
            <w:pPr>
              <w:pStyle w:val="TableParagraph"/>
              <w:spacing w:before="40" w:after="40"/>
              <w:ind w:left="475"/>
              <w:rPr>
                <w:rFonts w:ascii="Arial" w:eastAsia="Arial" w:hAnsi="Arial" w:cs="Arial"/>
                <w:sz w:val="18"/>
                <w:szCs w:val="18"/>
              </w:rPr>
            </w:pPr>
            <w:r w:rsidRPr="00475462">
              <w:rPr>
                <w:rFonts w:ascii="Arial" w:hAnsi="Arial" w:cs="Arial"/>
                <w:sz w:val="18"/>
                <w:szCs w:val="18"/>
              </w:rPr>
              <w:t>% 23,00”</w:t>
            </w:r>
          </w:p>
        </w:tc>
      </w:tr>
      <w:bookmarkEnd w:id="0"/>
    </w:tbl>
    <w:p w:rsidR="00615116" w:rsidRDefault="00615116">
      <w:pPr>
        <w:rPr>
          <w:rStyle w:val="Normal1"/>
        </w:rPr>
      </w:pPr>
    </w:p>
    <w:p w:rsidR="00C6145B" w:rsidRDefault="00C6145B">
      <w:pPr>
        <w:rPr>
          <w:rStyle w:val="Normal1"/>
        </w:rPr>
      </w:pPr>
    </w:p>
    <w:p w:rsidR="00615116" w:rsidRDefault="00615116"/>
    <w:p w:rsidR="00C6145B" w:rsidRDefault="00615116">
      <w:pPr>
        <w:rPr>
          <w:rStyle w:val="Normal1"/>
        </w:rPr>
      </w:pPr>
      <w:r>
        <w:rPr>
          <w:rStyle w:val="Normal1"/>
          <w:u w:val="single"/>
        </w:rPr>
        <w:lastRenderedPageBreak/>
        <w:t>Bederatzi</w:t>
      </w:r>
      <w:r>
        <w:t>.</w:t>
      </w:r>
      <w:r>
        <w:rPr>
          <w:rStyle w:val="Normal1"/>
        </w:rPr>
        <w:t xml:space="preserve"> 62.2 artikulua. 2018ko urtarrilaren 1etik aurrera izanen ditu ondorioak</w:t>
      </w:r>
    </w:p>
    <w:p w:rsidR="00C6145B" w:rsidRDefault="00615116">
      <w:pPr>
        <w:rPr>
          <w:rStyle w:val="Normal1"/>
        </w:rPr>
      </w:pPr>
      <w:r>
        <w:rPr>
          <w:rStyle w:val="Normal1"/>
        </w:rPr>
        <w:t>“62.2 artikulua.</w:t>
      </w:r>
    </w:p>
    <w:p w:rsidR="00C6145B" w:rsidRDefault="00615116">
      <w:pPr>
        <w:rPr>
          <w:rStyle w:val="Normal1"/>
        </w:rPr>
      </w:pPr>
      <w:r>
        <w:rPr>
          <w:rStyle w:val="Normal1"/>
        </w:rPr>
        <w:t>a) Subjektu pasiboak zergaldian bere ohiko etxebizitzaren alokairua ordaintzen badu, zergaldian ordaindutako diru kopuruen ehuneko 15eko kenkaria aplikatu ahalko du, gehienez ere 1.500 euroko kenkaria urtean.</w:t>
      </w:r>
    </w:p>
    <w:p w:rsidR="00C6145B" w:rsidRDefault="00615116">
      <w:pPr>
        <w:rPr>
          <w:rStyle w:val="Normal1"/>
        </w:rPr>
      </w:pPr>
      <w:r>
        <w:rPr>
          <w:rStyle w:val="Normal1"/>
        </w:rPr>
        <w:t>Hogeita hamar urte baino gutxiago dituzten edo familia ugari baten titularrak diren zergadunentzat, ordea, aurreko paragrafoan aipatutako kenkaria ehuneko 25ekoa izanen da, eta urtean 1.800 eurokoa gehienez ere.</w:t>
      </w:r>
    </w:p>
    <w:p w:rsidR="00C6145B" w:rsidRDefault="00615116">
      <w:pPr>
        <w:rPr>
          <w:rStyle w:val="Normal1"/>
        </w:rPr>
      </w:pPr>
      <w:r>
        <w:rPr>
          <w:rStyle w:val="Normal1"/>
        </w:rPr>
        <w:t>Ondorio horietarako, ordaindutako diru kopuruetatik kenduko da zergadunak etxebizitzaren errentarako jasotako diru-laguntzen zenbatekoa, halakorik bada, baldin eta diru-laguntza horiek salbuetsita badaude, zerga honen araudia aplikatuta.</w:t>
      </w:r>
    </w:p>
    <w:p w:rsidR="00C6145B" w:rsidRDefault="00615116">
      <w:pPr>
        <w:rPr>
          <w:rStyle w:val="Normal1"/>
        </w:rPr>
      </w:pPr>
      <w:r>
        <w:rPr>
          <w:rStyle w:val="Normal1"/>
        </w:rPr>
        <w:t>b) Apartatu honetan xedatutakoaren ondorioetarako, zergadunaren adina edo familia ugariaren titulartasuna zehazteko, zerga sortzen den egunean duen egoerari erreparatuko zaio.</w:t>
      </w:r>
    </w:p>
    <w:p w:rsidR="00C6145B" w:rsidRDefault="00615116">
      <w:pPr>
        <w:rPr>
          <w:rStyle w:val="Normal1"/>
        </w:rPr>
      </w:pPr>
      <w:r>
        <w:rPr>
          <w:rStyle w:val="Normal1"/>
        </w:rPr>
        <w:t>c) Baterako zerga-ordainketa hautatzen bada eta kenkari hori aplikatzeko eskubidea duten pertsona bat baino gehiago badaude, batzuk 30 urte baino gehiagokoak eta beste batzuk adin horretatik beherakoak, aurreko a) apartatuko bigarren paragrafoan adierazitako ehunekoa eta muga aplikatuko dira.</w:t>
      </w:r>
    </w:p>
    <w:p w:rsidR="00C6145B" w:rsidRDefault="00615116">
      <w:pPr>
        <w:rPr>
          <w:rStyle w:val="Normal1"/>
        </w:rPr>
      </w:pPr>
      <w:r>
        <w:rPr>
          <w:rStyle w:val="Normal1"/>
        </w:rPr>
        <w:t>d) Erabaki judizialaren bidez zergadunari familia-etxebizitzaren errenta osoa ordaintzeko betebeharra ezarri bazaio, zergadunak eskubidea izanen du artikulu honetan aipatutako kenkaria baliatzeko bere autolikidazioan. Betebehar hori bi zergadunek badute, kenkaria bien artean hainbanatuko da eta bakoitzaren autolikidazioan gauzatuko da dagokien heinean, eta, betiere, artikulu honetako a) apartatuko lehenengo paragrafoan ezarritako ehunekoa eta muga aplikatuko dira.</w:t>
      </w:r>
    </w:p>
    <w:p w:rsidR="00C6145B" w:rsidRDefault="00615116">
      <w:pPr>
        <w:rPr>
          <w:rStyle w:val="Normal1"/>
        </w:rPr>
      </w:pPr>
      <w:r>
        <w:rPr>
          <w:rStyle w:val="Normal1"/>
          <w:u w:val="single"/>
        </w:rPr>
        <w:t>Hamar</w:t>
      </w:r>
      <w:r>
        <w:rPr>
          <w:rStyle w:val="Normal1"/>
        </w:rPr>
        <w:t>. 62.5.1 artikulua. 2018ko urtarrilaren 1etik aurrera izanen ditu ondorioak</w:t>
      </w:r>
    </w:p>
    <w:p w:rsidR="00C6145B" w:rsidRDefault="00615116">
      <w:pPr>
        <w:rPr>
          <w:rStyle w:val="Normal1"/>
        </w:rPr>
      </w:pPr>
      <w:r>
        <w:rPr>
          <w:rStyle w:val="Normal1"/>
        </w:rPr>
        <w:t>“62.5.1 artikulua.</w:t>
      </w:r>
    </w:p>
    <w:p w:rsidR="00C6145B" w:rsidRDefault="00615116">
      <w:pPr>
        <w:rPr>
          <w:rStyle w:val="Normal1"/>
        </w:rPr>
      </w:pPr>
      <w:r>
        <w:rPr>
          <w:rStyle w:val="Normal1"/>
        </w:rPr>
        <w:t>1.1. Lan etekinak lortzen dituzten subjektu pasiboek diru kopuru hauek kendu ahalko dituzte:</w:t>
      </w:r>
    </w:p>
    <w:p w:rsidR="00C6145B" w:rsidRDefault="00615116">
      <w:pPr>
        <w:rPr>
          <w:rStyle w:val="Normal1"/>
        </w:rPr>
      </w:pPr>
      <w:r>
        <w:rPr>
          <w:rStyle w:val="Normal1"/>
        </w:rPr>
        <w:t>a) 9.100 euroko edo hortik beherako lan etekin garbiak dituzten subjektu pasiboak: 1.290 euro.</w:t>
      </w:r>
    </w:p>
    <w:p w:rsidR="00C6145B" w:rsidRDefault="00615116">
      <w:pPr>
        <w:rPr>
          <w:rStyle w:val="Normal1"/>
        </w:rPr>
      </w:pPr>
      <w:r>
        <w:rPr>
          <w:rStyle w:val="Normal1"/>
        </w:rPr>
        <w:t>b) 9.100,01 eta 12.050 euro bitarteko lan etekin garbiak dituzten subjektu pasiboak: 1.290 euro ken eragiketa honen emaitza: etekin garbi horiek ken 9.100 euro, eta horren emaitza bider 0,2.</w:t>
      </w:r>
    </w:p>
    <w:p w:rsidR="00C6145B" w:rsidRDefault="00615116">
      <w:pPr>
        <w:rPr>
          <w:rStyle w:val="Normal1"/>
        </w:rPr>
      </w:pPr>
      <w:r>
        <w:rPr>
          <w:rStyle w:val="Normal1"/>
        </w:rPr>
        <w:t>c) 12.050 eurotik gorako lan etekin garbiak dituzten subjektu pasiboak: 700 euro”.</w:t>
      </w:r>
    </w:p>
    <w:p w:rsidR="00C6145B" w:rsidRDefault="00615116">
      <w:pPr>
        <w:rPr>
          <w:rStyle w:val="Normal1"/>
        </w:rPr>
      </w:pPr>
      <w:r>
        <w:rPr>
          <w:rStyle w:val="Normal1"/>
          <w:u w:val="single"/>
        </w:rPr>
        <w:t>Hamaika</w:t>
      </w:r>
      <w:r>
        <w:rPr>
          <w:rStyle w:val="Normal1"/>
        </w:rPr>
        <w:t>. 62.9 artikulua. 2018ko urtarrilaren 1etik aurrera izanen ditu ondorioak</w:t>
      </w:r>
    </w:p>
    <w:p w:rsidR="00C6145B" w:rsidRDefault="00615116">
      <w:pPr>
        <w:rPr>
          <w:rStyle w:val="Normal1"/>
        </w:rPr>
      </w:pPr>
      <w:r>
        <w:rPr>
          <w:rStyle w:val="Normal1"/>
        </w:rPr>
        <w:t>“62.9 artikulua. Langileek enplegatzen dituen entitatean parte hartzeagatiko kenkaria</w:t>
      </w:r>
    </w:p>
    <w:p w:rsidR="00C6145B" w:rsidRDefault="00615116">
      <w:pPr>
        <w:rPr>
          <w:rStyle w:val="Normal1"/>
        </w:rPr>
      </w:pPr>
      <w:r>
        <w:rPr>
          <w:rStyle w:val="Normal1"/>
        </w:rPr>
        <w:t>1. Zergadunek honako entitate hauetakoren baten akzioak edo partaidetzak erosteko edo harpidetzeko zergaldian eskudirutan ordaindu dituzten diru kopuruen ehuneko 15eko kenkaria aplikatu ahalko dute, gizonezkoak badira, edo ehuneko 20koa, emakumezkoak badira:</w:t>
      </w:r>
    </w:p>
    <w:p w:rsidR="00C6145B" w:rsidRDefault="00615116">
      <w:pPr>
        <w:rPr>
          <w:rStyle w:val="Normal1"/>
        </w:rPr>
      </w:pPr>
      <w:r>
        <w:rPr>
          <w:rStyle w:val="Normal1"/>
        </w:rPr>
        <w:t>a) Lan egiten duten entitatea, baldin eta akzioak edo partaidetzak eskuratu aurreko bost urteetan hiru urte egin badituzte lanean, gutxienez, entitate horretan.</w:t>
      </w:r>
    </w:p>
    <w:p w:rsidR="00C6145B" w:rsidRDefault="00615116">
      <w:pPr>
        <w:rPr>
          <w:rStyle w:val="Normal1"/>
        </w:rPr>
      </w:pPr>
      <w:r>
        <w:rPr>
          <w:rStyle w:val="Normal1"/>
        </w:rPr>
        <w:t>b) Lan egiten duten entitateak taldekide duen beste edozein entitate. Kasu horretan eskatuko da langileek taldeko entitateetan lanean gutxienez hiru urte egin izana akzio edo partaidetzak eskuratu aurreko bost urteetan, eta, ondorio horietarako, taldeko entitate guztiak hartuko dira kontuan.</w:t>
      </w:r>
    </w:p>
    <w:p w:rsidR="00C6145B" w:rsidRDefault="00615116">
      <w:pPr>
        <w:rPr>
          <w:rStyle w:val="Normal1"/>
        </w:rPr>
      </w:pPr>
      <w:r>
        <w:rPr>
          <w:rStyle w:val="Normal1"/>
        </w:rPr>
        <w:t>c) Beste edozein entitate, betekizun hauek betetzen baditu:</w:t>
      </w:r>
    </w:p>
    <w:p w:rsidR="00C6145B" w:rsidRDefault="00615116">
      <w:pPr>
        <w:rPr>
          <w:rStyle w:val="Normal1"/>
        </w:rPr>
      </w:pPr>
      <w:r>
        <w:rPr>
          <w:rStyle w:val="Normal1"/>
        </w:rPr>
        <w:t>a') Partaide guztiak apartatu honetako a) eta b) letretan aipatzen diren entitateetako langileak izatea, eta langileok, akzio edo partaidetzak eskuratu aurreko bost urteetan, gutxienez hiru urtez lan egin izana entitate horietan, aipatutako letretan adierazten diren baldintzetan.</w:t>
      </w:r>
    </w:p>
    <w:p w:rsidR="00C6145B" w:rsidRDefault="00615116">
      <w:pPr>
        <w:rPr>
          <w:rStyle w:val="Normal1"/>
        </w:rPr>
      </w:pPr>
      <w:r>
        <w:rPr>
          <w:rStyle w:val="Normal1"/>
        </w:rPr>
        <w:t>Entitatearen akzioduneriaren osaerari dagokionez, aurreko paragrafoan azaldutako baldintza —partaide guztiak a) eta b) letretan aipatzen diren entitateetako langileak izatea— ez dela betetzen ulertuko da, partaide diren langileek entitate enplegatzailearentzat lan egiteari uzten badiote ezintasun iraunkor osoaren edo absolutuaren edo baliaezintasun handiaren ondorioz.</w:t>
      </w:r>
    </w:p>
    <w:p w:rsidR="00C6145B" w:rsidRDefault="00615116">
      <w:pPr>
        <w:rPr>
          <w:rStyle w:val="Normal1"/>
        </w:rPr>
      </w:pPr>
      <w:r>
        <w:rPr>
          <w:rStyle w:val="Normal1"/>
        </w:rPr>
        <w:lastRenderedPageBreak/>
        <w:t>Entitatearen akzioduneriaren osaerari buruzko baldintza ez dela betetzen ulertuko da, halaber, langileek soilik parte hartutako entitatearen akzio edo partaidetzak eskuratu ondoren hil diren langileen oinordekoei badagokie partaidetza. Langilea hiltzen denetik gehienez ere bi urte igaro arte aplikatuko da aurrekoa.</w:t>
      </w:r>
    </w:p>
    <w:p w:rsidR="00C6145B" w:rsidRDefault="00615116">
      <w:pPr>
        <w:rPr>
          <w:rStyle w:val="Normal1"/>
        </w:rPr>
      </w:pPr>
      <w:r>
        <w:rPr>
          <w:rStyle w:val="Normal1"/>
        </w:rPr>
        <w:t>b') Aktiboaren ehuneko 90, gutxienez, a) eta b) letretan aipatutako entitateen akzio edo partaidetzek osatzea. Ehuneko hori zehazterakoan, diruzaintza ez da aktiboan zenbatuko.</w:t>
      </w:r>
    </w:p>
    <w:p w:rsidR="00C6145B" w:rsidRDefault="00615116">
      <w:pPr>
        <w:rPr>
          <w:rStyle w:val="Normal1"/>
        </w:rPr>
      </w:pPr>
      <w:r>
        <w:rPr>
          <w:rStyle w:val="Normal1"/>
        </w:rPr>
        <w:t>Entitatearen eraketaren edo kapital-gehikuntzaren ondorioz eskuratzen edo harpidetzen badira akzio edo partaidetzak, entitateak bi hilabeteko epea izanen du b') letra honetan adierazitako betekizuna betetzeko.</w:t>
      </w:r>
    </w:p>
    <w:p w:rsidR="00C6145B" w:rsidRDefault="00615116">
      <w:pPr>
        <w:rPr>
          <w:rStyle w:val="Normal1"/>
        </w:rPr>
      </w:pPr>
      <w:r>
        <w:rPr>
          <w:rStyle w:val="Normal1"/>
        </w:rPr>
        <w:t>2. Aurreko apartatuko a), b) eta c) letretan adierazi bezala entitatean edo taldeko entitateetan lanean zenbat denbora egin den zehazterakoan, lan egindako alditzat hartuko dira baita langileek entitate horietan izandako borondatezko eszedentziak ere, ahaideak zaintzeko eskatu badituzte.</w:t>
      </w:r>
    </w:p>
    <w:p w:rsidR="00C6145B" w:rsidRDefault="00615116">
      <w:pPr>
        <w:rPr>
          <w:rStyle w:val="Normal1"/>
        </w:rPr>
      </w:pPr>
      <w:r>
        <w:rPr>
          <w:rStyle w:val="Normal1"/>
        </w:rPr>
        <w:t>3. Gehienez ere urtean 1.500 euroko kenkaria aplikatu ahalko da eskuratzailea gizonezkoa denean, edo urtean 2.000 eurokoa emakumezkoa denean.</w:t>
      </w:r>
    </w:p>
    <w:p w:rsidR="00C6145B" w:rsidRDefault="00615116">
      <w:pPr>
        <w:rPr>
          <w:rStyle w:val="Normal1"/>
        </w:rPr>
      </w:pPr>
      <w:r>
        <w:rPr>
          <w:rStyle w:val="Normal1"/>
        </w:rPr>
        <w:t>Aurreko paragrafoan ezarritako mugak gainditzen direlako edo kuota osoa aski ez delako kendu gabe gelditzen diren zenbatekoak hurrengo lau ekitaldietan kendu ahalko dira, aipatutako mugak errespetatuz.</w:t>
      </w:r>
    </w:p>
    <w:p w:rsidR="00C6145B" w:rsidRDefault="00615116">
      <w:pPr>
        <w:rPr>
          <w:rStyle w:val="Normal1"/>
        </w:rPr>
      </w:pPr>
      <w:r>
        <w:rPr>
          <w:rStyle w:val="Normal1"/>
        </w:rPr>
        <w:t>Artikulu honetan ezarritakoaren babesean zergadun bakoitzak hurrenez hurreneko zergaldietan aplikatzen dituen kenkarien batura gehienez ere 6.000 euro izanen da eskuratzailea gizonezkoa bada, edo 8.000 euro, emakumezkoa bada.</w:t>
      </w:r>
    </w:p>
    <w:p w:rsidR="00C6145B" w:rsidRDefault="00615116">
      <w:pPr>
        <w:rPr>
          <w:rStyle w:val="Normal1"/>
        </w:rPr>
      </w:pPr>
      <w:r>
        <w:rPr>
          <w:rStyle w:val="Normal1"/>
        </w:rPr>
        <w:t>4. Gainera, baldintza hauek bete behar dira kenkaria aplikatu ahal izateko:</w:t>
      </w:r>
    </w:p>
    <w:p w:rsidR="00C6145B" w:rsidRDefault="00615116">
      <w:pPr>
        <w:rPr>
          <w:rStyle w:val="Normal1"/>
        </w:rPr>
      </w:pPr>
      <w:r>
        <w:rPr>
          <w:rStyle w:val="Normal1"/>
        </w:rPr>
        <w:t>a) Lehen apartatuan aipatutako akzio edo partaidetzak ezin dira merkatu arautuetako batean ere negoziatzeko onartuta egon.</w:t>
      </w:r>
    </w:p>
    <w:p w:rsidR="00C6145B" w:rsidRDefault="00615116">
      <w:pPr>
        <w:rPr>
          <w:rStyle w:val="Normal1"/>
        </w:rPr>
      </w:pPr>
      <w:r>
        <w:rPr>
          <w:rStyle w:val="Normal1"/>
        </w:rPr>
        <w:t>b) Artikulu honetako 1. apartatuko a) eta b) letretako kasuan, entitateek ez dituzte bildu behar ondare-sozietate izateko baldintzak, Sozietateen gaineko Zergari buruzko abenduaren 28ko 26/2016 Foru Legearen 5. artikuluko 2. apartatuan ezarritakoak.</w:t>
      </w:r>
    </w:p>
    <w:p w:rsidR="00C6145B" w:rsidRDefault="00615116">
      <w:pPr>
        <w:rPr>
          <w:rStyle w:val="Normal1"/>
        </w:rPr>
      </w:pPr>
      <w:r>
        <w:rPr>
          <w:rStyle w:val="Normal1"/>
        </w:rPr>
        <w:t>Lehen apartatuko c) letrako kasuan, betekizun hori eskatuko zaie beren akzio edo partaidetzak letra horretan adierazitako ehuneko 90eko portzentajearen zenbaketan sartzen diren entitateei.</w:t>
      </w:r>
    </w:p>
    <w:p w:rsidR="00C6145B" w:rsidRDefault="00615116">
      <w:pPr>
        <w:rPr>
          <w:rStyle w:val="Normal1"/>
        </w:rPr>
      </w:pPr>
      <w:r>
        <w:rPr>
          <w:rStyle w:val="Normal1"/>
        </w:rPr>
        <w:t>c) Kenkarirako eskubidea ematen duten akzio edo partaidetzak bost urtez eduki beharko dira gutxienez, kasu hauetan izan ezik: epe horretan langile eskuratzaile edo harpideduna hiltzen bada edo entitatetik kaleratzen badute, edo konkurtso-prozedura baten ondorioz entitatea likidatzen bada.</w:t>
      </w:r>
    </w:p>
    <w:p w:rsidR="00C6145B" w:rsidRDefault="00615116">
      <w:pPr>
        <w:rPr>
          <w:rStyle w:val="Normal1"/>
        </w:rPr>
      </w:pPr>
      <w:r>
        <w:rPr>
          <w:rStyle w:val="Normal1"/>
        </w:rPr>
        <w:t>Langile eskuratzaile edo harpidedunak bere akzio edo partaidetzen ekarpena egiten badio 1. apartatuko c) letran adierazitako entitateetako bati, baldintza betetzat joko da, langile horrek entitate horretako partaidetzari eusten badio harik eta aurreko paragrafoan ezarritako epea bete arte.</w:t>
      </w:r>
    </w:p>
    <w:p w:rsidR="00C6145B" w:rsidRDefault="00615116">
      <w:pPr>
        <w:rPr>
          <w:rStyle w:val="Normal1"/>
        </w:rPr>
      </w:pPr>
      <w:r>
        <w:rPr>
          <w:rStyle w:val="Normal1"/>
        </w:rPr>
        <w:t>Lehen apartatuko c) letrako kasuan, akzio edo partaidetzei eustearen baldintza betetzeko eskatuko zaie bai langileek soilik parte hartutako entitateari, berak eskuratu edo harpidetutako akzio edo partaidetzei dagokienez, bai langileei, langileek soilik parte hartutako entitatearen akzio edo partaidetzei dagokienez. Epea amaitu baino lehen entitate hori desegiten bada ere, epea bete egin beharko da. Horretarako, langile bazkideek epea amaitu arte eutsi beharko diete beren titulartasunekoak ziren akzio edo partaidetzei.</w:t>
      </w:r>
    </w:p>
    <w:p w:rsidR="00C6145B" w:rsidRDefault="00615116">
      <w:pPr>
        <w:rPr>
          <w:rStyle w:val="Normal1"/>
        </w:rPr>
      </w:pPr>
      <w:r>
        <w:rPr>
          <w:rStyle w:val="Normal1"/>
        </w:rPr>
        <w:t>d) Apartatu honetako c) letran ezarritako epean, eskuratzaile edo harpidedunak entitatearen edo taldeko entitateen zerbitzuan lanean jarraitu beharko du, kasu hauetan izan ezik: epe hori bete baino lehen hiltzen bada edo kaleratzearen ondorioz entitatean lan egiteari uzten badio, edo ezintasun iraunkor osoa edo absolutua edo baliaezintasun handia aitortzen badiote. Ondorio horietarako, ahaideak zaintzeko borondatezko eszedentzia hartzen duten langileek eszedentziak irauten duen bitartean zerbitzuan jarraitzen dutela ulertuko da.</w:t>
      </w:r>
    </w:p>
    <w:p w:rsidR="00C6145B" w:rsidRDefault="00615116">
      <w:pPr>
        <w:rPr>
          <w:rStyle w:val="Normal1"/>
        </w:rPr>
      </w:pPr>
      <w:r>
        <w:rPr>
          <w:rStyle w:val="Normal1"/>
        </w:rPr>
        <w:t>Lehen apartatuko c) letrako kasuan, entitateko partaide esklusiboak diren langileek bete beharko dute betekizun hori.</w:t>
      </w:r>
    </w:p>
    <w:p w:rsidR="00C6145B" w:rsidRDefault="00615116">
      <w:pPr>
        <w:rPr>
          <w:rStyle w:val="Normal1"/>
        </w:rPr>
      </w:pPr>
      <w:r>
        <w:rPr>
          <w:rStyle w:val="Normal1"/>
        </w:rPr>
        <w:lastRenderedPageBreak/>
        <w:t>e) Lehen apartatuko a) eta b) letretan aipatzen diren entitateen akzio edo partaidetzak eskuratzen edo harpidetzen direnean, langile bakoitzak, zuzenean nahiz zeharka, ezkontidearekin edo izatezko bikotekidearekin, aurreko ahaide edo adoptatzaileekin, ondorengo ahaide edo adoptatuekin eta hirugarren gradurainoko albo-ahaideekin batera, entitate horietan gehienez ere ehuneko 20ko partaidetza izan ahalko du apartatu honetako c) letran ezarritzako epean. Entitatea talde batean badago, baldintza hori taldeko entitateetako bakoitzerako bete beharko da.</w:t>
      </w:r>
    </w:p>
    <w:p w:rsidR="00C6145B" w:rsidRDefault="00615116">
      <w:pPr>
        <w:rPr>
          <w:rStyle w:val="Normal1"/>
        </w:rPr>
      </w:pPr>
      <w:r>
        <w:rPr>
          <w:rStyle w:val="Normal1"/>
        </w:rPr>
        <w:t>Lehen apartatuko c) letrako kasuan, entitateko partaide esklusiboak diren langileek bete beharko dute betekizun hori, ez entitateak berak.</w:t>
      </w:r>
    </w:p>
    <w:p w:rsidR="00C6145B" w:rsidRDefault="00615116">
      <w:pPr>
        <w:rPr>
          <w:rStyle w:val="Normal1"/>
        </w:rPr>
      </w:pPr>
      <w:r>
        <w:rPr>
          <w:rStyle w:val="Normal1"/>
        </w:rPr>
        <w:t>5. Baldin eta, bost urteko epeko edozein egunetan, laugarren apartatuan adierazitako betekizunak edo lehen apartatuko c) letran aurreikusten den aktiboaren osaera-ehunekoa betetzeari uzten bazaio, kendutako diru kopuruak ordaindu beharko dira dagozkien berandutze-interesekin batera. Ordainketa hori egiteko, ez-betetzea gertatu den zergaldiko kuota diferentzialari batuko zaio kendutako diru kopurua. Hala ere, zergadunak, hala nahi badu, lehenago ordaindu ahalko ditu kendutako diru kopuruak eta dagozkien berandutze-interesak.</w:t>
      </w:r>
    </w:p>
    <w:p w:rsidR="00C6145B" w:rsidRDefault="00615116">
      <w:pPr>
        <w:rPr>
          <w:rStyle w:val="Normal1"/>
        </w:rPr>
      </w:pPr>
      <w:r>
        <w:rPr>
          <w:rStyle w:val="Normal1"/>
        </w:rPr>
        <w:t>Lehen apartatuko c) letran aipatzen diren entitateetako akzio edo partaidetzak eskuratzen edo harpidetzen diren kasuetan, langileren batek 4. apartatuko c), d) eta e) letretan ezarritako betekizunak betetzen ez baditu, berari bakarrik sortuko zaio kendutako diru kopuruak erregularizatzeko betebeharra.</w:t>
      </w:r>
    </w:p>
    <w:p w:rsidR="00C6145B" w:rsidRDefault="00615116">
      <w:pPr>
        <w:rPr>
          <w:rStyle w:val="Normal1"/>
        </w:rPr>
      </w:pPr>
      <w:r>
        <w:rPr>
          <w:rStyle w:val="Normal1"/>
        </w:rPr>
        <w:t>Apartatu honetako lehen paragrafoan ezarritako betebeharra —kendutako diru kopuruak ordaindu beharra, lehen apartatuko c) letrako b') letran aurreikusten den aktiboaren osaera-ehunekoa bete ezean—, ez da aplikatuko baldin eta taldeko entitate bat edo gehiago, zeinen akzio edo partaidetzak ehuneko hori zehazteko kontuan hartzen baitira, konkurtso-prozedura baten ondorioz likidatzeak eragiten badu ez-betetzea, eta, betiere, bi hilabeteko epean ez-betetze hori zuzentzen bada. Ez da ez-betetzea zuzendu beharrik izanen baldin eta, konkurtso-prozeduraren ondorioz, aktiboaren osaeraren ehuneko 90eko portzentajea zehazteko beren akzio edo partaidetzak kontuan har daitezkeen entitate guztiak likidatzen badira.</w:t>
      </w:r>
    </w:p>
    <w:p w:rsidR="00C6145B" w:rsidRDefault="00615116">
      <w:pPr>
        <w:rPr>
          <w:rStyle w:val="Normal1"/>
        </w:rPr>
      </w:pPr>
      <w:r>
        <w:rPr>
          <w:rStyle w:val="Normal1"/>
        </w:rPr>
        <w:t>6. Artikulu honetan ezarritakoa ez da aplikatuko akzio edo partaidetzen gaineko aukerak baliatuta eskuratzen badira akzio edo partaidetza horiek.</w:t>
      </w:r>
    </w:p>
    <w:p w:rsidR="00C6145B" w:rsidRDefault="00615116">
      <w:pPr>
        <w:rPr>
          <w:rStyle w:val="Normal1"/>
        </w:rPr>
      </w:pPr>
      <w:r>
        <w:rPr>
          <w:rStyle w:val="Normal1"/>
        </w:rPr>
        <w:t xml:space="preserve">7. Artikulu honetan taldeei buruz dauden aipamenak sozietate taldeen aipamentzat jo behar dira, Merkataritzako Kodearen 42. artikuluaren zentzuan. </w:t>
      </w:r>
    </w:p>
    <w:p w:rsidR="00C6145B" w:rsidRDefault="00615116">
      <w:pPr>
        <w:rPr>
          <w:rStyle w:val="Normal1"/>
        </w:rPr>
      </w:pPr>
      <w:r>
        <w:rPr>
          <w:rStyle w:val="Normal1"/>
          <w:u w:val="single"/>
        </w:rPr>
        <w:t>Hamabi</w:t>
      </w:r>
      <w:r>
        <w:rPr>
          <w:rStyle w:val="Normal1"/>
        </w:rPr>
        <w:t>. 62.11 artikulua. 2018ko urtarrilaren 1etik aurrera izanen ditu ondorioak</w:t>
      </w:r>
    </w:p>
    <w:p w:rsidR="00C6145B" w:rsidRDefault="00615116">
      <w:pPr>
        <w:rPr>
          <w:rStyle w:val="Normal1"/>
        </w:rPr>
      </w:pPr>
      <w:r>
        <w:rPr>
          <w:rStyle w:val="Normal1"/>
        </w:rPr>
        <w:t>"62.11 artikulua. 0-3 urteko Haur Hezkuntzako ikastetxeetako gastuengatiko kenkaria</w:t>
      </w:r>
    </w:p>
    <w:p w:rsidR="00C6145B" w:rsidRDefault="00615116">
      <w:pPr>
        <w:rPr>
          <w:rStyle w:val="Normal1"/>
        </w:rPr>
      </w:pPr>
      <w:r>
        <w:rPr>
          <w:rStyle w:val="Normal1"/>
        </w:rPr>
        <w:t>Kengarriak izango dira 0-3 urteko Haur Hezkuntzako ikastetxeei zergaldian ordaindutako diru kopuruak, urtean seme edo alaba bakoitzeko 1.000 euroko mugaraino, erregelamenduz zehazten den moduan.</w:t>
      </w:r>
    </w:p>
    <w:p w:rsidR="00C6145B" w:rsidRDefault="00615116">
      <w:pPr>
        <w:rPr>
          <w:rStyle w:val="Normal1"/>
        </w:rPr>
      </w:pPr>
      <w:r>
        <w:rPr>
          <w:rStyle w:val="Normal1"/>
        </w:rPr>
        <w:t>Ondorio horietarako, ordaindutako diru kopuruetatik kenduko da zergadunak kontzeptu horrengatik jasotako diru-laguntzen zenbatekoa, halakorik bada”.</w:t>
      </w:r>
    </w:p>
    <w:p w:rsidR="00C6145B" w:rsidRDefault="00615116">
      <w:pPr>
        <w:rPr>
          <w:rStyle w:val="Normal1"/>
        </w:rPr>
      </w:pPr>
      <w:r>
        <w:rPr>
          <w:rStyle w:val="Normal1"/>
          <w:u w:val="single"/>
        </w:rPr>
        <w:t>Hamahiru</w:t>
      </w:r>
      <w:r>
        <w:rPr>
          <w:rStyle w:val="Normal1"/>
        </w:rPr>
        <w:t>. 62.13 artikulua. 2018ko urtarrilaren 1etik aurrera izanen ditu ondorioak</w:t>
      </w:r>
    </w:p>
    <w:p w:rsidR="00C6145B" w:rsidRDefault="00615116">
      <w:pPr>
        <w:rPr>
          <w:rStyle w:val="Normal1"/>
        </w:rPr>
      </w:pPr>
      <w:r>
        <w:rPr>
          <w:rStyle w:val="Normal1"/>
        </w:rPr>
        <w:t>“62.13 artikulua. Kenkaria, murriztapenerako eskubidea ematen duten hiru ondorengo ahaide edo gehiago izateagatik eta familia ugariarengatik</w:t>
      </w:r>
    </w:p>
    <w:p w:rsidR="00C6145B" w:rsidRDefault="00615116">
      <w:pPr>
        <w:rPr>
          <w:rStyle w:val="Normal1"/>
        </w:rPr>
      </w:pPr>
      <w:r>
        <w:rPr>
          <w:rStyle w:val="Normal1"/>
        </w:rPr>
        <w:t>Urtean 500 euroko murriztapenerako eskubidea izanen dute honako hauek: murriztapena edukitzeko eskubidea ematen dieten hiru ondorengo ahaide edo gehiago dituzten subjektu pasiboek, edo familia ugariek, hots, abenduaren 31n halakotzat jotzen direnek, Familia Ugariei buruzko martxoaren 25eko 20/2003 Foru Legean ezarritakoaren arabera”.</w:t>
      </w:r>
    </w:p>
    <w:p w:rsidR="00C6145B" w:rsidRDefault="00615116">
      <w:pPr>
        <w:rPr>
          <w:rStyle w:val="Normal1"/>
        </w:rPr>
      </w:pPr>
      <w:r>
        <w:rPr>
          <w:rStyle w:val="Normal1"/>
          <w:u w:val="single"/>
        </w:rPr>
        <w:t>Hamalau</w:t>
      </w:r>
      <w:r>
        <w:rPr>
          <w:rStyle w:val="Normal1"/>
        </w:rPr>
        <w:t>. 75.Zazpigarrena artikulua. 2018ko urtarrilaren 1etik aurrera izanen ditu ondorioak</w:t>
      </w:r>
    </w:p>
    <w:p w:rsidR="00C6145B" w:rsidRDefault="00615116">
      <w:pPr>
        <w:rPr>
          <w:rStyle w:val="Normal1"/>
        </w:rPr>
      </w:pPr>
      <w:r>
        <w:rPr>
          <w:rStyle w:val="Normal1"/>
        </w:rPr>
        <w:t>“75.Zazpigarrena artikulua.</w:t>
      </w:r>
    </w:p>
    <w:p w:rsidR="00C6145B" w:rsidRDefault="00615116">
      <w:pPr>
        <w:rPr>
          <w:rStyle w:val="Normal1"/>
        </w:rPr>
      </w:pPr>
      <w:r>
        <w:rPr>
          <w:rStyle w:val="Normal1"/>
        </w:rPr>
        <w:t>62.13 artikuluak aipatzen duen kenkaria 1.000 eurokoa izanen da.</w:t>
      </w:r>
    </w:p>
    <w:p w:rsidR="00C6145B" w:rsidRDefault="00615116">
      <w:pPr>
        <w:rPr>
          <w:rStyle w:val="Normal1"/>
        </w:rPr>
      </w:pPr>
      <w:r>
        <w:rPr>
          <w:rStyle w:val="Normal1"/>
        </w:rPr>
        <w:t>Berrogeita hamalaugarren xedapen gehigarria gehitzea. Lekualdatutako langileentzako araubide berezia.</w:t>
      </w:r>
    </w:p>
    <w:p w:rsidR="00C6145B" w:rsidRDefault="00615116">
      <w:pPr>
        <w:rPr>
          <w:rStyle w:val="Normal1"/>
        </w:rPr>
      </w:pPr>
      <w:r>
        <w:rPr>
          <w:rStyle w:val="Normal1"/>
        </w:rPr>
        <w:lastRenderedPageBreak/>
        <w:t>1. Espainiako lurraldera aldatzearen ondorioz Nafarroan egoitza fiskala hartzen duten pertsona fisikoek aukera izanen dute artikulu honetan ezarritako araubide bereziarekin tributatzeko egoitza aldatzen duten zergaldian eta hurrengo lau zergaldietan, honako baldintza hauek betetzen badira, erregelamenduz ezartzen den moduan:</w:t>
      </w:r>
    </w:p>
    <w:p w:rsidR="00C6145B" w:rsidRDefault="00615116">
      <w:pPr>
        <w:rPr>
          <w:rStyle w:val="Normal1"/>
        </w:rPr>
      </w:pPr>
      <w:r>
        <w:rPr>
          <w:rStyle w:val="Normal1"/>
        </w:rPr>
        <w:t>a) Espainiako lurraldera aldatzeko arrazoia lan bereziki kualifikatuetan aritzea izatea, batez ere ikerkuntza eta garapenerako jarduerekin, jarduera zientifiko edo teknikoekin edo finantzarioekin zerikusi zuzena duten lanetan, erregelamenduz ezartzen diren betekizun eta baldintzen arabera.</w:t>
      </w:r>
    </w:p>
    <w:p w:rsidR="00C6145B" w:rsidRDefault="00615116">
      <w:pPr>
        <w:rPr>
          <w:rStyle w:val="Normal1"/>
        </w:rPr>
      </w:pPr>
      <w:r>
        <w:rPr>
          <w:rStyle w:val="Normal1"/>
        </w:rPr>
        <w:t>b) Espainiako lurraldera aldatu aurretiko 4 urteetan Espainiako egoiliarrak ez izatea.</w:t>
      </w:r>
    </w:p>
    <w:p w:rsidR="00C6145B" w:rsidRDefault="00615116">
      <w:pPr>
        <w:rPr>
          <w:rStyle w:val="Normal1"/>
        </w:rPr>
      </w:pPr>
      <w:r>
        <w:rPr>
          <w:rStyle w:val="Normal1"/>
        </w:rPr>
        <w:t>c) Lekualdatzea lan kontratu bat dela kausa gertatzea. Baldintza hori betetzen dela ulertuko da Espainiako pertsona edo entitate enplegatzaile batekin lan harreman arrunt edo berezia edo estatutupekoa baldin badago, edo lekualdatzea enplegatzaileak agindu badu eta lekualdatze-gutuna baldin badago, eta zergadunak ez badu lortzen Espainiako lurraldean kokatutako establezimendu iraunkor batean lortutako errenta gisa hartuko litzatekeen errentarik.</w:t>
      </w:r>
    </w:p>
    <w:p w:rsidR="00C6145B" w:rsidRDefault="00615116">
      <w:pPr>
        <w:rPr>
          <w:rStyle w:val="Normal1"/>
        </w:rPr>
      </w:pPr>
      <w:r>
        <w:rPr>
          <w:rStyle w:val="Normal1"/>
        </w:rPr>
        <w:t>d) Lanak benetan Espainian egitea. Baldintza hori betetzen dela ulertuko da, lanen zati bat atzerrian egiten bada ere, lan horiei dagozkien ordainsarien batura urte natural bakoitzean jasotako lan-kontraprestazio guztien ehuneko 15etik gorakoa ez bada, alde batera utzita, Ez-egoiliarren Errentaren gaineko Zergari buruzko Legearen testu bateginaren 13. artikuluko 1. apartatuko c) letraren arabera, ordainsari horiek Espainiako lurraldean lortutako errentatzat hartzen diren edo ez. Zergadunak, lan kontratuan ezartzen denaren arabera, Espainiako lurraldetik kanpora dagoen talde bereko beste enpresa bateko eginkizunak bere gain hartzen baditu, Merkataritza Kodearen 42. artikuluan ezarritako moduan, lehen aipatutako muga ehuneko 30era igoko da.</w:t>
      </w:r>
    </w:p>
    <w:p w:rsidR="00C6145B" w:rsidRDefault="00615116">
      <w:pPr>
        <w:rPr>
          <w:rStyle w:val="Normal1"/>
        </w:rPr>
      </w:pPr>
      <w:r>
        <w:rPr>
          <w:rStyle w:val="Normal1"/>
        </w:rPr>
        <w:t>Atzerrian egindako lanei dagozkien berariazko ordainsarien zenbatekoa egiaztatzerik ez badago, lan horien ordainsaria kalkulatzeko, kontuan hartuko da langileak atzerrian benetan emandako egunen kopurua.</w:t>
      </w:r>
    </w:p>
    <w:p w:rsidR="00C6145B" w:rsidRDefault="00615116">
      <w:pPr>
        <w:rPr>
          <w:rStyle w:val="Normal1"/>
        </w:rPr>
      </w:pPr>
      <w:r>
        <w:rPr>
          <w:rStyle w:val="Normal1"/>
        </w:rPr>
        <w:t>e) Lan horiek Espainiako egoiliarra den enpresa edo entitate batentzat egitea, edo Espainiako lurraldeko egoiliarra ez den entitate batek Espainian duen establezimendu iraunkor batentzat. Baldintza hori betetzen dela ulertuko da zerbitzu horiek Espainiako egoiliarra den enpresa edo entitate batentzat onuragarriak baldin badira, edo Espainiako lurraldeko egoiliarra ez den entitate batek Espainian duen establezimendu iraunkor batentzat. Lekualdaketa enpresa talde baten barrenean gertatzen bada, Merkataritza Kodearen 42. artikuluan ezarritakoaren arabera, eta ondorio horietarako bakar-bakarrik, beharrezkoa izanen da langilea Espainiako egoiliarra den taldeko enpresak kontratatzea edo pertsona nahiz entitate enplegatzaileak agintzea langilea Espainiako lurraldera alda dadila.</w:t>
      </w:r>
    </w:p>
    <w:p w:rsidR="00C6145B" w:rsidRDefault="00615116">
      <w:pPr>
        <w:rPr>
          <w:rStyle w:val="Normal1"/>
        </w:rPr>
      </w:pPr>
      <w:r>
        <w:rPr>
          <w:rStyle w:val="Normal1"/>
        </w:rPr>
        <w:t>2. Artikulu honetan ezarritako tributazio araubidea hautatzen duten zergadunek foru arau honetan ezarritakoaren arabera zehaztuko dute zerga-zorra, honako berezitasun hauekin:</w:t>
      </w:r>
    </w:p>
    <w:p w:rsidR="00C6145B" w:rsidRDefault="00615116">
      <w:pPr>
        <w:rPr>
          <w:rStyle w:val="Normal1"/>
        </w:rPr>
      </w:pPr>
      <w:r>
        <w:rPr>
          <w:rStyle w:val="Normal1"/>
        </w:rPr>
        <w:t>a) Aurreko 1. apartatuan definitzen den lan-harremanetik heldu diren etekin osoen ehuneko 15 salbuetsita egonen dira.</w:t>
      </w:r>
    </w:p>
    <w:p w:rsidR="00C6145B" w:rsidRDefault="00615116">
      <w:pPr>
        <w:rPr>
          <w:rStyle w:val="Normal1"/>
        </w:rPr>
      </w:pPr>
      <w:r>
        <w:rPr>
          <w:rStyle w:val="Normal1"/>
        </w:rPr>
        <w:t>b) Aurreko letran aipatutako salbuespena aplikatu ondoren, norberaren lanaren etekin osoa zehazteko, gastu kengarritzat joko dira, foru lege honen 18. artikuluan adierazitakoak ez ezik, erregelamenduz zehazten diren gainerakoak ere, aipatutako lanpostuan aritzean lortutako etekin osoen ehuneko 20ko mugaraino.</w:t>
      </w:r>
    </w:p>
    <w:p w:rsidR="00C6145B" w:rsidRDefault="00615116">
      <w:pPr>
        <w:rPr>
          <w:rStyle w:val="Normal1"/>
        </w:rPr>
      </w:pPr>
      <w:r>
        <w:rPr>
          <w:rStyle w:val="Normal1"/>
        </w:rPr>
        <w:t>Gastu horiek aplikatzeko baldintza izanen da, betiere, gastuok agiri bidez frogatzea.</w:t>
      </w:r>
    </w:p>
    <w:p w:rsidR="00C6145B" w:rsidRDefault="00615116">
      <w:pPr>
        <w:rPr>
          <w:rStyle w:val="Normal1"/>
        </w:rPr>
      </w:pPr>
      <w:r>
        <w:rPr>
          <w:rStyle w:val="Normal1"/>
        </w:rPr>
        <w:t>Pertsona edo entitate enplegatzaileak b) letra honetan aipatzen diren gastu erantsiei aurre egiteko diru kopuruak ordaintzen baditu, diru kopuru horiek ez dira gauzazko ordainsaritzat hartuko, aipatutako lanpostuan arituz lortutako etekin osoen ehuneko 20ko mugaraino.</w:t>
      </w:r>
    </w:p>
    <w:p w:rsidR="00C6145B" w:rsidRDefault="00615116">
      <w:pPr>
        <w:rPr>
          <w:rStyle w:val="Normal1"/>
        </w:rPr>
      </w:pPr>
      <w:r>
        <w:rPr>
          <w:rStyle w:val="Normal1"/>
        </w:rPr>
        <w:t>c) Salbuetsita egonen dira zergadunaren titulartasuneko ondare-elementuetatik lortutako errentak, atzerrian kokatuak, betiere errenta horiek benetan tributatu badute honen berdina edo parekoa den beste zergaren baten kargapean, eta atzerriko herrialde edo lurralde hori paradisu fiskaltzat edo tributaziorik gabekotzat jotzen ez bada.</w:t>
      </w:r>
    </w:p>
    <w:p w:rsidR="00C6145B" w:rsidRDefault="00615116">
      <w:pPr>
        <w:rPr>
          <w:rStyle w:val="Normal1"/>
        </w:rPr>
      </w:pPr>
      <w:r>
        <w:rPr>
          <w:rStyle w:val="Normal1"/>
        </w:rPr>
        <w:t>Letra honetan aurreikusitako salbuespena aplikatzen duten zergadunek ez dute eskubiderik izanen foru lege honen 67. artikuluan errenta beretarako aurreikusten den kenkaria aplikatzeko.</w:t>
      </w:r>
    </w:p>
    <w:p w:rsidR="00C6145B" w:rsidRDefault="00615116">
      <w:pPr>
        <w:rPr>
          <w:rStyle w:val="Normal1"/>
        </w:rPr>
      </w:pPr>
      <w:r>
        <w:rPr>
          <w:rStyle w:val="Normal1"/>
        </w:rPr>
        <w:lastRenderedPageBreak/>
        <w:t>d) Aurreko c) letran xedatutakoa araubide berezi hori hautatzen duen zergadunaren ezkontide edo izatezko bikotekideari eta familia unitateko kideei ere aplikatuko zaie, lekualdatzearen ondorioz Nafarroan egoitza fiskala hartzen badute eta Espainiako lurraldera aldatu aurreko 5 urteetan Espainiako egoiliar izan ez badira.</w:t>
      </w:r>
    </w:p>
    <w:p w:rsidR="00C6145B" w:rsidRDefault="00615116">
      <w:pPr>
        <w:rPr>
          <w:rStyle w:val="Normal1"/>
        </w:rPr>
      </w:pPr>
      <w:r>
        <w:rPr>
          <w:rStyle w:val="Normal1"/>
          <w:b/>
        </w:rPr>
        <w:t>Bigarren artikulua.</w:t>
      </w:r>
      <w:r>
        <w:rPr>
          <w:rStyle w:val="Normal1"/>
        </w:rPr>
        <w:t xml:space="preserve"> Pertsona Fisikoen Errentaren gaineko Zergaren Erregelamendua (maiatzaren 24ko 174/1999 Foru Dekretua)</w:t>
      </w:r>
    </w:p>
    <w:p w:rsidR="00C6145B" w:rsidRDefault="00615116">
      <w:pPr>
        <w:rPr>
          <w:rStyle w:val="Normal1"/>
        </w:rPr>
      </w:pPr>
      <w:r>
        <w:rPr>
          <w:rStyle w:val="Normal1"/>
        </w:rPr>
        <w:t>Pertsona Fisikoen Errentaren gaineko Zergaren Erregelamenduaren manu hau (erregelamendua maiatzaren 24ko 174/1999 Foru Dekretuaren bidez onetsi zen) honela idatzita geldituko da:</w:t>
      </w:r>
    </w:p>
    <w:p w:rsidR="00C6145B" w:rsidRDefault="00615116">
      <w:pPr>
        <w:rPr>
          <w:rStyle w:val="Normal1"/>
        </w:rPr>
      </w:pPr>
      <w:r>
        <w:rPr>
          <w:rStyle w:val="Normal1"/>
          <w:u w:val="single"/>
        </w:rPr>
        <w:t>Bat</w:t>
      </w:r>
      <w:r>
        <w:rPr>
          <w:rStyle w:val="Normal1"/>
        </w:rPr>
        <w:t>. 56.a) artikulua. 2018ko urtarrilaren 1etik aurrera izanen ditu ondorioak</w:t>
      </w:r>
    </w:p>
    <w:p w:rsidR="00C6145B" w:rsidRDefault="00615116">
      <w:pPr>
        <w:rPr>
          <w:rStyle w:val="Normal1"/>
        </w:rPr>
      </w:pPr>
      <w:r>
        <w:rPr>
          <w:rStyle w:val="Normal1"/>
        </w:rPr>
        <w:t>“56.a) artikulua.</w:t>
      </w:r>
    </w:p>
    <w:p w:rsidR="00C6145B" w:rsidRDefault="00615116">
      <w:pPr>
        <w:rPr>
          <w:rStyle w:val="Normal1"/>
        </w:rPr>
      </w:pPr>
      <w:r>
        <w:rPr>
          <w:rStyle w:val="Normal1"/>
        </w:rPr>
        <w:t>a) Urtean 14.000 eurotik beherako lan etekin osoak”.</w:t>
      </w:r>
    </w:p>
    <w:p w:rsidR="00C6145B" w:rsidRDefault="00615116">
      <w:pPr>
        <w:rPr>
          <w:rStyle w:val="Normal1"/>
        </w:rPr>
      </w:pPr>
      <w:r>
        <w:rPr>
          <w:rStyle w:val="Normal1"/>
          <w:b/>
        </w:rPr>
        <w:t>Hirugarren artikulua</w:t>
      </w:r>
      <w:r>
        <w:rPr>
          <w:rStyle w:val="Normal1"/>
        </w:rPr>
        <w:t>. Azaroaren 19ko 13/1992 Foru Legea, Ondarearen gaineko zergari buruzkoa.</w:t>
      </w:r>
    </w:p>
    <w:p w:rsidR="00C6145B" w:rsidRDefault="00615116">
      <w:pPr>
        <w:rPr>
          <w:rStyle w:val="Normal1"/>
        </w:rPr>
      </w:pPr>
      <w:r>
        <w:rPr>
          <w:rStyle w:val="Normal1"/>
        </w:rPr>
        <w:t>2018ko urtarrilaren 1etik aurrerako zergaldietan ondorioak izateko, Ondarearen gaineko Zergari buruzko azaroaren 19ko 13/1992 Foru Legearen artikulu hauek honako testu hau izanen dute:</w:t>
      </w:r>
    </w:p>
    <w:p w:rsidR="00C6145B" w:rsidRDefault="00615116">
      <w:pPr>
        <w:rPr>
          <w:rStyle w:val="Normal1"/>
        </w:rPr>
      </w:pPr>
      <w:r>
        <w:rPr>
          <w:rStyle w:val="Normal1"/>
          <w:u w:val="single"/>
        </w:rPr>
        <w:t>Bat</w:t>
      </w:r>
      <w:r>
        <w:rPr>
          <w:rStyle w:val="Normal1"/>
        </w:rPr>
        <w:t>. 5. artikulua. Ondasun eta eskubide salbuetsiak. 2018ko urtarrilaren 1etik aurrera izanen ditu ondorioak</w:t>
      </w:r>
    </w:p>
    <w:p w:rsidR="00C6145B" w:rsidRDefault="00615116">
      <w:pPr>
        <w:rPr>
          <w:rStyle w:val="Normal1"/>
        </w:rPr>
      </w:pPr>
      <w:r>
        <w:rPr>
          <w:rStyle w:val="Normal1"/>
        </w:rPr>
        <w:t>“5 artikulua. Ondasun eta eskubide salbuetsiak. Honako hauek daude zerga honetatik salbuetsiak:</w:t>
      </w:r>
    </w:p>
    <w:p w:rsidR="00C6145B" w:rsidRDefault="00615116">
      <w:pPr>
        <w:rPr>
          <w:rStyle w:val="Normal1"/>
        </w:rPr>
      </w:pPr>
      <w:r>
        <w:rPr>
          <w:rStyle w:val="Normal1"/>
        </w:rPr>
        <w:t>8. Pertsona fisikoaren ondasun eta eskubideak, bere enpresa- edo lanbide-jarduera betetzeko beharrezkoak izanez gero, betiere jarduera hori subjektu pasiboak berak azturaz, pertsonalki eta zuzenean gauzatzen badu eta bere errenta-iturri nagusia bada. Errenta-iturri nagusia kalkulatzeko, ez dira kontuan hartuko artikulu honetako 9. apartatuak aipatzen dituen entitateetan gauzatzen diren zuzendaritza-eginkizunen ordainsariak, ezta aipatu entitateetan parte hartzetik heldutako beste edozein ordainsari ere. Salbuespena aplikatuko da enpresa-jarraitutasuna badagoenean baina, arrazoi ekonomikoak tarteko, errenta-iturri nagusia izatearen baldintza ez dagoenean betetzerik galerak daudelako edo jardueraren etekin positiboek modurik ematen ez dutelako errenta-iturri nagusia izateko.</w:t>
      </w:r>
    </w:p>
    <w:p w:rsidR="00C6145B" w:rsidRDefault="00615116">
      <w:pPr>
        <w:rPr>
          <w:rStyle w:val="Normal1"/>
        </w:rPr>
      </w:pPr>
      <w:r>
        <w:rPr>
          <w:rStyle w:val="Normal1"/>
        </w:rPr>
        <w:t>Salbuetsita egonen dira, halaber, bi ezkontideen ondasun eta eskubide komunak, bi ezkontideetako edozeinen enpresa- edo lanbide-jarduera garatzeko erabiltzen direnean, betiere aurreko paragrafoko baldintzak betetzen badituzte.</w:t>
      </w:r>
    </w:p>
    <w:p w:rsidR="00C6145B" w:rsidRDefault="00615116">
      <w:pPr>
        <w:rPr>
          <w:rStyle w:val="Normal1"/>
        </w:rPr>
      </w:pPr>
      <w:r>
        <w:rPr>
          <w:rStyle w:val="Normal1"/>
        </w:rPr>
        <w:t>9. Entitateetako partaidetzen gaineko jabetza osoa, jabetza soila eta biziarteko gozamen-eskubidea, entitate horiek merkatu antolatuetan kotizatu ala ez, baldintza hauek guztiak gertatzen badira:</w:t>
      </w:r>
    </w:p>
    <w:p w:rsidR="00C6145B" w:rsidRDefault="00615116">
      <w:pPr>
        <w:rPr>
          <w:rStyle w:val="Normal1"/>
        </w:rPr>
      </w:pPr>
      <w:r>
        <w:rPr>
          <w:rStyle w:val="Normal1"/>
        </w:rPr>
        <w:t>a) Entitateak, sozietate bat izan nahiz ez izan, enpresa- edo lanbide-jardueraren bat benetan gauzatzea eta jarduera nagusitzat ez izatea ondare higigarri edo higiezinen baten kudeaketa. Entitate batek ondare higigarri edo higiezin bat kudeatzen duela ulertuko da, eta horrenbestez, enpresa- edo lanbide-jarduera egiten ez duela, ekitaldi sozialeko 90 egun baino gehiagotan baldintza hauetako edozein gertatzen denean:</w:t>
      </w:r>
    </w:p>
    <w:p w:rsidR="00C6145B" w:rsidRDefault="00615116">
      <w:pPr>
        <w:rPr>
          <w:rStyle w:val="Normal1"/>
        </w:rPr>
      </w:pPr>
      <w:r>
        <w:rPr>
          <w:rStyle w:val="Normal1"/>
        </w:rPr>
        <w:t>a') Bere aktiboaren erdia baino gehiago baloreek osatua izatea, edo bestela</w:t>
      </w:r>
    </w:p>
    <w:p w:rsidR="00C6145B" w:rsidRDefault="00615116">
      <w:pPr>
        <w:rPr>
          <w:rStyle w:val="Normal1"/>
        </w:rPr>
      </w:pPr>
      <w:r>
        <w:rPr>
          <w:rStyle w:val="Normal1"/>
        </w:rPr>
        <w:t>b') Bere aktiboaren erdia baino gehiago ez egotea lanbide- edo enpresa-jarduerei atxikia.</w:t>
      </w:r>
    </w:p>
    <w:p w:rsidR="00C6145B" w:rsidRDefault="00615116">
      <w:pPr>
        <w:rPr>
          <w:rStyle w:val="Normal1"/>
        </w:rPr>
      </w:pPr>
      <w:r>
        <w:rPr>
          <w:rStyle w:val="Normal1"/>
        </w:rPr>
        <w:t>Apartatu honetan adierazitako ondorioetarako, enpresa- edo lanbide-jarduerarik ba ote den edo ondare-elementu bat halako jarduera bati lotuta ote dagoen finkatzeko, Pertsona fisikoen errentaren gaineko zergan xedatutakoari segituko zaio. Nolanahi ere, ulertuko da entitate batek enpresa- edo lanbide-jarduera bat egiten duela, baldin eta aurreko a') eta b') azpiletrak aplikatuz determinatzen bada ez duela ondare higigarri nahiz higiezinik kudeatzen.</w:t>
      </w:r>
    </w:p>
    <w:p w:rsidR="00C6145B" w:rsidRDefault="00615116">
      <w:pPr>
        <w:rPr>
          <w:rStyle w:val="Normal1"/>
        </w:rPr>
      </w:pPr>
      <w:r>
        <w:rPr>
          <w:rStyle w:val="Normal1"/>
        </w:rPr>
        <w:t>Bai aktiboaren balioa, bai jarduera ekonomikoei loturik ez dauden ondare-elementuena, kontabilitateak adierazten duena izanen da, baldin eta horrek sozietatearen egiazko ondare-egoera zintzoki adierazten badu.</w:t>
      </w:r>
    </w:p>
    <w:p w:rsidR="00C6145B" w:rsidRDefault="00615116">
      <w:pPr>
        <w:rPr>
          <w:rStyle w:val="Normal1"/>
        </w:rPr>
      </w:pPr>
      <w:r>
        <w:rPr>
          <w:rStyle w:val="Normal1"/>
        </w:rPr>
        <w:t>Aurreko jarduerei atxikirik ez dauden balore edo ondare-elementuek osatutako aktibo-partea zehazteko:</w:t>
      </w:r>
    </w:p>
    <w:p w:rsidR="00C6145B" w:rsidRDefault="00615116">
      <w:pPr>
        <w:rPr>
          <w:rStyle w:val="Normal1"/>
        </w:rPr>
      </w:pPr>
      <w:r>
        <w:rPr>
          <w:rStyle w:val="Normal1"/>
        </w:rPr>
        <w:lastRenderedPageBreak/>
        <w:t>Lehena. Honako balore hauek ez dira kontuan hartuko:</w:t>
      </w:r>
    </w:p>
    <w:p w:rsidR="00C6145B" w:rsidRDefault="00615116">
      <w:pPr>
        <w:rPr>
          <w:rStyle w:val="Normal1"/>
        </w:rPr>
      </w:pPr>
      <w:r>
        <w:rPr>
          <w:rStyle w:val="Normal1"/>
        </w:rPr>
        <w:t>Legezko eta erregelamenduzko betebeharrak betetzeko edukitzen direnak. Enpresa- edo lanbide-jarduerak egitearen ondorioz ezarririko kontratu-harremanetatik sorturiko kreditu-eskubideak biltzen dituztenak.</w:t>
      </w:r>
    </w:p>
    <w:p w:rsidR="00C6145B" w:rsidRDefault="00615116">
      <w:pPr>
        <w:rPr>
          <w:rStyle w:val="Normal1"/>
        </w:rPr>
      </w:pPr>
      <w:r>
        <w:rPr>
          <w:rStyle w:val="Normal1"/>
        </w:rPr>
        <w:t>Balore-sozietateek beren xedea den jardueran aritzearen ondorioz dauzkatenak.</w:t>
      </w:r>
    </w:p>
    <w:p w:rsidR="00C6145B" w:rsidRDefault="00615116">
      <w:pPr>
        <w:rPr>
          <w:rStyle w:val="Normal1"/>
        </w:rPr>
      </w:pPr>
      <w:r>
        <w:rPr>
          <w:rStyle w:val="Normal1"/>
        </w:rPr>
        <w:t>Gutxienez ere bozketa-eskubideen ehuneko 5 ematen duten eta partaidetzaren zuzendaritzarako eta kudeaketarako edukitzen direnak, betiere, horretarako, baliabide material eta langile aski badaude eta parte harturiko entitatea letra honetan agertzen ez bada.</w:t>
      </w:r>
    </w:p>
    <w:p w:rsidR="00C6145B" w:rsidRDefault="00615116">
      <w:pPr>
        <w:rPr>
          <w:rStyle w:val="Normal1"/>
        </w:rPr>
      </w:pPr>
      <w:r>
        <w:rPr>
          <w:rStyle w:val="Normal1"/>
        </w:rPr>
        <w:t>Bigarrena. Ez dira balore gisa kontatuko, ez eta enpresa- nahiz lanbide-jarduerei atxikita ez dauden elementu gisa ere, eskuratze-prezioa entitateek lorturiko etekin banatu gabeen zenbatekoa baino txikiagoa dutenak, baldin eta etekin horiek jarduera ekonomikoen ondoriozkoak badira; horretarako muga izanen da bai urte berean bai azken hamar urteetan lorturiko etekinen zenbatekoa. Ondorio horietarako, aurreko paragrafoko azken zatian aipatutako baloreetatik heldu diren dibidenduak enpresa- edo lanbide-jardueretatik etorritako etekintzat hartuko dira, baldin eta parte hartutako entitateak lortutako diru-sarreren ehuneko 90, gutxienez, enpresa- edo lanbide-jarduerak egitetik heldu badira.</w:t>
      </w:r>
    </w:p>
    <w:p w:rsidR="00C6145B" w:rsidRDefault="00615116">
      <w:pPr>
        <w:rPr>
          <w:rStyle w:val="Normal1"/>
        </w:rPr>
      </w:pPr>
      <w:r>
        <w:rPr>
          <w:rStyle w:val="Normal1"/>
        </w:rPr>
        <w:t>b) Subjektu pasiboak entitatearen kapitalean duen partaidetza ehuneko 5 izatea, gutxienez, banaka zenbatua, edo ehuneko 20, batera zenbaturik ezkontideak, aurreko edo ondorengo ahaideek edo hirugarren gradurainoko albo-ahaideek dutenarekin, berdin delarik ahaidetasuna odolkidetasunetik, ezkontza-ahaidetasunetik edo seme-alabaordetzatik etortzea.</w:t>
      </w:r>
    </w:p>
    <w:p w:rsidR="00C6145B" w:rsidRDefault="00615116">
      <w:pPr>
        <w:rPr>
          <w:rStyle w:val="Normal1"/>
        </w:rPr>
      </w:pPr>
      <w:r>
        <w:rPr>
          <w:rStyle w:val="Normal1"/>
        </w:rPr>
        <w:t>c) Subjektu pasiboak entitatean zuzendaritza eginkizuna betetzea egiazki, eta horretatik jasotzen duen ordainsaria enpresa- zein lanbide-etekin eta lan pertsonaleko etekin guztien ehuneko 50 baino gehiagokoa izatea.</w:t>
      </w:r>
    </w:p>
    <w:p w:rsidR="00C6145B" w:rsidRDefault="00615116">
      <w:pPr>
        <w:rPr>
          <w:rStyle w:val="Normal1"/>
        </w:rPr>
      </w:pPr>
      <w:r>
        <w:rPr>
          <w:rStyle w:val="Normal1"/>
        </w:rPr>
        <w:t>Aurreko kalkulua egiteko, artikulu honetako 8. apartatuak aipatzen duen enpresa-jardueraren etekinak ez dira zenbatuko enpresa- edo lanbide-jardueretatik eta lan pertsonaletik bereganatutako etekin gisa.</w:t>
      </w:r>
    </w:p>
    <w:p w:rsidR="00C6145B" w:rsidRDefault="00615116">
      <w:pPr>
        <w:rPr>
          <w:rStyle w:val="Normal1"/>
        </w:rPr>
      </w:pPr>
      <w:r>
        <w:rPr>
          <w:rStyle w:val="Normal1"/>
        </w:rPr>
        <w:t>Entitatean duen partaidetza aurreko letran aipatutako pertsona batekin edo batzuekin baterakoa bada, gutxienez ahaidetasun-taldeko pertsona batek bete beharko ditu zuzendaritza-zereginei eta haren ondoriozko ordainsariei buruzkoak, pertsona horiek guztiek salbueste-eskubidea izatearen kalterik gabe.</w:t>
      </w:r>
    </w:p>
    <w:p w:rsidR="00C6145B" w:rsidRDefault="00615116">
      <w:pPr>
        <w:rPr>
          <w:rStyle w:val="Normal1"/>
        </w:rPr>
      </w:pPr>
      <w:r>
        <w:rPr>
          <w:rStyle w:val="Normal1"/>
        </w:rPr>
        <w:t>Salbuespena partaidetzen balioari aplikatuko zaio —balio hori foru lege honen 15. eta 16. artikuluek ezarritako arauekin bat finkatuko da— parte honetan soilik: lanbide- edo enpresa-jarduera gauzatzeko behar diren aktiboei jarduera horretatik heldu diren zorrak kendu ondoren ateratzen den kopuruaren eta entitateak duen ondare garbiaren balioaren artean dagoen proportzioari dagokiona. Arau horiexek aplikatuko dira parte hartutako entitateetako partaidetzak baloratzean, entitate edukitzailearen partaidetzen balioa zehazte aldera.</w:t>
      </w:r>
    </w:p>
    <w:p w:rsidR="00C6145B" w:rsidRDefault="00615116">
      <w:pPr>
        <w:rPr>
          <w:rStyle w:val="Normal1"/>
        </w:rPr>
      </w:pPr>
      <w:r>
        <w:rPr>
          <w:rStyle w:val="Normal1"/>
        </w:rPr>
        <w:t>10. Erregelamendu bidez zehaztuko dira honako hauek:</w:t>
      </w:r>
    </w:p>
    <w:p w:rsidR="00C6145B" w:rsidRDefault="00615116">
      <w:pPr>
        <w:rPr>
          <w:rStyle w:val="Normal1"/>
        </w:rPr>
      </w:pPr>
      <w:r>
        <w:rPr>
          <w:rStyle w:val="Normal1"/>
        </w:rPr>
        <w:t>a) Enpresa- edo lanbide-jarduera garatzeko behar diren ondasun, eskubide eta zorrei dagokien salbuespena aplikatu ahal izateko betekizunak.</w:t>
      </w:r>
    </w:p>
    <w:p w:rsidR="00C6145B" w:rsidRDefault="00615116">
      <w:pPr>
        <w:rPr>
          <w:rStyle w:val="Normal1"/>
        </w:rPr>
      </w:pPr>
      <w:r>
        <w:rPr>
          <w:rStyle w:val="Normal1"/>
        </w:rPr>
        <w:t>b) Entitateetako partaidetzek bete behar dituzten baldintzak”.</w:t>
      </w:r>
    </w:p>
    <w:p w:rsidR="00C6145B" w:rsidRDefault="00615116">
      <w:pPr>
        <w:rPr>
          <w:rStyle w:val="Normal1"/>
        </w:rPr>
      </w:pPr>
      <w:r>
        <w:rPr>
          <w:rStyle w:val="Normal1"/>
          <w:u w:val="single"/>
        </w:rPr>
        <w:t>Bi.</w:t>
      </w:r>
      <w:r>
        <w:rPr>
          <w:rStyle w:val="Normal1"/>
        </w:rPr>
        <w:t xml:space="preserve"> 28.1 artikulua. Likidazio-oinarria. 2018ko urtarrilaren 1etik aurrera izanen ditu ondorioak</w:t>
      </w:r>
    </w:p>
    <w:p w:rsidR="00C6145B" w:rsidRDefault="00615116">
      <w:pPr>
        <w:rPr>
          <w:rStyle w:val="Normal1"/>
        </w:rPr>
      </w:pPr>
      <w:r>
        <w:rPr>
          <w:rStyle w:val="Normal1"/>
        </w:rPr>
        <w:t>“28.1 artikulua. Likidazio-oinarria</w:t>
      </w:r>
    </w:p>
    <w:p w:rsidR="00C6145B" w:rsidRDefault="00615116">
      <w:pPr>
        <w:rPr>
          <w:rStyle w:val="Normal1"/>
        </w:rPr>
      </w:pPr>
      <w:r>
        <w:rPr>
          <w:rStyle w:val="Normal1"/>
        </w:rPr>
        <w:t>1. Likidazio-oinarria kalkulatzeko, zerga-oinarria 800.000 euro murriztuko da salbuetsita dagoen gutxienekoagatik».</w:t>
      </w:r>
    </w:p>
    <w:p w:rsidR="00C6145B" w:rsidRDefault="00615116">
      <w:pPr>
        <w:rPr>
          <w:rStyle w:val="Normal1"/>
        </w:rPr>
      </w:pPr>
      <w:r>
        <w:rPr>
          <w:rStyle w:val="Normal1"/>
          <w:u w:val="single"/>
        </w:rPr>
        <w:t>Hiru</w:t>
      </w:r>
      <w:r>
        <w:rPr>
          <w:rStyle w:val="Normal1"/>
        </w:rPr>
        <w:t>. 31.1 artikuluko lehen paragrafoa eta 31.2 artikulua. Kuota osoaren muga. 2018ko urtarrilaren 1etik aurrera izanen ditu ondorioak</w:t>
      </w:r>
    </w:p>
    <w:p w:rsidR="00C6145B" w:rsidRDefault="00615116">
      <w:pPr>
        <w:rPr>
          <w:rStyle w:val="Normal1"/>
        </w:rPr>
      </w:pPr>
      <w:r>
        <w:rPr>
          <w:rStyle w:val="Normal1"/>
        </w:rPr>
        <w:t>“31. artikulua. Kuota osoaren muga</w:t>
      </w:r>
    </w:p>
    <w:p w:rsidR="00C6145B" w:rsidRDefault="00615116">
      <w:pPr>
        <w:rPr>
          <w:rStyle w:val="Normal1"/>
        </w:rPr>
      </w:pPr>
      <w:r>
        <w:rPr>
          <w:rStyle w:val="Normal1"/>
        </w:rPr>
        <w:t>1. Zerga honen kuota osoa, Pertsona fisikoen errentaren gaineko zergaren kuota osoarekin batera, ez da azken horren zerga-oinarriko baturaren ehuneko 60tik goitikoa izaten ahal, eta, ondorio hauetarako, ez da kontuan hartuko izaeragatik edo xedeagatik Pertsona fisikoen errentaren gaineko zergaren kargapean dauden etekinak sortzeko ahalmenik ez duten ondare-elementuei dagokien kuotaren zatia.</w:t>
      </w:r>
    </w:p>
    <w:p w:rsidR="00C6145B" w:rsidRDefault="00615116">
      <w:pPr>
        <w:rPr>
          <w:rStyle w:val="Normal1"/>
        </w:rPr>
      </w:pPr>
      <w:r>
        <w:rPr>
          <w:rStyle w:val="Normal1"/>
        </w:rPr>
        <w:lastRenderedPageBreak/>
        <w:t>2. Bi kuoten baturak 1. apartatuan aipatzen den muga gainditzen baldin badu, zerga honen kuota gutxituko da muga horretara iritsi arte; gutxitze hori ezin izanen da ehuneko 80 baino handiagoa izan”.</w:t>
      </w:r>
    </w:p>
    <w:p w:rsidR="00C6145B" w:rsidRDefault="00615116">
      <w:pPr>
        <w:rPr>
          <w:rStyle w:val="Normal1"/>
        </w:rPr>
      </w:pPr>
      <w:r>
        <w:rPr>
          <w:rStyle w:val="Normal1"/>
          <w:u w:val="single"/>
        </w:rPr>
        <w:t>Lau</w:t>
      </w:r>
      <w:r>
        <w:rPr>
          <w:rStyle w:val="Normal1"/>
        </w:rPr>
        <w:t>. 33. artikulua indargabetzea. 2018ko urtarrilaren 1etik aurrera izanen ditu ondorioak.</w:t>
      </w:r>
    </w:p>
    <w:p w:rsidR="00C6145B" w:rsidRDefault="00615116">
      <w:pPr>
        <w:rPr>
          <w:rStyle w:val="Normal1"/>
        </w:rPr>
      </w:pPr>
      <w:r>
        <w:rPr>
          <w:rStyle w:val="Normal1"/>
          <w:b/>
        </w:rPr>
        <w:t>Laugarren artikulua</w:t>
      </w:r>
      <w:r>
        <w:rPr>
          <w:rStyle w:val="Normal1"/>
        </w:rPr>
        <w:t>. Sozietateen gaineko Zergari buruzko Foru Legea.</w:t>
      </w:r>
    </w:p>
    <w:p w:rsidR="00C6145B" w:rsidRDefault="00615116">
      <w:pPr>
        <w:rPr>
          <w:rStyle w:val="Normal1"/>
        </w:rPr>
      </w:pPr>
      <w:r>
        <w:rPr>
          <w:rStyle w:val="Normal1"/>
        </w:rPr>
        <w:t>2018ko urtarrilaren 1etik aurrerako zergaldietan ondorioak izateko, Sozietateen gaineko Zergari buruzko abenduaren 28ko 26/2016 Foru Legearen manu hauek honela idatzita geldituko dira:</w:t>
      </w:r>
    </w:p>
    <w:p w:rsidR="00C6145B" w:rsidRDefault="00615116">
      <w:pPr>
        <w:rPr>
          <w:rStyle w:val="Normal1"/>
        </w:rPr>
      </w:pPr>
      <w:r>
        <w:rPr>
          <w:rStyle w:val="Normal1"/>
          <w:u w:val="single"/>
        </w:rPr>
        <w:t>Bat</w:t>
      </w:r>
      <w:r>
        <w:rPr>
          <w:rStyle w:val="Normal1"/>
        </w:rPr>
        <w:t>. 17 bis artikulua. 2018ko urtarrilaren 1etik aurrera izanen ditu ondorioak</w:t>
      </w:r>
    </w:p>
    <w:p w:rsidR="00C6145B" w:rsidRDefault="00615116">
      <w:pPr>
        <w:rPr>
          <w:rStyle w:val="Normal1"/>
        </w:rPr>
      </w:pPr>
      <w:r>
        <w:rPr>
          <w:rStyle w:val="Normal1"/>
        </w:rPr>
        <w:t>“17 bis artikulua. Finantza-merkataritzaren funtsaren tratamendu fiskala.</w:t>
      </w:r>
    </w:p>
    <w:p w:rsidR="00C6145B" w:rsidRDefault="00615116">
      <w:pPr>
        <w:rPr>
          <w:rStyle w:val="Normal1"/>
        </w:rPr>
      </w:pPr>
      <w:r>
        <w:rPr>
          <w:rStyle w:val="Normal1"/>
        </w:rPr>
        <w:t>38. artikuluan aipatzen diren partaidetzak eskuratzen direnean, partaidetzaren eskuratze prezioaren eta eskuratze egunean entitate partaidetuak (partaidetzaren proportzioan) daukan ondare garbiaren arteko diferentzia honako hauei egotziko zaie: entitatearen ondasun eta eskubideei, Merkataritza Kodearen 46. artikuluan eta hura garatzen duten arauetan ezarritako integrazio globalaren metodoa aplikatuz. Bestetik, egotzi ez den diferentzia zatia zerga-oinarritik kendu ahalko da, urtero zenbateko horren ehuneko hamar gehienez, ezertan galarazi gabe aplikagarri diren kontabilitate arauetan ezarritakoa.</w:t>
      </w:r>
    </w:p>
    <w:p w:rsidR="00C6145B" w:rsidRDefault="00615116">
      <w:pPr>
        <w:rPr>
          <w:rStyle w:val="Normal1"/>
        </w:rPr>
      </w:pPr>
      <w:r>
        <w:rPr>
          <w:rStyle w:val="Normal1"/>
        </w:rPr>
        <w:t>Zenbateko horretatik kenduko da, artikulu honetan araututako kenkaria aplikatuta ateratzen den oinarria zehazte aldera, partaidetzaren aurreko jabeek lortutako errenten zenbatekoa, baldin eta errenta horiei aplikatu bazaie foru lege honen 35. artikuluan xedatutakoa.</w:t>
      </w:r>
    </w:p>
    <w:p w:rsidR="00C6145B" w:rsidRDefault="00615116">
      <w:pPr>
        <w:rPr>
          <w:rStyle w:val="Normal1"/>
        </w:rPr>
      </w:pPr>
      <w:r>
        <w:rPr>
          <w:rStyle w:val="Normal1"/>
        </w:rPr>
        <w:t>2. Partaidetzak eskuratu zaizkioneko entitateak, bere aldetik, beste batean parte hartzen duenean, aintzat hartu beharko dira urteko kontu bateratuetatik ateratzen diren ondare garbia eta ondasun eta eskubideak; betiere, kontu horiek eginen dira Merkataritza Kodean eta hura garatzeko arauetan ezarritako irizpideak aplikatuz.</w:t>
      </w:r>
    </w:p>
    <w:p w:rsidR="00C6145B" w:rsidRDefault="00615116">
      <w:pPr>
        <w:rPr>
          <w:rStyle w:val="Normal1"/>
        </w:rPr>
      </w:pPr>
      <w:r>
        <w:rPr>
          <w:rStyle w:val="Normal1"/>
        </w:rPr>
        <w:t>4. Merkatu arautu baten bitartez eskuratu ez diren partaidetzak direnean, artikulu honetan xedatutakoa aplikatzekoa izanen da partaidetza eskuratzen duen entitatea ez dagoenean eskualdaketa egiten duen pertsonarekiko edo entitatearekiko Merkataritza Kodearen 42. artikuluan aurreikusitako kasuetako batean.</w:t>
      </w:r>
    </w:p>
    <w:p w:rsidR="00C6145B" w:rsidRDefault="00615116">
      <w:pPr>
        <w:rPr>
          <w:rStyle w:val="Normal1"/>
        </w:rPr>
      </w:pPr>
      <w:r>
        <w:rPr>
          <w:rStyle w:val="Normal1"/>
        </w:rPr>
        <w:t>Apartatu honetan ezarritako baldintza ez da aplikatuko eskualdaketa egiten duen pertsonak edo entitateak partaidetza eskuratzean ordaindutako salneurriari dagokionez, aldi berean partaidetza hori eskuratu denean pertsona edo entitate horiek partaidetza hori dela-eta Merkataritza Kodearen 42. artikuluan ezarritako kasuetako bakarrean ere ez zeudenean.</w:t>
      </w:r>
    </w:p>
    <w:p w:rsidR="00C6145B" w:rsidRDefault="00615116">
      <w:pPr>
        <w:rPr>
          <w:rStyle w:val="Normal1"/>
        </w:rPr>
      </w:pPr>
      <w:r>
        <w:rPr>
          <w:rStyle w:val="Normal1"/>
        </w:rPr>
        <w:t>5. Artikulu honetan xedatuaren indarrez kendutako kopuruek zerga-oinarria gehituko dute eskualdaketarik izatekotan, eta inolaz ere ezin izanen da aplikatu foru lege honen 35. artikuluan ezarritakoa.</w:t>
      </w:r>
    </w:p>
    <w:p w:rsidR="00C6145B" w:rsidRDefault="00615116">
      <w:pPr>
        <w:rPr>
          <w:rStyle w:val="Normal1"/>
        </w:rPr>
      </w:pPr>
      <w:r>
        <w:rPr>
          <w:rStyle w:val="Normal1"/>
        </w:rPr>
        <w:t>6. Partaidetzen eskualdaketak foru lege honen 34. artikuluan xedatuari atxikitzen zaizkion errentak sortzen baldin baditu, artikulu honetan xedatutakoaren indarrez kendutako kopuruak ez dira sartuko zerga-oinarrian sartu ez diren errenten artean”.</w:t>
      </w:r>
    </w:p>
    <w:p w:rsidR="00C6145B" w:rsidRDefault="00615116">
      <w:pPr>
        <w:rPr>
          <w:rStyle w:val="Normal1"/>
        </w:rPr>
      </w:pPr>
      <w:r>
        <w:rPr>
          <w:rStyle w:val="Normal1"/>
          <w:u w:val="single"/>
        </w:rPr>
        <w:t>Bi</w:t>
      </w:r>
      <w:r>
        <w:rPr>
          <w:rStyle w:val="Normal1"/>
        </w:rPr>
        <w:t>. 37. artikulua. 2018ko urtarrilaren 1etik aurrera izanen ditu ondorioak</w:t>
      </w:r>
    </w:p>
    <w:p w:rsidR="00C6145B" w:rsidRDefault="00615116">
      <w:pPr>
        <w:rPr>
          <w:rStyle w:val="Normal1"/>
        </w:rPr>
      </w:pPr>
      <w:r>
        <w:rPr>
          <w:rStyle w:val="Normal1"/>
        </w:rPr>
        <w:t>“37. artikulua. Salbuespena, ezohiko mozkinak berrinbertitzeagatik.</w:t>
      </w:r>
    </w:p>
    <w:p w:rsidR="00C6145B" w:rsidRDefault="00615116">
      <w:pPr>
        <w:rPr>
          <w:rStyle w:val="Normal1"/>
        </w:rPr>
      </w:pPr>
      <w:r>
        <w:rPr>
          <w:rStyle w:val="Normal1"/>
        </w:rPr>
        <w:t>1. …</w:t>
      </w:r>
    </w:p>
    <w:p w:rsidR="00C6145B" w:rsidRDefault="00615116">
      <w:pPr>
        <w:rPr>
          <w:rStyle w:val="Normal1"/>
        </w:rPr>
      </w:pPr>
      <w:r>
        <w:rPr>
          <w:rStyle w:val="Normal1"/>
        </w:rPr>
        <w:t>(4. paragrafoa) Bestetik, ez da zerga-oinarrian sartuko kostu bidezko eskualdaketa horietan lortutako errenten 100eko 50, haien zenbatekoa berriz inbertitzen bada, epe berdinetan, 38. artikuluak aipatzen dituen baloreak erosteko. Aurrekoa gorabehera, ez da inongo errentarik sartuko eskuratzen direnak entitateen kapital sozialaren edo funts berekien ehuneko 50 baino txikiagoa ez den partaidetza ematen duten baloreak direnean”.</w:t>
      </w:r>
    </w:p>
    <w:p w:rsidR="00C6145B" w:rsidRDefault="00615116">
      <w:pPr>
        <w:rPr>
          <w:rStyle w:val="Normal1"/>
        </w:rPr>
      </w:pPr>
      <w:r>
        <w:rPr>
          <w:rStyle w:val="Normal1"/>
          <w:u w:val="single"/>
        </w:rPr>
        <w:t>Lau</w:t>
      </w:r>
      <w:r>
        <w:rPr>
          <w:rStyle w:val="Normal1"/>
        </w:rPr>
        <w:t>. 45. artikulua. 2018ko urtarrilaren 1etik aurrera izanen ditu ondorioak</w:t>
      </w:r>
    </w:p>
    <w:p w:rsidR="00C6145B" w:rsidRDefault="00615116">
      <w:pPr>
        <w:rPr>
          <w:rStyle w:val="Normal1"/>
        </w:rPr>
      </w:pPr>
      <w:r>
        <w:rPr>
          <w:rStyle w:val="Normal1"/>
        </w:rPr>
        <w:t>“45. artikulua. Zenbatekoa eta gauzatzea.</w:t>
      </w:r>
    </w:p>
    <w:p w:rsidR="00C6145B" w:rsidRDefault="00615116">
      <w:pPr>
        <w:rPr>
          <w:rStyle w:val="Normal1"/>
        </w:rPr>
      </w:pPr>
      <w:r>
        <w:rPr>
          <w:rStyle w:val="Normal1"/>
        </w:rPr>
        <w:lastRenderedPageBreak/>
        <w:t>3. Inbertsioetarako Erreserba Bereziaren materializatzea ibilgetu materialaren elementu berrietan eta higiezinetako inbertsioetan egin beharko da, ustiapen edo jarduera ekonomiko baten garapenari lotutako lurrak izan ezik. Halaber, materializatze horretarako balioko du 38. artikuluan aipatzen diren baloreen eskuratzeak, baldin eta entitateen kapital sozialean edo funts berekietan ehuneko 50etik beherakoa ez den partaidetza ematen badute”.</w:t>
      </w:r>
    </w:p>
    <w:p w:rsidR="00C6145B" w:rsidRDefault="00615116">
      <w:pPr>
        <w:rPr>
          <w:rStyle w:val="Normal1"/>
        </w:rPr>
      </w:pPr>
      <w:r>
        <w:rPr>
          <w:rStyle w:val="Normal1"/>
          <w:u w:val="single"/>
        </w:rPr>
        <w:t>Bost</w:t>
      </w:r>
      <w:r>
        <w:rPr>
          <w:rStyle w:val="Normal1"/>
        </w:rPr>
        <w:t>. 51.1 artikulua, 51.2 artikulua eta 51.3 artikulua. 2018ko urtarrilaren 1etik aurrera izanen ditu ondorioak</w:t>
      </w:r>
    </w:p>
    <w:p w:rsidR="00C6145B" w:rsidRDefault="00615116">
      <w:pPr>
        <w:rPr>
          <w:rStyle w:val="Normal1"/>
        </w:rPr>
      </w:pPr>
      <w:r>
        <w:rPr>
          <w:rStyle w:val="Normal1"/>
        </w:rPr>
        <w:t>“1. Karga-tasa % 19 izanen da. Ondare-entitatetzat hartzen diren entitateentzat karga-tasa % 23 izanen da.</w:t>
      </w:r>
    </w:p>
    <w:p w:rsidR="00C6145B" w:rsidRDefault="00615116">
      <w:pPr>
        <w:rPr>
          <w:rStyle w:val="Normal1"/>
        </w:rPr>
      </w:pPr>
      <w:r>
        <w:rPr>
          <w:rStyle w:val="Normal1"/>
        </w:rPr>
        <w:t>2. [Kenduta]</w:t>
      </w:r>
    </w:p>
    <w:p w:rsidR="00C6145B" w:rsidRDefault="00615116">
      <w:pPr>
        <w:rPr>
          <w:rStyle w:val="Normal1"/>
        </w:rPr>
      </w:pPr>
      <w:r>
        <w:rPr>
          <w:rStyle w:val="Normal1"/>
        </w:rPr>
        <w:t>3. Honako hauek ehuneko 17ko zerga-tasa izanen dute:</w:t>
      </w:r>
    </w:p>
    <w:p w:rsidR="00C6145B" w:rsidRDefault="00615116">
      <w:pPr>
        <w:rPr>
          <w:rStyle w:val="Normal1"/>
        </w:rPr>
      </w:pPr>
      <w:r>
        <w:rPr>
          <w:rStyle w:val="Normal1"/>
        </w:rPr>
        <w:t>a) Zerga arloan babestuak dauden sozietate kooperatiboak, Kooperatiben Zerga Araubidea arautzen duen ekainaren 21eko 9/1994 Foru Legean ageri direnak, kooperatibatik kanpoko emaitzei dagokienez izan ezik, emaitza horiei 1. apartatuan aipatutakoaren arabera dagokien tasa orokorra aplikatuko baitzaie.</w:t>
      </w:r>
    </w:p>
    <w:p w:rsidR="00C6145B" w:rsidRDefault="00615116">
      <w:pPr>
        <w:rPr>
          <w:rStyle w:val="Normal1"/>
        </w:rPr>
      </w:pPr>
      <w:r>
        <w:rPr>
          <w:rStyle w:val="Normal1"/>
        </w:rPr>
        <w:t>Nolanahi ere, kreditu kooperatibek eta nekazarien kutxek ehuneko 19ko zerga-tasa izanen dute kooperatibaren emaitzetan nahiz kooperatibaz kanpokoetan.</w:t>
      </w:r>
    </w:p>
    <w:p w:rsidR="00C6145B" w:rsidRDefault="00615116">
      <w:pPr>
        <w:rPr>
          <w:rStyle w:val="Normal1"/>
          <w:spacing w:val="-1"/>
        </w:rPr>
      </w:pPr>
      <w:r>
        <w:rPr>
          <w:rStyle w:val="Normal1"/>
          <w:spacing w:val="-1"/>
        </w:rPr>
        <w:t>b) Lan Sozietateei eta Sozietate Partaidetuei buruzko urriaren 14ko 44/2015 Legeak araututako lan-sozietateak, baldin eta lortzen dituzten mozkinen ehuneko 25, gutxienez ere, sartzen badute lege horren 14. artikuluan araututako erreserbako funts berezira, salbu sozietatearen jarduera berariazkoei atxikirik ez dauden ondare-elementuetatik ateratzen diren errentei dagokienez, horiei 1. apartatuan aipatutakoaren arabera dagokien tasa orokorra aplikatuko baitzaie.</w:t>
      </w:r>
    </w:p>
    <w:p w:rsidR="00C6145B" w:rsidRDefault="00615116">
      <w:pPr>
        <w:rPr>
          <w:rStyle w:val="Normal1"/>
        </w:rPr>
      </w:pPr>
      <w:r>
        <w:rPr>
          <w:rStyle w:val="Normal1"/>
        </w:rPr>
        <w:t>Hala behar izanez gero, kontabilitatearen emaitza negatiboa denean eta oinarri likidagarria positiboa, ehuneko 17ko zerga-tasa aplikatuko da.”</w:t>
      </w:r>
    </w:p>
    <w:p w:rsidR="00C6145B" w:rsidRDefault="00615116">
      <w:pPr>
        <w:rPr>
          <w:rStyle w:val="Normal1"/>
        </w:rPr>
      </w:pPr>
      <w:r>
        <w:rPr>
          <w:rStyle w:val="Normal1"/>
          <w:u w:val="single"/>
        </w:rPr>
        <w:t>Zazpi</w:t>
      </w:r>
      <w:r>
        <w:rPr>
          <w:rStyle w:val="Normal1"/>
        </w:rPr>
        <w:t>. 64 bis artikulua. 2018ko urtarrilaren 1etik aurrera izanen ditu ondorioak</w:t>
      </w:r>
    </w:p>
    <w:p w:rsidR="00C6145B" w:rsidRDefault="00615116">
      <w:pPr>
        <w:rPr>
          <w:rStyle w:val="Normal1"/>
        </w:rPr>
      </w:pPr>
      <w:r>
        <w:rPr>
          <w:rStyle w:val="Normal1"/>
        </w:rPr>
        <w:t>“64 bis artikulua. Baloreak eskuratzeagatiko kenkaria</w:t>
      </w:r>
    </w:p>
    <w:p w:rsidR="00C6145B" w:rsidRDefault="00615116">
      <w:pPr>
        <w:rPr>
          <w:rStyle w:val="Normal1"/>
        </w:rPr>
      </w:pPr>
      <w:r>
        <w:rPr>
          <w:rStyle w:val="Normal1"/>
        </w:rPr>
        <w:t>38. artikuluan aipatzen diren baloreak eskuratzeko egiten diren inbertsioek, baldin eta entitateen kapital sozialean edo funts berekietan ehuneko 50etik beherakoa ez den partaidetza ematen badute, beraiekin ekarriko dute kuota likidoan inbertsio horien zenbatekoaren ehuneko 10eko kenkaria aplikatu ahal izatea.</w:t>
      </w:r>
    </w:p>
    <w:p w:rsidR="00C6145B" w:rsidRDefault="00615116">
      <w:pPr>
        <w:rPr>
          <w:rStyle w:val="Normal1"/>
        </w:rPr>
      </w:pPr>
      <w:r>
        <w:rPr>
          <w:rStyle w:val="Normal1"/>
          <w:u w:val="single"/>
        </w:rPr>
        <w:t>Zortzi</w:t>
      </w:r>
      <w:r>
        <w:rPr>
          <w:rStyle w:val="Normal1"/>
        </w:rPr>
        <w:t>. 66.7 artikulua. 2018ko urtarrilaren 1etik aurrera izanen ditu ondorioak</w:t>
      </w:r>
    </w:p>
    <w:p w:rsidR="00C6145B" w:rsidRDefault="00615116">
      <w:pPr>
        <w:rPr>
          <w:rStyle w:val="Normal1"/>
        </w:rPr>
      </w:pPr>
      <w:r>
        <w:rPr>
          <w:rStyle w:val="Normal1"/>
        </w:rPr>
        <w:t>“7. Jarduera hasten duten enpresek, erregelamenduz ezartzen den moduan, kuota likidoan 2.000 euroko kenkari gehigarria aplikatzeko eskubidea izanen dute urtean, lan kontratu mugagabea duen eta lanbide arteko gutxieneko soldata ehuneko 70 handituta baino soldata handiagoa jasotzen duen pertsona bakoitzeko. Horretarako baldintza hau bete beharko da: lan kontratu mugagabea duten eta kenkaria sortzen den ekitaldiko lanbide arteko gutxieneko soldata ehuneko 70 handituta baino soldata handiagoa jasotzen duten langileen batez besteko kopuruari eutsi behar zaio hogeita hamasei hilabetez, kenkaria sortzen den zergaldia amaitzen denetik hasita”.</w:t>
      </w:r>
    </w:p>
    <w:p w:rsidR="00C6145B" w:rsidRDefault="00615116">
      <w:pPr>
        <w:rPr>
          <w:rStyle w:val="Normal1"/>
        </w:rPr>
      </w:pPr>
      <w:r>
        <w:rPr>
          <w:rStyle w:val="Normal1"/>
          <w:u w:val="single"/>
        </w:rPr>
        <w:t>Bederatzi</w:t>
      </w:r>
      <w:r>
        <w:t>.</w:t>
      </w:r>
      <w:r>
        <w:rPr>
          <w:rStyle w:val="Normal1"/>
        </w:rPr>
        <w:t xml:space="preserve"> 123.3 artikulua. 2018ko urtarrilaren 1etik aurrera izanen ditu ondorioak</w:t>
      </w:r>
    </w:p>
    <w:p w:rsidR="00C6145B" w:rsidRDefault="00615116">
      <w:pPr>
        <w:rPr>
          <w:rStyle w:val="Normal1"/>
        </w:rPr>
      </w:pPr>
      <w:r>
        <w:rPr>
          <w:rStyle w:val="Normal1"/>
        </w:rPr>
        <w:t>“123. artikulua. Partaidetzak entitate eskualdatzailearen kapitalean eta entitate eskuratzailearenean.</w:t>
      </w:r>
    </w:p>
    <w:p w:rsidR="00C6145B" w:rsidRDefault="00615116">
      <w:pPr>
        <w:rPr>
          <w:rStyle w:val="Normal1"/>
        </w:rPr>
      </w:pPr>
      <w:r>
        <w:rPr>
          <w:rStyle w:val="Normal1"/>
        </w:rPr>
        <w:t>3. Eskuratutako ondasunak, zergari dagokionez, foru lege honen 119. artikuluan ezarritakoaren arabera baloratuko dira. Hala ere, entitate eskuratzaileak entitate eskualdatzailearen kapitalean gutxienez ere ehuneko 5eko partaidetza duenean, edo ehuneko 3koa, baldin eta parte hartutako sozietatearen akzioek bigarren mailako merkatu antolatu batean kotizatzen badute, partaidetzaren eskuratze-prezioaren eta horri dagokion ondare garbiaren arteko diferentzia egotziko zaie, zerga-ondorioetarako, eskuratutako ondasun eta eskubideei, Merkataritza Kodeko 46. artikuluan eta gainerako garapen arauetan azaltzen den sartze orokorreko metodoa ezarriz; eta aipatutako balorazioaren arabera egotzi ez den diferentziaren zatia, zerga ikuspuntutik, kengarria izanen da foru lege honen 17. artikuluko 1. apartatuan ezarritako baldintzetan; horren salbuespena izanen da, bi kasuetan, aurreko entitate eskualdatzaile baten zerga-oinarrian sartu ez den diferentziaren zatia, foru lege honen 34. artikuluan ezarritakoa aplikatzearen ondorioz.</w:t>
      </w:r>
    </w:p>
    <w:p w:rsidR="00C6145B" w:rsidRDefault="00615116">
      <w:pPr>
        <w:rPr>
          <w:rStyle w:val="Normal1"/>
        </w:rPr>
      </w:pPr>
      <w:r>
        <w:rPr>
          <w:rStyle w:val="Normal1"/>
        </w:rPr>
        <w:lastRenderedPageBreak/>
        <w:t>Halaber, jasotako ondasun eta eskubideei egotziko zaie partaidetza eskuratzeak zerga-ondorioetarako daukan balioaren zatia, entitate eskualdatzailearen egoitzan ondasun eta eskubide horiek —galeren eta irabazien kontuari egotzi ez zitzaizkiolako ondorio fiskalak izan ez zituzten ondasun eta eskubideek— sortu duten balio-aldaketaren doikuntzei dagokiena.</w:t>
      </w:r>
    </w:p>
    <w:p w:rsidR="00C6145B" w:rsidRDefault="00615116">
      <w:pPr>
        <w:rPr>
          <w:rStyle w:val="Normal1"/>
        </w:rPr>
      </w:pPr>
      <w:r>
        <w:rPr>
          <w:rStyle w:val="Normal1"/>
        </w:rPr>
        <w:t>Aurreko bi lerrokadetan xedatutakoa aplikatzeko, eskatuko da eskuratzailea eta eskualdatzailea sozietate talde baten parte ez izatea Merkataritza Kodearen 42. artikuluan ezarritako irizpideen arabera, edozein direla ere egoitza eta urteko kontu bateratuak formulatzeko betebeharra. Baldintza hori ez da aplikatuko eskualdaketa egiten duen pertsonak edo entitateak partaidetza eskuratzean ordaindutako salneurriari dagokionez, aldi berean partaidetza hori eskuratu denean partaidetza hori dela-eta Merkataritza Kodearen 42. artikuluan ezarritako kasuetako batean ere ez zeudenean.</w:t>
      </w:r>
    </w:p>
    <w:p w:rsidR="00C6145B" w:rsidRDefault="00615116">
      <w:pPr>
        <w:pStyle w:val="aemnum"/>
      </w:pPr>
      <w:r>
        <w:t>2. zuzenketa</w:t>
      </w:r>
    </w:p>
    <w:p w:rsidR="00C6145B" w:rsidRDefault="00615116">
      <w:pPr>
        <w:pStyle w:val="aformula"/>
      </w:pPr>
      <w:r>
        <w:t>Nafarroako Alderdi Sozialista</w:t>
      </w:r>
    </w:p>
    <w:p w:rsidR="00C6145B" w:rsidRDefault="00615116">
      <w:pPr>
        <w:pStyle w:val="agrupo"/>
        <w:rPr>
          <w:rStyle w:val="Normal1"/>
        </w:rPr>
      </w:pPr>
      <w:r>
        <w:t>talde parlamentarioak aurkeztua</w:t>
      </w:r>
    </w:p>
    <w:p w:rsidR="00C6145B" w:rsidRDefault="00615116">
      <w:pPr>
        <w:rPr>
          <w:rStyle w:val="Normal1"/>
        </w:rPr>
      </w:pPr>
      <w:r>
        <w:rPr>
          <w:rStyle w:val="Normal1"/>
        </w:rPr>
        <w:t>Osoko zuzenketa, Zenbait zerga aldatu eta beste tributu-neurri batzuk hartzeari buruzko Foru Lege proiektuari aurkeztutakoa. Espediente zenbakia: 9-17/LEY- 00012.</w:t>
      </w:r>
    </w:p>
    <w:p w:rsidR="00C6145B" w:rsidRDefault="00615116">
      <w:pPr>
        <w:rPr>
          <w:rStyle w:val="Normal1"/>
        </w:rPr>
      </w:pPr>
      <w:r>
        <w:rPr>
          <w:rStyle w:val="Normal1"/>
        </w:rPr>
        <w:t>Zioak: Alderdi Sozialistak baieztatzen du zergak beharrezkoak direla kalitatezko zerbitzu publikoak bermatzeko, garapen sozial eta ekonomikoa bultzatzeko eta ongizate-estatuaren zutabeei eusteko. Horregatik, bai pertsonek bai enpresek alderdi konprometitu eta engaiatuak izan behar dugu gure ongizatearen eta garapenaren alde. Erantzukide fiskalak izan behar dugu guztion onerako izanen den eta berdintasunaren eta justizia sozialaren bidean aurrera egiteko aukera emanen digun oparotasuna lortzeko.</w:t>
      </w:r>
    </w:p>
    <w:p w:rsidR="00C6145B" w:rsidRDefault="00615116">
      <w:pPr>
        <w:rPr>
          <w:rStyle w:val="Normal1"/>
        </w:rPr>
      </w:pPr>
      <w:r>
        <w:rPr>
          <w:rStyle w:val="Normal1"/>
        </w:rPr>
        <w:t>Sozialistok uste dugu fiskalitateak hiru ezaugarri izan behar dituela gutxienez: nahikoa, bidezkoa eta progresiboa izan behar du. Nahikoa, zerbitzu publikoen finantzaketa bermatzeko. Progresiboa eta bidezkoa, esfortzu handiagoa egin dezaten ahal dutenek, hau da, errenta handiagoak dituztenek.  Azken batean, fiskalitateak gauza izan behar du baliabideak egoera kaskarrena dutenen artean birbanatzeko.</w:t>
      </w:r>
    </w:p>
    <w:p w:rsidR="00C6145B" w:rsidRDefault="00615116">
      <w:pPr>
        <w:rPr>
          <w:rStyle w:val="Normal1"/>
        </w:rPr>
      </w:pPr>
      <w:r>
        <w:rPr>
          <w:rStyle w:val="Normal1"/>
        </w:rPr>
        <w:t xml:space="preserve">Jada 2015. urtean lauko gobernuaren lehenbiziko erreforma fiskala onetsi zen. Diru-bilketa azkarra zen erreforma haren helburua, eta batez ere pertsona fisikoei eragin zien, PFEZari bereziki ekiten zion erreforma izateagatik. </w:t>
      </w:r>
    </w:p>
    <w:p w:rsidR="00C6145B" w:rsidRDefault="00615116">
      <w:pPr>
        <w:rPr>
          <w:rStyle w:val="Normal1"/>
        </w:rPr>
      </w:pPr>
      <w:r>
        <w:rPr>
          <w:rStyle w:val="Normal1"/>
        </w:rPr>
        <w:t>Zenbait zerga aldatu eta beste tributu-neurri batzuk hartzeari buruzko Foru Lege proiektu honekin aukera bat galdu da 2015eko erreforman errenta ertain eta apalei eta seme-alabak dituzten familiei PFEZean eman zitzaien tratua zuzentzeko. Kontua da, akatsa zuzendu ordez, Gobernuak erabaki duela PFEZaren bide azkarretik dirua biltzen segitzea, etxebizitzarengatiko kenkariak kenduz, pentsio planak gogortuz eta, horrenbestez, aurrezpena zigortuz, seme edo alaba bakoitzeko kenkaria handituz, hiru urtetik beherako haurrak et 30.000 eurotik beherako errentak dituztenentzat bakarrik, urtean 100 euro besterik ez... Hori dela eta, ez dugu uste iazkoari gehitutako erreforma hau sozialki bidezkoa denik, guztiz kontrakoa baino. Berriro ere ahalegin fiskala eskatzen ari zaie errenta ertainei, eta ahalmen ekonomikoa kentzen dieten neurri hauen guztien ondorioz pobretu eginen dira.</w:t>
      </w:r>
    </w:p>
    <w:p w:rsidR="00C6145B" w:rsidRDefault="00615116">
      <w:pPr>
        <w:rPr>
          <w:rStyle w:val="Normal1"/>
        </w:rPr>
      </w:pPr>
      <w:r>
        <w:rPr>
          <w:rStyle w:val="Normal1"/>
        </w:rPr>
        <w:t>Antzeko zerbait ikusten dugu jarduera ekonomikoa sustatzearekin zerikusia duen guztian. Enpresek sistemari bidezko ekarpena egitearen alde gaude PSN-PSOEn, sistemaren parte direlako, eta erantzukizun fiskala izan behar dute. Erreforma honek dakarren egoera, ordea, ez da batere erakargarria Nafarroan inbertitzeko. Eta inbertsiorik ez badago eta enpresarik ez badator, ez dago enplegurik.</w:t>
      </w:r>
    </w:p>
    <w:p w:rsidR="00C6145B" w:rsidRDefault="00615116">
      <w:pPr>
        <w:rPr>
          <w:rStyle w:val="Normal1"/>
        </w:rPr>
      </w:pPr>
      <w:r>
        <w:rPr>
          <w:rStyle w:val="Normal1"/>
        </w:rPr>
        <w:t>Nafarroa ez da uharte bat, inguruko egoerak eragin egiten digu, eta gure komunitatea, zalantzarik gabe, inbertsiorako erakargarritasuna galtzen ari da, batez ere erkidego mugakideekin alderatzen badugu, bereziki Euskal Autonomia Erkidegoarekin alderatzen badugu.</w:t>
      </w:r>
    </w:p>
    <w:p w:rsidR="00C6145B" w:rsidRDefault="00615116">
      <w:pPr>
        <w:rPr>
          <w:rStyle w:val="Normal1"/>
        </w:rPr>
      </w:pPr>
      <w:r>
        <w:rPr>
          <w:rStyle w:val="Normal1"/>
        </w:rPr>
        <w:t>Tributuei buruzko Foru Lege Orokorraren aldaketan jaso diren neurri batzuk ere ezin ditugu ulertu, esate baterako, Foru Ogasunari iruzur egiten dietenei arau-hauste larrien zehapenak goiz ordaintzeagatik isuna beheratzea. Horren aurrean, Nafarroako Gobernuak eta laukoak zerga iruzurraren aurkako borrokari buruzko kasu honetan harrigarriki defendatzen duenaren guztiz kontrakoa da gure jarrera.</w:t>
      </w:r>
    </w:p>
    <w:p w:rsidR="00C6145B" w:rsidRDefault="00615116">
      <w:pPr>
        <w:rPr>
          <w:rStyle w:val="Normal1"/>
        </w:rPr>
      </w:pPr>
      <w:r>
        <w:rPr>
          <w:rStyle w:val="Normal1"/>
        </w:rPr>
        <w:lastRenderedPageBreak/>
        <w:t>Hitz batez, gure autogobernua eta autonomia fiskala aintzat hartzen ditugu erabaki zuzenak hartzeko, desberdintasun gutxiago duen gizarte justuagoa lortzea ahalbidetuko dutenak. Hitz batez, herritarren bizi kalitate hobea eta zerbitzu publiko hobeak dituen gizartea, enpresen, berrikuntzaren eta garapenaren erakargune dena.</w:t>
      </w:r>
    </w:p>
    <w:p w:rsidR="00C6145B" w:rsidRDefault="00615116">
      <w:pPr>
        <w:rPr>
          <w:rStyle w:val="Normal1"/>
        </w:rPr>
      </w:pPr>
      <w:r>
        <w:rPr>
          <w:rStyle w:val="Normal1"/>
        </w:rPr>
        <w:t>Eta egin liteke, baina horretarako oreka eta trebetasuna behar dira, ez duelako inolako zentzurik gure autogobernua erabiltzeak geure buruaren aurka egiteko eta, azkenean, Nafarroako herritarrak egoera kaskarragoan uzteko.</w:t>
      </w:r>
    </w:p>
    <w:p w:rsidR="00C6145B" w:rsidRDefault="00615116">
      <w:pPr>
        <w:rPr>
          <w:rStyle w:val="Normal1"/>
        </w:rPr>
      </w:pPr>
      <w:r>
        <w:rPr>
          <w:rStyle w:val="Normal1"/>
        </w:rPr>
        <w:t>Erreforma honek, aurrekoarekin batera, lehiakortasun fiskalik gabeko egoeran jartzen gaitu. Lanaren errenta ertainek jasanen dute esfortzu handiena eta pobretu eginen dira, funtsean, PFEZaren aldaketak eta zerga iruzurraren aurkako neurriak ez direlako ez handinahiak ez kementsuak. Baliabidez hornituta pertsegitu behar dira iruzurgileak. Lehendik ere ordaintzen dutenak gehiago zamatzea da errazena, baina kasu honetan errazena ez da bidezkoena.</w:t>
      </w:r>
    </w:p>
    <w:p w:rsidR="00C6145B" w:rsidRDefault="00615116">
      <w:pPr>
        <w:rPr>
          <w:rStyle w:val="Normal1"/>
        </w:rPr>
      </w:pPr>
      <w:r>
        <w:rPr>
          <w:rStyle w:val="Normal1"/>
        </w:rPr>
        <w:t>Zenbait zergaren inguruko gai jakin batzuetan ados egonik ere, tributu-neurri guztiak lege bakarrean izapidetzeak, eta ez banaka, proiektu osoa arbuiatzera garamatza, ez gaudelako ados funtsezko edukiarekin.</w:t>
      </w:r>
    </w:p>
    <w:p w:rsidR="00C6145B" w:rsidRDefault="00615116">
      <w:pPr>
        <w:rPr>
          <w:rStyle w:val="Normal1"/>
        </w:rPr>
      </w:pPr>
      <w:r>
        <w:rPr>
          <w:rStyle w:val="Normal1"/>
        </w:rPr>
        <w:t>Horregatik guztiagatik, Nafarroako Alderdi Sozialista talde parlamentarioak osoko zuzenketa aurkeztu dio Zenbait zerga aldatu eta beste tributu-neurri batzuk hartzeari buruzko Foru Lege proiektuari, eta Gobernuari itzul dakion eskatzen du.</w:t>
      </w:r>
    </w:p>
    <w:p w:rsidR="00C6145B" w:rsidRDefault="00615116">
      <w:pPr>
        <w:pStyle w:val="aemnum"/>
      </w:pPr>
      <w:r>
        <w:t>3. zuzenketa</w:t>
      </w:r>
    </w:p>
    <w:p w:rsidR="00C6145B" w:rsidRDefault="00615116">
      <w:pPr>
        <w:pStyle w:val="aformula"/>
      </w:pPr>
      <w:r>
        <w:t xml:space="preserve">NAFARROAKO ALDERDI POPULARREKO </w:t>
      </w:r>
    </w:p>
    <w:p w:rsidR="00C6145B" w:rsidRDefault="00615116">
      <w:pPr>
        <w:pStyle w:val="agrupo"/>
      </w:pPr>
      <w:r>
        <w:t>FORU PARLAMENTARIEN ELKARTEAK aurkeztua</w:t>
      </w:r>
    </w:p>
    <w:p w:rsidR="00C6145B" w:rsidRDefault="00615116">
      <w:pPr>
        <w:rPr>
          <w:rStyle w:val="Normal1"/>
        </w:rPr>
      </w:pPr>
      <w:r>
        <w:rPr>
          <w:rStyle w:val="Normal1"/>
        </w:rPr>
        <w:t>Osoko zuzenketa, Zenbait zerga aldatu eta beste tributu-neurri batzuk hartzeari buruzko Foru Lege proiektuari aurkeztutakoa.</w:t>
      </w:r>
    </w:p>
    <w:p w:rsidR="00C6145B" w:rsidRDefault="00615116">
      <w:pPr>
        <w:rPr>
          <w:rStyle w:val="Normal1"/>
        </w:rPr>
      </w:pPr>
      <w:r>
        <w:rPr>
          <w:rStyle w:val="Normal1"/>
        </w:rPr>
        <w:t>Zioak: Beste urte batez, Nafarroako Gobernuak aurkeztu duen tributu-aldaketa erabat onartezina da. Zama fiskala hobetu ez ezik, berriro zukutuko dituzte Nafarroako zergadunak, berriro kondenatuko dituzte nafarrak gehiago ordaindu behar izatera trukean egiazko prestazio hoberik jaso gabe, Espainian gehien ordaintzen dutenak izatera.</w:t>
      </w:r>
    </w:p>
    <w:p w:rsidR="00C6145B" w:rsidRDefault="00615116">
      <w:pPr>
        <w:rPr>
          <w:rStyle w:val="Normal1"/>
        </w:rPr>
      </w:pPr>
      <w:r>
        <w:rPr>
          <w:rStyle w:val="Normal1"/>
        </w:rPr>
        <w:t>Gure zerga-autonomia fiskalitate hobea edukitzeko, enpresen lehiakortasuna hobetzeko, inbertsiorako erakargarri izateko edo aurrezpena eta kontsumoa sustatzeko baliatu ez ezik, guztiz kontrakoa egiten dute.</w:t>
      </w:r>
    </w:p>
    <w:p w:rsidR="00C6145B" w:rsidRDefault="00615116">
      <w:pPr>
        <w:rPr>
          <w:rStyle w:val="Normal1"/>
        </w:rPr>
      </w:pPr>
      <w:r>
        <w:rPr>
          <w:rStyle w:val="Normal1"/>
        </w:rPr>
        <w:t>Emaitza kosmetikoa lortu nahi dute, seme-alabengatiko kenkaria 100 euro handituz hiru urtetik beherako seme edo alaba bat duen familia unitate bakoitzeko. Horrek ez du konpentsatzen iaz familientzat egin zen eta oraindik mantentzen den erreforma fiskal kaltegarria.</w:t>
      </w:r>
    </w:p>
    <w:p w:rsidR="00C6145B" w:rsidRDefault="00615116">
      <w:pPr>
        <w:rPr>
          <w:rStyle w:val="Normal1"/>
        </w:rPr>
      </w:pPr>
      <w:r>
        <w:rPr>
          <w:rStyle w:val="Normal1"/>
        </w:rPr>
        <w:t xml:space="preserve">Etxebizitzarengatiko kenkaria kendu diete erosle berriei, nahiz eta jabetu diren jada etxebizitzen jabe direnei ere kentzea burugabekeria litzatekeela; baina aldaketa horrek milaka pertsonari eraginen die, eta gorantz hasia zen eraikuntza sektoreari kalte eginen dio. </w:t>
      </w:r>
    </w:p>
    <w:p w:rsidR="00C6145B" w:rsidRDefault="00615116">
      <w:pPr>
        <w:rPr>
          <w:rStyle w:val="Normal1"/>
        </w:rPr>
      </w:pPr>
      <w:r>
        <w:rPr>
          <w:rStyle w:val="Normal1"/>
        </w:rPr>
        <w:t>Etxebizitza alokatzen dutenentzako % 40ko murriztapena kendu, baina Nasuvinsaren bitartez alokatzen dutenei mantendu egin diete, harrigarria.</w:t>
      </w:r>
    </w:p>
    <w:p w:rsidR="00C6145B" w:rsidRDefault="00615116">
      <w:pPr>
        <w:rPr>
          <w:rStyle w:val="Normal1"/>
        </w:rPr>
      </w:pPr>
      <w:r>
        <w:rPr>
          <w:rStyle w:val="Normal1"/>
        </w:rPr>
        <w:t>Aurrezkia zigortzen dute puntu bat igota, eta pentsio plana dutenek Espainiako beste edozein lurraldetan baino zerga-arintze txikiagoa izanen dute.</w:t>
      </w:r>
    </w:p>
    <w:p w:rsidR="00C6145B" w:rsidRDefault="00615116">
      <w:pPr>
        <w:rPr>
          <w:rStyle w:val="Normal1"/>
        </w:rPr>
      </w:pPr>
      <w:r>
        <w:rPr>
          <w:rStyle w:val="Normal1"/>
        </w:rPr>
        <w:t>Ondarearen gaineko zergari dagokionez, aurreko urteko akatsak zuzendu ordez, larriagotu egin dituzte, ezkutu fiskala % 65etik % 55era murriztuta. Eta ez dute kendu enpresa-ondasunengatik Ondarearen gaineko zerga ordaindu beharra. Gutxitu badute ere, makillaje hutsa izaten segitzen du.</w:t>
      </w:r>
    </w:p>
    <w:p w:rsidR="00C6145B" w:rsidRDefault="00615116">
      <w:pPr>
        <w:rPr>
          <w:rStyle w:val="Normal1"/>
        </w:rPr>
      </w:pPr>
      <w:r>
        <w:rPr>
          <w:rStyle w:val="Normal1"/>
        </w:rPr>
        <w:t>Sozietateen gaineko zerga dela eta, jarraitu dute kenkariak murrizteko neurri gehiago sartzen, eta ETE-ei zein enpresa handiei gutxieneko tributazioa handitu diete.</w:t>
      </w:r>
    </w:p>
    <w:p w:rsidR="00C6145B" w:rsidRDefault="00615116">
      <w:pPr>
        <w:rPr>
          <w:rStyle w:val="Normal1"/>
        </w:rPr>
      </w:pPr>
      <w:r>
        <w:rPr>
          <w:rStyle w:val="Normal1"/>
        </w:rPr>
        <w:t>Oinordetzen eta dohaintzen gaineko zergetan egin den aldaketa kaltegarria ez aipatzearren.</w:t>
      </w:r>
    </w:p>
    <w:p w:rsidR="00C6145B" w:rsidRDefault="00615116">
      <w:pPr>
        <w:rPr>
          <w:rStyle w:val="Normal1"/>
        </w:rPr>
      </w:pPr>
      <w:r>
        <w:rPr>
          <w:rStyle w:val="Normal1"/>
        </w:rPr>
        <w:t>Tributu-neurriei buruzko lege horrek konfiskatzeko asmo hutsa du, ez du aurrezpena saritzen ez kontsumorako pizgarririk ematen, Nafarroari enpresa berriak sortzeko erkidego erakargarria izatea eragozten dio, enpresak kanpora joatea sustatzen du, eta oso kezkagarria den segurtasun juridiko falta eragiten du.</w:t>
      </w:r>
    </w:p>
    <w:p w:rsidR="00C6145B" w:rsidRDefault="00615116">
      <w:pPr>
        <w:rPr>
          <w:rStyle w:val="Normal1"/>
        </w:rPr>
      </w:pPr>
      <w:r>
        <w:rPr>
          <w:rStyle w:val="Normal1"/>
        </w:rPr>
        <w:lastRenderedPageBreak/>
        <w:t>Horregatik guztiagatik, osoko zuzenketa hau aurkeztu zaio Zenbait zerga aldatu eta beste tributu-neurri batzuk hartzeari buruzko Foru Lege proiektuari.</w:t>
      </w:r>
    </w:p>
    <w:sectPr w:rsidR="00C614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4B3"/>
    <w:multiLevelType w:val="hybridMultilevel"/>
    <w:tmpl w:val="DC9E3650"/>
    <w:lvl w:ilvl="0" w:tplc="15362EE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5B"/>
    <w:rsid w:val="00167A42"/>
    <w:rsid w:val="00475462"/>
    <w:rsid w:val="00615116"/>
    <w:rsid w:val="00C6145B"/>
    <w:rsid w:val="00F26926"/>
    <w:rsid w:val="00FE0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u-ES" w:eastAsia="eu-ES" w:bidi="eu-ES"/>
    </w:rPr>
  </w:style>
  <w:style w:type="table" w:customStyle="1" w:styleId="TableNormal">
    <w:name w:val="Table Normal"/>
    <w:uiPriority w:val="2"/>
    <w:semiHidden/>
    <w:unhideWhenUsed/>
    <w:qFormat/>
    <w:rsid w:val="00615116"/>
    <w:pPr>
      <w:widowControl w:val="0"/>
      <w:textAlignment w:val="auto"/>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5116"/>
    <w:pPr>
      <w:keepLines w:val="0"/>
      <w:widowControl w:val="0"/>
      <w:spacing w:after="0" w:line="240" w:lineRule="auto"/>
      <w:ind w:firstLine="0"/>
      <w:jc w:val="left"/>
      <w:textAlignment w:val="auto"/>
    </w:pPr>
    <w:rPr>
      <w:rFonts w:asciiTheme="minorHAnsi" w:eastAsiaTheme="minorHAnsi" w:hAnsiTheme="minorHAnsi" w:cstheme="minorBidi"/>
      <w:sz w:val="22"/>
      <w:szCs w:val="22"/>
    </w:rPr>
  </w:style>
  <w:style w:type="paragraph" w:styleId="Prrafodelista">
    <w:name w:val="List Paragraph"/>
    <w:basedOn w:val="Normal"/>
    <w:uiPriority w:val="34"/>
    <w:qFormat/>
    <w:rsid w:val="00615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u-ES" w:eastAsia="eu-ES" w:bidi="eu-ES"/>
    </w:rPr>
  </w:style>
  <w:style w:type="table" w:customStyle="1" w:styleId="TableNormal">
    <w:name w:val="Table Normal"/>
    <w:uiPriority w:val="2"/>
    <w:semiHidden/>
    <w:unhideWhenUsed/>
    <w:qFormat/>
    <w:rsid w:val="00615116"/>
    <w:pPr>
      <w:widowControl w:val="0"/>
      <w:textAlignment w:val="auto"/>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5116"/>
    <w:pPr>
      <w:keepLines w:val="0"/>
      <w:widowControl w:val="0"/>
      <w:spacing w:after="0" w:line="240" w:lineRule="auto"/>
      <w:ind w:firstLine="0"/>
      <w:jc w:val="left"/>
      <w:textAlignment w:val="auto"/>
    </w:pPr>
    <w:rPr>
      <w:rFonts w:asciiTheme="minorHAnsi" w:eastAsiaTheme="minorHAnsi" w:hAnsiTheme="minorHAnsi" w:cstheme="minorBidi"/>
      <w:sz w:val="22"/>
      <w:szCs w:val="22"/>
    </w:rPr>
  </w:style>
  <w:style w:type="paragraph" w:styleId="Prrafodelista">
    <w:name w:val="List Paragraph"/>
    <w:basedOn w:val="Normal"/>
    <w:uiPriority w:val="34"/>
    <w:qFormat/>
    <w:rsid w:val="0061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8966</Words>
  <Characters>49318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De Santiago, Iñaki</cp:lastModifiedBy>
  <cp:revision>3</cp:revision>
  <dcterms:created xsi:type="dcterms:W3CDTF">2017-12-05T12:35:00Z</dcterms:created>
  <dcterms:modified xsi:type="dcterms:W3CDTF">2017-12-05T12:56:00Z</dcterms:modified>
</cp:coreProperties>
</file>