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F46D" w14:textId="77777777" w:rsidR="001C3A32" w:rsidRPr="00204979" w:rsidRDefault="00FA495F" w:rsidP="00075677">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7A3020B4" wp14:editId="2363922D">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A964B7B" w14:textId="77777777" w:rsidR="001933A8" w:rsidRPr="003A7956" w:rsidRDefault="001933A8" w:rsidP="004C3423">
                            <w:pPr>
                              <w:spacing w:after="0"/>
                              <w:ind w:firstLine="0"/>
                              <w:jc w:val="center"/>
                              <w:rPr>
                                <w:sz w:val="18"/>
                                <w:szCs w:val="18"/>
                                <w:lang w:val="es-ES"/>
                              </w:rPr>
                            </w:pPr>
                            <w:r w:rsidRPr="003A7956">
                              <w:rPr>
                                <w:sz w:val="18"/>
                                <w:szCs w:val="18"/>
                                <w:lang w:val="es-ES"/>
                              </w:rPr>
                              <w:t>CAMARA DE</w:t>
                            </w:r>
                          </w:p>
                          <w:p w14:paraId="22DAA665" w14:textId="77777777" w:rsidR="001933A8" w:rsidRPr="003A7956" w:rsidRDefault="001933A8" w:rsidP="004C3423">
                            <w:pPr>
                              <w:spacing w:after="0"/>
                              <w:ind w:firstLine="0"/>
                              <w:jc w:val="center"/>
                              <w:rPr>
                                <w:sz w:val="18"/>
                                <w:szCs w:val="18"/>
                                <w:lang w:val="es-ES"/>
                              </w:rPr>
                            </w:pPr>
                            <w:r w:rsidRPr="003A7956">
                              <w:rPr>
                                <w:sz w:val="18"/>
                                <w:szCs w:val="18"/>
                                <w:lang w:val="es-ES"/>
                              </w:rPr>
                              <w:t>COMPTOS</w:t>
                            </w:r>
                          </w:p>
                          <w:p w14:paraId="392E3C12" w14:textId="77777777" w:rsidR="001933A8" w:rsidRPr="003A7956" w:rsidRDefault="001933A8" w:rsidP="004C3423">
                            <w:pPr>
                              <w:spacing w:after="0"/>
                              <w:ind w:firstLine="0"/>
                              <w:jc w:val="center"/>
                              <w:rPr>
                                <w:sz w:val="18"/>
                                <w:szCs w:val="18"/>
                                <w:lang w:val="es-ES"/>
                              </w:rPr>
                            </w:pPr>
                            <w:r w:rsidRPr="003A7956">
                              <w:rPr>
                                <w:sz w:val="18"/>
                                <w:szCs w:val="18"/>
                                <w:lang w:val="es-ES"/>
                              </w:rPr>
                              <w:t>DE NAVARRA</w:t>
                            </w:r>
                          </w:p>
                          <w:p w14:paraId="3DC34E0A" w14:textId="77777777" w:rsidR="001933A8" w:rsidRPr="003A7956" w:rsidRDefault="001933A8" w:rsidP="004C3423">
                            <w:pPr>
                              <w:spacing w:after="0"/>
                              <w:ind w:firstLine="0"/>
                              <w:jc w:val="center"/>
                              <w:rPr>
                                <w:color w:val="808080"/>
                                <w:sz w:val="18"/>
                                <w:szCs w:val="18"/>
                                <w:lang w:val="es-ES"/>
                              </w:rPr>
                            </w:pPr>
                            <w:r w:rsidRPr="003A7956">
                              <w:rPr>
                                <w:color w:val="808080"/>
                                <w:sz w:val="18"/>
                                <w:szCs w:val="18"/>
                                <w:lang w:val="es-ES"/>
                              </w:rPr>
                              <w:t>NAFARROAKO</w:t>
                            </w:r>
                          </w:p>
                          <w:p w14:paraId="0895A4C3" w14:textId="77777777" w:rsidR="001933A8" w:rsidRPr="003A7956" w:rsidRDefault="001933A8" w:rsidP="004C3423">
                            <w:pPr>
                              <w:spacing w:after="0"/>
                              <w:ind w:firstLine="0"/>
                              <w:jc w:val="center"/>
                              <w:rPr>
                                <w:color w:val="808080"/>
                                <w:sz w:val="18"/>
                                <w:szCs w:val="18"/>
                                <w:lang w:val="es-ES"/>
                              </w:rPr>
                            </w:pPr>
                            <w:r w:rsidRPr="003A7956">
                              <w:rPr>
                                <w:color w:val="808080"/>
                                <w:sz w:val="18"/>
                                <w:szCs w:val="18"/>
                                <w:lang w:val="es-ES"/>
                              </w:rPr>
                              <w:t>KONTUEN</w:t>
                            </w:r>
                          </w:p>
                          <w:p w14:paraId="6FDE791F" w14:textId="77777777" w:rsidR="001933A8" w:rsidRPr="003A7956" w:rsidRDefault="001933A8" w:rsidP="004C3423">
                            <w:pPr>
                              <w:spacing w:after="0"/>
                              <w:ind w:firstLine="0"/>
                              <w:jc w:val="center"/>
                              <w:rPr>
                                <w:color w:val="808080"/>
                                <w:sz w:val="18"/>
                                <w:szCs w:val="18"/>
                                <w:lang w:val="es-ES"/>
                              </w:rPr>
                            </w:pPr>
                            <w:r w:rsidRPr="003A7956">
                              <w:rPr>
                                <w:color w:val="808080"/>
                                <w:sz w:val="18"/>
                                <w:szCs w:val="18"/>
                                <w:lang w:val="es-ES"/>
                              </w:rPr>
                              <w:t>GANBERA</w:t>
                            </w:r>
                          </w:p>
                          <w:p w14:paraId="44D98183" w14:textId="77777777" w:rsidR="001933A8" w:rsidRPr="002C7026" w:rsidRDefault="001933A8"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020B4"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6A964B7B" w14:textId="77777777" w:rsidR="001933A8" w:rsidRPr="003A7956" w:rsidRDefault="001933A8" w:rsidP="004C3423">
                      <w:pPr>
                        <w:spacing w:after="0"/>
                        <w:ind w:firstLine="0"/>
                        <w:jc w:val="center"/>
                        <w:rPr>
                          <w:sz w:val="18"/>
                          <w:szCs w:val="18"/>
                          <w:lang w:val="es-ES"/>
                        </w:rPr>
                      </w:pPr>
                      <w:r w:rsidRPr="003A7956">
                        <w:rPr>
                          <w:sz w:val="18"/>
                          <w:szCs w:val="18"/>
                          <w:lang w:val="es-ES"/>
                        </w:rPr>
                        <w:t>CAMARA DE</w:t>
                      </w:r>
                    </w:p>
                    <w:p w14:paraId="22DAA665" w14:textId="77777777" w:rsidR="001933A8" w:rsidRPr="003A7956" w:rsidRDefault="001933A8" w:rsidP="004C3423">
                      <w:pPr>
                        <w:spacing w:after="0"/>
                        <w:ind w:firstLine="0"/>
                        <w:jc w:val="center"/>
                        <w:rPr>
                          <w:sz w:val="18"/>
                          <w:szCs w:val="18"/>
                          <w:lang w:val="es-ES"/>
                        </w:rPr>
                      </w:pPr>
                      <w:r w:rsidRPr="003A7956">
                        <w:rPr>
                          <w:sz w:val="18"/>
                          <w:szCs w:val="18"/>
                          <w:lang w:val="es-ES"/>
                        </w:rPr>
                        <w:t>COMPTOS</w:t>
                      </w:r>
                    </w:p>
                    <w:p w14:paraId="392E3C12" w14:textId="77777777" w:rsidR="001933A8" w:rsidRPr="003A7956" w:rsidRDefault="001933A8" w:rsidP="004C3423">
                      <w:pPr>
                        <w:spacing w:after="0"/>
                        <w:ind w:firstLine="0"/>
                        <w:jc w:val="center"/>
                        <w:rPr>
                          <w:sz w:val="18"/>
                          <w:szCs w:val="18"/>
                          <w:lang w:val="es-ES"/>
                        </w:rPr>
                      </w:pPr>
                      <w:r w:rsidRPr="003A7956">
                        <w:rPr>
                          <w:sz w:val="18"/>
                          <w:szCs w:val="18"/>
                          <w:lang w:val="es-ES"/>
                        </w:rPr>
                        <w:t>DE NAVARRA</w:t>
                      </w:r>
                    </w:p>
                    <w:p w14:paraId="3DC34E0A" w14:textId="77777777" w:rsidR="001933A8" w:rsidRPr="003A7956" w:rsidRDefault="001933A8" w:rsidP="004C3423">
                      <w:pPr>
                        <w:spacing w:after="0"/>
                        <w:ind w:firstLine="0"/>
                        <w:jc w:val="center"/>
                        <w:rPr>
                          <w:color w:val="808080"/>
                          <w:sz w:val="18"/>
                          <w:szCs w:val="18"/>
                          <w:lang w:val="es-ES"/>
                        </w:rPr>
                      </w:pPr>
                      <w:r w:rsidRPr="003A7956">
                        <w:rPr>
                          <w:color w:val="808080"/>
                          <w:sz w:val="18"/>
                          <w:szCs w:val="18"/>
                          <w:lang w:val="es-ES"/>
                        </w:rPr>
                        <w:t>NAFARROAKO</w:t>
                      </w:r>
                    </w:p>
                    <w:p w14:paraId="0895A4C3" w14:textId="77777777" w:rsidR="001933A8" w:rsidRPr="003A7956" w:rsidRDefault="001933A8" w:rsidP="004C3423">
                      <w:pPr>
                        <w:spacing w:after="0"/>
                        <w:ind w:firstLine="0"/>
                        <w:jc w:val="center"/>
                        <w:rPr>
                          <w:color w:val="808080"/>
                          <w:sz w:val="18"/>
                          <w:szCs w:val="18"/>
                          <w:lang w:val="es-ES"/>
                        </w:rPr>
                      </w:pPr>
                      <w:r w:rsidRPr="003A7956">
                        <w:rPr>
                          <w:color w:val="808080"/>
                          <w:sz w:val="18"/>
                          <w:szCs w:val="18"/>
                          <w:lang w:val="es-ES"/>
                        </w:rPr>
                        <w:t>KONTUEN</w:t>
                      </w:r>
                    </w:p>
                    <w:p w14:paraId="6FDE791F" w14:textId="77777777" w:rsidR="001933A8" w:rsidRPr="003A7956" w:rsidRDefault="001933A8" w:rsidP="004C3423">
                      <w:pPr>
                        <w:spacing w:after="0"/>
                        <w:ind w:firstLine="0"/>
                        <w:jc w:val="center"/>
                        <w:rPr>
                          <w:color w:val="808080"/>
                          <w:sz w:val="18"/>
                          <w:szCs w:val="18"/>
                          <w:lang w:val="es-ES"/>
                        </w:rPr>
                      </w:pPr>
                      <w:r w:rsidRPr="003A7956">
                        <w:rPr>
                          <w:color w:val="808080"/>
                          <w:sz w:val="18"/>
                          <w:szCs w:val="18"/>
                          <w:lang w:val="es-ES"/>
                        </w:rPr>
                        <w:t>GANBERA</w:t>
                      </w:r>
                    </w:p>
                    <w:p w14:paraId="44D98183" w14:textId="77777777" w:rsidR="001933A8" w:rsidRPr="002C7026" w:rsidRDefault="001933A8"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14:paraId="4C8BE45F" w14:textId="77777777" w:rsidR="00807992" w:rsidRPr="001D4F09" w:rsidRDefault="004750BD" w:rsidP="00616701">
      <w:pPr>
        <w:pStyle w:val="EstiloPortada"/>
      </w:pPr>
      <w:r>
        <w:t xml:space="preserve">Cuenta General del </w:t>
      </w:r>
      <w:r w:rsidR="00807992">
        <w:t>Ayuntamiento de Pamplona, 2021</w:t>
      </w:r>
    </w:p>
    <w:p w14:paraId="2DC4E435" w14:textId="77777777" w:rsidR="001C3A32" w:rsidRPr="001D4F09" w:rsidRDefault="001C3A32" w:rsidP="001D4F09">
      <w:pPr>
        <w:pStyle w:val="EstiloPortada"/>
      </w:pPr>
    </w:p>
    <w:p w14:paraId="75739AF8" w14:textId="77777777" w:rsidR="001C3A32" w:rsidRPr="00204979" w:rsidRDefault="001C3A32" w:rsidP="00891D73">
      <w:pPr>
        <w:pStyle w:val="texto"/>
      </w:pPr>
    </w:p>
    <w:p w14:paraId="6F0D1480" w14:textId="77777777" w:rsidR="001C3A32" w:rsidRPr="00204979" w:rsidRDefault="001C3A32" w:rsidP="00891D73">
      <w:pPr>
        <w:pStyle w:val="texto"/>
      </w:pPr>
    </w:p>
    <w:p w14:paraId="63D86ECE" w14:textId="77777777" w:rsidR="002F2530" w:rsidRPr="00204979" w:rsidRDefault="002F2530" w:rsidP="00891D73">
      <w:pPr>
        <w:pStyle w:val="texto"/>
      </w:pPr>
    </w:p>
    <w:p w14:paraId="011FBBDE" w14:textId="77777777" w:rsidR="002F2530" w:rsidRPr="00204979" w:rsidRDefault="002F2530" w:rsidP="00891D73">
      <w:pPr>
        <w:pStyle w:val="texto"/>
      </w:pPr>
    </w:p>
    <w:p w14:paraId="3976DDC2" w14:textId="77777777" w:rsidR="001C3A32" w:rsidRPr="00204979" w:rsidRDefault="001C3A32" w:rsidP="00891D73">
      <w:pPr>
        <w:pStyle w:val="texto"/>
      </w:pPr>
    </w:p>
    <w:p w14:paraId="20263877" w14:textId="77777777" w:rsidR="001C3A32" w:rsidRPr="00204979" w:rsidRDefault="001C3A32" w:rsidP="00891D73">
      <w:pPr>
        <w:pStyle w:val="texto"/>
      </w:pPr>
    </w:p>
    <w:p w14:paraId="7550FC21" w14:textId="77777777" w:rsidR="001C3A32" w:rsidRPr="00204979" w:rsidRDefault="001C3A32" w:rsidP="00891D73">
      <w:pPr>
        <w:pStyle w:val="texto"/>
      </w:pPr>
    </w:p>
    <w:p w14:paraId="3EE56218" w14:textId="77777777" w:rsidR="001C3A32" w:rsidRPr="00204979" w:rsidRDefault="001C3A32" w:rsidP="00891D73">
      <w:pPr>
        <w:pStyle w:val="texto"/>
      </w:pPr>
    </w:p>
    <w:p w14:paraId="00F0FFF9" w14:textId="77777777" w:rsidR="001C3A32" w:rsidRPr="00204979" w:rsidRDefault="001C3A32" w:rsidP="00891D73">
      <w:pPr>
        <w:pStyle w:val="texto"/>
      </w:pPr>
    </w:p>
    <w:p w14:paraId="3898B159" w14:textId="77777777" w:rsidR="001C3A32" w:rsidRPr="00204979" w:rsidRDefault="001C3A32" w:rsidP="00891D73">
      <w:pPr>
        <w:pStyle w:val="texto"/>
      </w:pPr>
    </w:p>
    <w:p w14:paraId="54D87E85" w14:textId="77777777" w:rsidR="001C3A32" w:rsidRPr="00204979" w:rsidRDefault="001C3A32" w:rsidP="00891D73">
      <w:pPr>
        <w:pStyle w:val="texto"/>
      </w:pPr>
    </w:p>
    <w:p w14:paraId="107A9BCC" w14:textId="77777777" w:rsidR="001C3A32" w:rsidRPr="00204979" w:rsidRDefault="001C3A32" w:rsidP="00891D73">
      <w:pPr>
        <w:pStyle w:val="texto"/>
      </w:pPr>
    </w:p>
    <w:p w14:paraId="4AB78EAA" w14:textId="77777777" w:rsidR="001C3A32" w:rsidRPr="00204979" w:rsidRDefault="001C3A32" w:rsidP="00891D73">
      <w:pPr>
        <w:pStyle w:val="texto"/>
      </w:pPr>
    </w:p>
    <w:p w14:paraId="7EE8FA61" w14:textId="77777777" w:rsidR="001C3A32" w:rsidRPr="00204979" w:rsidRDefault="001C3A32" w:rsidP="00891D73">
      <w:pPr>
        <w:pStyle w:val="texto"/>
      </w:pPr>
    </w:p>
    <w:p w14:paraId="4ADA4749" w14:textId="77777777" w:rsidR="001C3A32" w:rsidRPr="00204979" w:rsidRDefault="001C3A32" w:rsidP="00891D73">
      <w:pPr>
        <w:pStyle w:val="texto"/>
      </w:pPr>
    </w:p>
    <w:p w14:paraId="32ED92AA" w14:textId="77777777" w:rsidR="001C3A32" w:rsidRPr="00204979" w:rsidRDefault="001C3A32" w:rsidP="00891D73">
      <w:pPr>
        <w:pStyle w:val="texto"/>
      </w:pPr>
    </w:p>
    <w:p w14:paraId="5F2040BF" w14:textId="77777777" w:rsidR="001C3A32" w:rsidRPr="00204979" w:rsidRDefault="001C3A32" w:rsidP="00891D73">
      <w:pPr>
        <w:pStyle w:val="texto"/>
      </w:pPr>
    </w:p>
    <w:p w14:paraId="7360DA0B" w14:textId="77777777" w:rsidR="001C3A32" w:rsidRPr="00204979" w:rsidRDefault="001C3A32" w:rsidP="00891D73">
      <w:pPr>
        <w:pStyle w:val="texto"/>
      </w:pPr>
    </w:p>
    <w:p w14:paraId="6599BF18" w14:textId="77777777" w:rsidR="001C3A32" w:rsidRPr="00204979" w:rsidRDefault="001C3A32" w:rsidP="00891D73">
      <w:pPr>
        <w:pStyle w:val="texto"/>
      </w:pPr>
    </w:p>
    <w:p w14:paraId="5644F986" w14:textId="77777777" w:rsidR="00716463" w:rsidRPr="001D4F09" w:rsidRDefault="006E0D60" w:rsidP="009936FC">
      <w:pPr>
        <w:pStyle w:val="Fechaportada"/>
      </w:pPr>
      <w:r>
        <w:t>Enero</w:t>
      </w:r>
      <w:r w:rsidR="00253E78" w:rsidRPr="001D4F09">
        <w:t xml:space="preserve"> de 20</w:t>
      </w:r>
      <w:r w:rsidR="00807992">
        <w:t>2</w:t>
      </w:r>
      <w:r>
        <w:t>3</w:t>
      </w:r>
    </w:p>
    <w:p w14:paraId="2F25628C" w14:textId="77777777"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pgSz w:w="11907" w:h="16840" w:code="9"/>
          <w:pgMar w:top="2835" w:right="1559" w:bottom="1644" w:left="1559" w:header="369" w:footer="136" w:gutter="0"/>
          <w:pgNumType w:start="1"/>
          <w:cols w:space="720"/>
          <w:titlePg/>
          <w:docGrid w:linePitch="360"/>
        </w:sectPr>
      </w:pPr>
    </w:p>
    <w:p w14:paraId="484258AB" w14:textId="77777777" w:rsidR="00F001AB" w:rsidRDefault="00891D73" w:rsidP="00891D73">
      <w:pPr>
        <w:pStyle w:val="ndice"/>
      </w:pPr>
      <w:r w:rsidRPr="00891D73">
        <w:lastRenderedPageBreak/>
        <w:t>Índice</w:t>
      </w:r>
    </w:p>
    <w:p w14:paraId="1C70D42B" w14:textId="2EF09E50" w:rsidR="00946026"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29243469" w:history="1">
        <w:r w:rsidR="00946026" w:rsidRPr="00313DE7">
          <w:rPr>
            <w:rStyle w:val="Hipervnculo"/>
            <w:noProof/>
          </w:rPr>
          <w:t>Resumen ejecutivo</w:t>
        </w:r>
        <w:r w:rsidR="00946026">
          <w:rPr>
            <w:noProof/>
            <w:webHidden/>
          </w:rPr>
          <w:tab/>
        </w:r>
        <w:r w:rsidR="00946026">
          <w:rPr>
            <w:noProof/>
            <w:webHidden/>
          </w:rPr>
          <w:fldChar w:fldCharType="begin"/>
        </w:r>
        <w:r w:rsidR="00946026">
          <w:rPr>
            <w:noProof/>
            <w:webHidden/>
          </w:rPr>
          <w:instrText xml:space="preserve"> PAGEREF _Toc129243469 \h </w:instrText>
        </w:r>
        <w:r w:rsidR="00946026">
          <w:rPr>
            <w:noProof/>
            <w:webHidden/>
          </w:rPr>
        </w:r>
        <w:r w:rsidR="00946026">
          <w:rPr>
            <w:noProof/>
            <w:webHidden/>
          </w:rPr>
          <w:fldChar w:fldCharType="separate"/>
        </w:r>
        <w:r w:rsidR="00946026">
          <w:rPr>
            <w:noProof/>
            <w:webHidden/>
          </w:rPr>
          <w:t>4</w:t>
        </w:r>
        <w:r w:rsidR="00946026">
          <w:rPr>
            <w:noProof/>
            <w:webHidden/>
          </w:rPr>
          <w:fldChar w:fldCharType="end"/>
        </w:r>
      </w:hyperlink>
    </w:p>
    <w:p w14:paraId="2F88395C" w14:textId="5CE57169" w:rsidR="00946026" w:rsidRDefault="00946026">
      <w:pPr>
        <w:pStyle w:val="TDC1"/>
        <w:rPr>
          <w:rFonts w:asciiTheme="minorHAnsi" w:eastAsiaTheme="minorEastAsia" w:hAnsiTheme="minorHAnsi" w:cstheme="minorBidi"/>
          <w:smallCaps w:val="0"/>
          <w:noProof/>
          <w:szCs w:val="22"/>
          <w:lang w:val="es-ES" w:eastAsia="es-ES"/>
        </w:rPr>
      </w:pPr>
      <w:hyperlink w:anchor="_Toc129243470" w:history="1">
        <w:r w:rsidRPr="00313DE7">
          <w:rPr>
            <w:rStyle w:val="Hipervnculo"/>
            <w:noProof/>
          </w:rPr>
          <w:t>I. Introducción</w:t>
        </w:r>
        <w:r>
          <w:rPr>
            <w:noProof/>
            <w:webHidden/>
          </w:rPr>
          <w:tab/>
        </w:r>
        <w:r>
          <w:rPr>
            <w:noProof/>
            <w:webHidden/>
          </w:rPr>
          <w:fldChar w:fldCharType="begin"/>
        </w:r>
        <w:r>
          <w:rPr>
            <w:noProof/>
            <w:webHidden/>
          </w:rPr>
          <w:instrText xml:space="preserve"> PAGEREF _Toc129243470 \h </w:instrText>
        </w:r>
        <w:r>
          <w:rPr>
            <w:noProof/>
            <w:webHidden/>
          </w:rPr>
        </w:r>
        <w:r>
          <w:rPr>
            <w:noProof/>
            <w:webHidden/>
          </w:rPr>
          <w:fldChar w:fldCharType="separate"/>
        </w:r>
        <w:r>
          <w:rPr>
            <w:noProof/>
            <w:webHidden/>
          </w:rPr>
          <w:t>5</w:t>
        </w:r>
        <w:r>
          <w:rPr>
            <w:noProof/>
            <w:webHidden/>
          </w:rPr>
          <w:fldChar w:fldCharType="end"/>
        </w:r>
      </w:hyperlink>
    </w:p>
    <w:p w14:paraId="180D39B1" w14:textId="47E7AC90" w:rsidR="00946026" w:rsidRDefault="00946026">
      <w:pPr>
        <w:pStyle w:val="TDC1"/>
        <w:rPr>
          <w:rFonts w:asciiTheme="minorHAnsi" w:eastAsiaTheme="minorEastAsia" w:hAnsiTheme="minorHAnsi" w:cstheme="minorBidi"/>
          <w:smallCaps w:val="0"/>
          <w:noProof/>
          <w:szCs w:val="22"/>
          <w:lang w:val="es-ES" w:eastAsia="es-ES"/>
        </w:rPr>
      </w:pPr>
      <w:hyperlink w:anchor="_Toc129243471" w:history="1">
        <w:r w:rsidRPr="00313DE7">
          <w:rPr>
            <w:rStyle w:val="Hipervnculo"/>
            <w:noProof/>
          </w:rPr>
          <w:t>II. Objetivos, alcance y limitaciones</w:t>
        </w:r>
        <w:r>
          <w:rPr>
            <w:noProof/>
            <w:webHidden/>
          </w:rPr>
          <w:tab/>
        </w:r>
        <w:r>
          <w:rPr>
            <w:noProof/>
            <w:webHidden/>
          </w:rPr>
          <w:fldChar w:fldCharType="begin"/>
        </w:r>
        <w:r>
          <w:rPr>
            <w:noProof/>
            <w:webHidden/>
          </w:rPr>
          <w:instrText xml:space="preserve"> PAGEREF _Toc129243471 \h </w:instrText>
        </w:r>
        <w:r>
          <w:rPr>
            <w:noProof/>
            <w:webHidden/>
          </w:rPr>
        </w:r>
        <w:r>
          <w:rPr>
            <w:noProof/>
            <w:webHidden/>
          </w:rPr>
          <w:fldChar w:fldCharType="separate"/>
        </w:r>
        <w:r>
          <w:rPr>
            <w:noProof/>
            <w:webHidden/>
          </w:rPr>
          <w:t>6</w:t>
        </w:r>
        <w:r>
          <w:rPr>
            <w:noProof/>
            <w:webHidden/>
          </w:rPr>
          <w:fldChar w:fldCharType="end"/>
        </w:r>
      </w:hyperlink>
    </w:p>
    <w:p w14:paraId="4E6B08C7" w14:textId="56D97E81" w:rsidR="00946026" w:rsidRDefault="00946026">
      <w:pPr>
        <w:pStyle w:val="TDC1"/>
        <w:rPr>
          <w:rFonts w:asciiTheme="minorHAnsi" w:eastAsiaTheme="minorEastAsia" w:hAnsiTheme="minorHAnsi" w:cstheme="minorBidi"/>
          <w:smallCaps w:val="0"/>
          <w:noProof/>
          <w:szCs w:val="22"/>
          <w:lang w:val="es-ES" w:eastAsia="es-ES"/>
        </w:rPr>
      </w:pPr>
      <w:hyperlink w:anchor="_Toc129243472" w:history="1">
        <w:r w:rsidRPr="00313DE7">
          <w:rPr>
            <w:rStyle w:val="Hipervnculo"/>
            <w:noProof/>
          </w:rPr>
          <w:t>III. Opinión</w:t>
        </w:r>
        <w:r>
          <w:rPr>
            <w:noProof/>
            <w:webHidden/>
          </w:rPr>
          <w:tab/>
        </w:r>
        <w:r>
          <w:rPr>
            <w:noProof/>
            <w:webHidden/>
          </w:rPr>
          <w:fldChar w:fldCharType="begin"/>
        </w:r>
        <w:r>
          <w:rPr>
            <w:noProof/>
            <w:webHidden/>
          </w:rPr>
          <w:instrText xml:space="preserve"> PAGEREF _Toc129243472 \h </w:instrText>
        </w:r>
        <w:r>
          <w:rPr>
            <w:noProof/>
            <w:webHidden/>
          </w:rPr>
        </w:r>
        <w:r>
          <w:rPr>
            <w:noProof/>
            <w:webHidden/>
          </w:rPr>
          <w:fldChar w:fldCharType="separate"/>
        </w:r>
        <w:r>
          <w:rPr>
            <w:noProof/>
            <w:webHidden/>
          </w:rPr>
          <w:t>8</w:t>
        </w:r>
        <w:r>
          <w:rPr>
            <w:noProof/>
            <w:webHidden/>
          </w:rPr>
          <w:fldChar w:fldCharType="end"/>
        </w:r>
      </w:hyperlink>
    </w:p>
    <w:p w14:paraId="7B3C8D16" w14:textId="66E88B3B" w:rsidR="00946026" w:rsidRDefault="00946026">
      <w:pPr>
        <w:pStyle w:val="TDC2"/>
        <w:rPr>
          <w:rFonts w:asciiTheme="minorHAnsi" w:eastAsiaTheme="minorEastAsia" w:hAnsiTheme="minorHAnsi" w:cstheme="minorBidi"/>
          <w:noProof/>
          <w:szCs w:val="22"/>
          <w:lang w:val="es-ES" w:eastAsia="es-ES"/>
        </w:rPr>
      </w:pPr>
      <w:hyperlink w:anchor="_Toc129243473" w:history="1">
        <w:r w:rsidRPr="00313DE7">
          <w:rPr>
            <w:rStyle w:val="Hipervnculo"/>
            <w:noProof/>
          </w:rPr>
          <w:t>III.1. Opinión de auditoría financiera sobre la Cuenta General de 2021</w:t>
        </w:r>
        <w:r>
          <w:rPr>
            <w:noProof/>
            <w:webHidden/>
          </w:rPr>
          <w:tab/>
        </w:r>
        <w:r>
          <w:rPr>
            <w:noProof/>
            <w:webHidden/>
          </w:rPr>
          <w:fldChar w:fldCharType="begin"/>
        </w:r>
        <w:r>
          <w:rPr>
            <w:noProof/>
            <w:webHidden/>
          </w:rPr>
          <w:instrText xml:space="preserve"> PAGEREF _Toc129243473 \h </w:instrText>
        </w:r>
        <w:r>
          <w:rPr>
            <w:noProof/>
            <w:webHidden/>
          </w:rPr>
        </w:r>
        <w:r>
          <w:rPr>
            <w:noProof/>
            <w:webHidden/>
          </w:rPr>
          <w:fldChar w:fldCharType="separate"/>
        </w:r>
        <w:r>
          <w:rPr>
            <w:noProof/>
            <w:webHidden/>
          </w:rPr>
          <w:t>8</w:t>
        </w:r>
        <w:r>
          <w:rPr>
            <w:noProof/>
            <w:webHidden/>
          </w:rPr>
          <w:fldChar w:fldCharType="end"/>
        </w:r>
      </w:hyperlink>
    </w:p>
    <w:p w14:paraId="5CFD7A2E" w14:textId="35C0762A" w:rsidR="00946026" w:rsidRDefault="00946026">
      <w:pPr>
        <w:pStyle w:val="TDC2"/>
        <w:rPr>
          <w:rFonts w:asciiTheme="minorHAnsi" w:eastAsiaTheme="minorEastAsia" w:hAnsiTheme="minorHAnsi" w:cstheme="minorBidi"/>
          <w:noProof/>
          <w:szCs w:val="22"/>
          <w:lang w:val="es-ES" w:eastAsia="es-ES"/>
        </w:rPr>
      </w:pPr>
      <w:hyperlink w:anchor="_Toc129243474" w:history="1">
        <w:r w:rsidRPr="00313DE7">
          <w:rPr>
            <w:rStyle w:val="Hipervnculo"/>
            <w:noProof/>
          </w:rPr>
          <w:t>III.2. Opinión de fiscalización de cumplimiento de la legalidad</w:t>
        </w:r>
        <w:r>
          <w:rPr>
            <w:noProof/>
            <w:webHidden/>
          </w:rPr>
          <w:tab/>
        </w:r>
        <w:r>
          <w:rPr>
            <w:noProof/>
            <w:webHidden/>
          </w:rPr>
          <w:fldChar w:fldCharType="begin"/>
        </w:r>
        <w:r>
          <w:rPr>
            <w:noProof/>
            <w:webHidden/>
          </w:rPr>
          <w:instrText xml:space="preserve"> PAGEREF _Toc129243474 \h </w:instrText>
        </w:r>
        <w:r>
          <w:rPr>
            <w:noProof/>
            <w:webHidden/>
          </w:rPr>
        </w:r>
        <w:r>
          <w:rPr>
            <w:noProof/>
            <w:webHidden/>
          </w:rPr>
          <w:fldChar w:fldCharType="separate"/>
        </w:r>
        <w:r>
          <w:rPr>
            <w:noProof/>
            <w:webHidden/>
          </w:rPr>
          <w:t>8</w:t>
        </w:r>
        <w:r>
          <w:rPr>
            <w:noProof/>
            <w:webHidden/>
          </w:rPr>
          <w:fldChar w:fldCharType="end"/>
        </w:r>
      </w:hyperlink>
    </w:p>
    <w:p w14:paraId="034513DA" w14:textId="7626F2D0" w:rsidR="00946026" w:rsidRDefault="00946026">
      <w:pPr>
        <w:pStyle w:val="TDC1"/>
        <w:rPr>
          <w:rFonts w:asciiTheme="minorHAnsi" w:eastAsiaTheme="minorEastAsia" w:hAnsiTheme="minorHAnsi" w:cstheme="minorBidi"/>
          <w:smallCaps w:val="0"/>
          <w:noProof/>
          <w:szCs w:val="22"/>
          <w:lang w:val="es-ES" w:eastAsia="es-ES"/>
        </w:rPr>
      </w:pPr>
      <w:hyperlink w:anchor="_Toc129243475" w:history="1">
        <w:r w:rsidRPr="00313DE7">
          <w:rPr>
            <w:rStyle w:val="Hipervnculo"/>
            <w:noProof/>
          </w:rPr>
          <w:t>IV. Fundamento de la opinión</w:t>
        </w:r>
        <w:r>
          <w:rPr>
            <w:noProof/>
            <w:webHidden/>
          </w:rPr>
          <w:tab/>
        </w:r>
        <w:r>
          <w:rPr>
            <w:noProof/>
            <w:webHidden/>
          </w:rPr>
          <w:fldChar w:fldCharType="begin"/>
        </w:r>
        <w:r>
          <w:rPr>
            <w:noProof/>
            <w:webHidden/>
          </w:rPr>
          <w:instrText xml:space="preserve"> PAGEREF _Toc129243475 \h </w:instrText>
        </w:r>
        <w:r>
          <w:rPr>
            <w:noProof/>
            <w:webHidden/>
          </w:rPr>
        </w:r>
        <w:r>
          <w:rPr>
            <w:noProof/>
            <w:webHidden/>
          </w:rPr>
          <w:fldChar w:fldCharType="separate"/>
        </w:r>
        <w:r>
          <w:rPr>
            <w:noProof/>
            <w:webHidden/>
          </w:rPr>
          <w:t>9</w:t>
        </w:r>
        <w:r>
          <w:rPr>
            <w:noProof/>
            <w:webHidden/>
          </w:rPr>
          <w:fldChar w:fldCharType="end"/>
        </w:r>
      </w:hyperlink>
    </w:p>
    <w:p w14:paraId="0C173D35" w14:textId="2FC2C649" w:rsidR="00946026" w:rsidRDefault="00946026">
      <w:pPr>
        <w:pStyle w:val="TDC2"/>
        <w:rPr>
          <w:rFonts w:asciiTheme="minorHAnsi" w:eastAsiaTheme="minorEastAsia" w:hAnsiTheme="minorHAnsi" w:cstheme="minorBidi"/>
          <w:noProof/>
          <w:szCs w:val="22"/>
          <w:lang w:val="es-ES" w:eastAsia="es-ES"/>
        </w:rPr>
      </w:pPr>
      <w:hyperlink w:anchor="_Toc129243476" w:history="1">
        <w:r w:rsidRPr="00313DE7">
          <w:rPr>
            <w:rStyle w:val="Hipervnculo"/>
            <w:noProof/>
          </w:rPr>
          <w:t>IV.1. Fundamento de la opinión de legalidad con salvedades</w:t>
        </w:r>
        <w:r>
          <w:rPr>
            <w:noProof/>
            <w:webHidden/>
          </w:rPr>
          <w:tab/>
        </w:r>
        <w:r>
          <w:rPr>
            <w:noProof/>
            <w:webHidden/>
          </w:rPr>
          <w:fldChar w:fldCharType="begin"/>
        </w:r>
        <w:r>
          <w:rPr>
            <w:noProof/>
            <w:webHidden/>
          </w:rPr>
          <w:instrText xml:space="preserve"> PAGEREF _Toc129243476 \h </w:instrText>
        </w:r>
        <w:r>
          <w:rPr>
            <w:noProof/>
            <w:webHidden/>
          </w:rPr>
        </w:r>
        <w:r>
          <w:rPr>
            <w:noProof/>
            <w:webHidden/>
          </w:rPr>
          <w:fldChar w:fldCharType="separate"/>
        </w:r>
        <w:r>
          <w:rPr>
            <w:noProof/>
            <w:webHidden/>
          </w:rPr>
          <w:t>9</w:t>
        </w:r>
        <w:r>
          <w:rPr>
            <w:noProof/>
            <w:webHidden/>
          </w:rPr>
          <w:fldChar w:fldCharType="end"/>
        </w:r>
      </w:hyperlink>
    </w:p>
    <w:p w14:paraId="7293D7C5" w14:textId="12FB7CA3" w:rsidR="00946026" w:rsidRDefault="00946026">
      <w:pPr>
        <w:pStyle w:val="TDC1"/>
        <w:rPr>
          <w:rFonts w:asciiTheme="minorHAnsi" w:eastAsiaTheme="minorEastAsia" w:hAnsiTheme="minorHAnsi" w:cstheme="minorBidi"/>
          <w:smallCaps w:val="0"/>
          <w:noProof/>
          <w:szCs w:val="22"/>
          <w:lang w:val="es-ES" w:eastAsia="es-ES"/>
        </w:rPr>
      </w:pPr>
      <w:hyperlink w:anchor="_Toc129243477" w:history="1">
        <w:r w:rsidRPr="00313DE7">
          <w:rPr>
            <w:rStyle w:val="Hipervnculo"/>
            <w:noProof/>
          </w:rPr>
          <w:t>V. Cuestiones claves de auditoria</w:t>
        </w:r>
        <w:r>
          <w:rPr>
            <w:noProof/>
            <w:webHidden/>
          </w:rPr>
          <w:tab/>
        </w:r>
        <w:r>
          <w:rPr>
            <w:noProof/>
            <w:webHidden/>
          </w:rPr>
          <w:fldChar w:fldCharType="begin"/>
        </w:r>
        <w:r>
          <w:rPr>
            <w:noProof/>
            <w:webHidden/>
          </w:rPr>
          <w:instrText xml:space="preserve"> PAGEREF _Toc129243477 \h </w:instrText>
        </w:r>
        <w:r>
          <w:rPr>
            <w:noProof/>
            <w:webHidden/>
          </w:rPr>
        </w:r>
        <w:r>
          <w:rPr>
            <w:noProof/>
            <w:webHidden/>
          </w:rPr>
          <w:fldChar w:fldCharType="separate"/>
        </w:r>
        <w:r>
          <w:rPr>
            <w:noProof/>
            <w:webHidden/>
          </w:rPr>
          <w:t>10</w:t>
        </w:r>
        <w:r>
          <w:rPr>
            <w:noProof/>
            <w:webHidden/>
          </w:rPr>
          <w:fldChar w:fldCharType="end"/>
        </w:r>
      </w:hyperlink>
    </w:p>
    <w:p w14:paraId="2CC99645" w14:textId="5FF87F5A" w:rsidR="00946026" w:rsidRDefault="00946026">
      <w:pPr>
        <w:pStyle w:val="TDC1"/>
        <w:rPr>
          <w:rFonts w:asciiTheme="minorHAnsi" w:eastAsiaTheme="minorEastAsia" w:hAnsiTheme="minorHAnsi" w:cstheme="minorBidi"/>
          <w:smallCaps w:val="0"/>
          <w:noProof/>
          <w:szCs w:val="22"/>
          <w:lang w:val="es-ES" w:eastAsia="es-ES"/>
        </w:rPr>
      </w:pPr>
      <w:hyperlink w:anchor="_Toc129243478" w:history="1">
        <w:r w:rsidRPr="00313DE7">
          <w:rPr>
            <w:rStyle w:val="Hipervnculo"/>
            <w:noProof/>
          </w:rPr>
          <w:t>VI. Párrafo de énfasis</w:t>
        </w:r>
        <w:r>
          <w:rPr>
            <w:noProof/>
            <w:webHidden/>
          </w:rPr>
          <w:tab/>
        </w:r>
        <w:r>
          <w:rPr>
            <w:noProof/>
            <w:webHidden/>
          </w:rPr>
          <w:fldChar w:fldCharType="begin"/>
        </w:r>
        <w:r>
          <w:rPr>
            <w:noProof/>
            <w:webHidden/>
          </w:rPr>
          <w:instrText xml:space="preserve"> PAGEREF _Toc129243478 \h </w:instrText>
        </w:r>
        <w:r>
          <w:rPr>
            <w:noProof/>
            <w:webHidden/>
          </w:rPr>
        </w:r>
        <w:r>
          <w:rPr>
            <w:noProof/>
            <w:webHidden/>
          </w:rPr>
          <w:fldChar w:fldCharType="separate"/>
        </w:r>
        <w:r>
          <w:rPr>
            <w:noProof/>
            <w:webHidden/>
          </w:rPr>
          <w:t>11</w:t>
        </w:r>
        <w:r>
          <w:rPr>
            <w:noProof/>
            <w:webHidden/>
          </w:rPr>
          <w:fldChar w:fldCharType="end"/>
        </w:r>
      </w:hyperlink>
    </w:p>
    <w:p w14:paraId="4C96AD68" w14:textId="474421E6" w:rsidR="00946026" w:rsidRDefault="00946026">
      <w:pPr>
        <w:pStyle w:val="TDC1"/>
        <w:rPr>
          <w:rFonts w:asciiTheme="minorHAnsi" w:eastAsiaTheme="minorEastAsia" w:hAnsiTheme="minorHAnsi" w:cstheme="minorBidi"/>
          <w:smallCaps w:val="0"/>
          <w:noProof/>
          <w:szCs w:val="22"/>
          <w:lang w:val="es-ES" w:eastAsia="es-ES"/>
        </w:rPr>
      </w:pPr>
      <w:hyperlink w:anchor="_Toc129243479" w:history="1">
        <w:r w:rsidRPr="00313DE7">
          <w:rPr>
            <w:rStyle w:val="Hipervnculo"/>
            <w:noProof/>
          </w:rPr>
          <w:t>VII. Responsabilidad del Ayuntamiento de Pamplona</w:t>
        </w:r>
        <w:r>
          <w:rPr>
            <w:noProof/>
            <w:webHidden/>
          </w:rPr>
          <w:tab/>
        </w:r>
        <w:r>
          <w:rPr>
            <w:noProof/>
            <w:webHidden/>
          </w:rPr>
          <w:fldChar w:fldCharType="begin"/>
        </w:r>
        <w:r>
          <w:rPr>
            <w:noProof/>
            <w:webHidden/>
          </w:rPr>
          <w:instrText xml:space="preserve"> PAGEREF _Toc129243479 \h </w:instrText>
        </w:r>
        <w:r>
          <w:rPr>
            <w:noProof/>
            <w:webHidden/>
          </w:rPr>
        </w:r>
        <w:r>
          <w:rPr>
            <w:noProof/>
            <w:webHidden/>
          </w:rPr>
          <w:fldChar w:fldCharType="separate"/>
        </w:r>
        <w:r>
          <w:rPr>
            <w:noProof/>
            <w:webHidden/>
          </w:rPr>
          <w:t>12</w:t>
        </w:r>
        <w:r>
          <w:rPr>
            <w:noProof/>
            <w:webHidden/>
          </w:rPr>
          <w:fldChar w:fldCharType="end"/>
        </w:r>
      </w:hyperlink>
    </w:p>
    <w:p w14:paraId="4B874E8A" w14:textId="218AAB2D" w:rsidR="00946026" w:rsidRDefault="00946026">
      <w:pPr>
        <w:pStyle w:val="TDC1"/>
        <w:rPr>
          <w:rFonts w:asciiTheme="minorHAnsi" w:eastAsiaTheme="minorEastAsia" w:hAnsiTheme="minorHAnsi" w:cstheme="minorBidi"/>
          <w:smallCaps w:val="0"/>
          <w:noProof/>
          <w:szCs w:val="22"/>
          <w:lang w:val="es-ES" w:eastAsia="es-ES"/>
        </w:rPr>
      </w:pPr>
      <w:hyperlink w:anchor="_Toc129243480" w:history="1">
        <w:r w:rsidRPr="00313DE7">
          <w:rPr>
            <w:rStyle w:val="Hipervnculo"/>
            <w:noProof/>
          </w:rPr>
          <w:t>VIII. Responsabilidad de la Cámara de Comptos de Navarra</w:t>
        </w:r>
        <w:r>
          <w:rPr>
            <w:noProof/>
            <w:webHidden/>
          </w:rPr>
          <w:tab/>
        </w:r>
        <w:r>
          <w:rPr>
            <w:noProof/>
            <w:webHidden/>
          </w:rPr>
          <w:fldChar w:fldCharType="begin"/>
        </w:r>
        <w:r>
          <w:rPr>
            <w:noProof/>
            <w:webHidden/>
          </w:rPr>
          <w:instrText xml:space="preserve"> PAGEREF _Toc129243480 \h </w:instrText>
        </w:r>
        <w:r>
          <w:rPr>
            <w:noProof/>
            <w:webHidden/>
          </w:rPr>
        </w:r>
        <w:r>
          <w:rPr>
            <w:noProof/>
            <w:webHidden/>
          </w:rPr>
          <w:fldChar w:fldCharType="separate"/>
        </w:r>
        <w:r>
          <w:rPr>
            <w:noProof/>
            <w:webHidden/>
          </w:rPr>
          <w:t>13</w:t>
        </w:r>
        <w:r>
          <w:rPr>
            <w:noProof/>
            <w:webHidden/>
          </w:rPr>
          <w:fldChar w:fldCharType="end"/>
        </w:r>
      </w:hyperlink>
    </w:p>
    <w:p w14:paraId="20DCE338" w14:textId="350DB482" w:rsidR="00946026" w:rsidRDefault="00946026">
      <w:pPr>
        <w:pStyle w:val="TDC1"/>
        <w:rPr>
          <w:rFonts w:asciiTheme="minorHAnsi" w:eastAsiaTheme="minorEastAsia" w:hAnsiTheme="minorHAnsi" w:cstheme="minorBidi"/>
          <w:smallCaps w:val="0"/>
          <w:noProof/>
          <w:szCs w:val="22"/>
          <w:lang w:val="es-ES" w:eastAsia="es-ES"/>
        </w:rPr>
      </w:pPr>
      <w:hyperlink w:anchor="_Toc129243481" w:history="1">
        <w:r w:rsidRPr="00313DE7">
          <w:rPr>
            <w:rStyle w:val="Hipervnculo"/>
            <w:noProof/>
          </w:rPr>
          <w:t>IX. Seguimiento de las recomendaciones emitidas en informes anteriores</w:t>
        </w:r>
        <w:r>
          <w:rPr>
            <w:noProof/>
            <w:webHidden/>
          </w:rPr>
          <w:tab/>
        </w:r>
        <w:r>
          <w:rPr>
            <w:noProof/>
            <w:webHidden/>
          </w:rPr>
          <w:fldChar w:fldCharType="begin"/>
        </w:r>
        <w:r>
          <w:rPr>
            <w:noProof/>
            <w:webHidden/>
          </w:rPr>
          <w:instrText xml:space="preserve"> PAGEREF _Toc129243481 \h </w:instrText>
        </w:r>
        <w:r>
          <w:rPr>
            <w:noProof/>
            <w:webHidden/>
          </w:rPr>
        </w:r>
        <w:r>
          <w:rPr>
            <w:noProof/>
            <w:webHidden/>
          </w:rPr>
          <w:fldChar w:fldCharType="separate"/>
        </w:r>
        <w:r>
          <w:rPr>
            <w:noProof/>
            <w:webHidden/>
          </w:rPr>
          <w:t>15</w:t>
        </w:r>
        <w:r>
          <w:rPr>
            <w:noProof/>
            <w:webHidden/>
          </w:rPr>
          <w:fldChar w:fldCharType="end"/>
        </w:r>
      </w:hyperlink>
    </w:p>
    <w:p w14:paraId="5505A213" w14:textId="657349F1" w:rsidR="00946026" w:rsidRDefault="00946026">
      <w:pPr>
        <w:pStyle w:val="TDC1"/>
        <w:rPr>
          <w:rFonts w:asciiTheme="minorHAnsi" w:eastAsiaTheme="minorEastAsia" w:hAnsiTheme="minorHAnsi" w:cstheme="minorBidi"/>
          <w:smallCaps w:val="0"/>
          <w:noProof/>
          <w:szCs w:val="22"/>
          <w:lang w:val="es-ES" w:eastAsia="es-ES"/>
        </w:rPr>
      </w:pPr>
      <w:hyperlink w:anchor="_Toc129243482" w:history="1">
        <w:r w:rsidRPr="00313DE7">
          <w:rPr>
            <w:rStyle w:val="Hipervnculo"/>
            <w:noProof/>
          </w:rPr>
          <w:t>Apéndice 1. Resumen de la Cuenta General del Ayuntamiento de Pamplona, ejercicio 2021</w:t>
        </w:r>
        <w:r>
          <w:rPr>
            <w:noProof/>
            <w:webHidden/>
          </w:rPr>
          <w:tab/>
        </w:r>
        <w:r>
          <w:rPr>
            <w:noProof/>
            <w:webHidden/>
          </w:rPr>
          <w:fldChar w:fldCharType="begin"/>
        </w:r>
        <w:r>
          <w:rPr>
            <w:noProof/>
            <w:webHidden/>
          </w:rPr>
          <w:instrText xml:space="preserve"> PAGEREF _Toc129243482 \h </w:instrText>
        </w:r>
        <w:r>
          <w:rPr>
            <w:noProof/>
            <w:webHidden/>
          </w:rPr>
        </w:r>
        <w:r>
          <w:rPr>
            <w:noProof/>
            <w:webHidden/>
          </w:rPr>
          <w:fldChar w:fldCharType="separate"/>
        </w:r>
        <w:r>
          <w:rPr>
            <w:noProof/>
            <w:webHidden/>
          </w:rPr>
          <w:t>16</w:t>
        </w:r>
        <w:r>
          <w:rPr>
            <w:noProof/>
            <w:webHidden/>
          </w:rPr>
          <w:fldChar w:fldCharType="end"/>
        </w:r>
      </w:hyperlink>
    </w:p>
    <w:p w14:paraId="54279EB9" w14:textId="457456F3" w:rsidR="00946026" w:rsidRDefault="00946026">
      <w:pPr>
        <w:pStyle w:val="TDC1"/>
        <w:rPr>
          <w:rFonts w:asciiTheme="minorHAnsi" w:eastAsiaTheme="minorEastAsia" w:hAnsiTheme="minorHAnsi" w:cstheme="minorBidi"/>
          <w:smallCaps w:val="0"/>
          <w:noProof/>
          <w:szCs w:val="22"/>
          <w:lang w:val="es-ES" w:eastAsia="es-ES"/>
        </w:rPr>
      </w:pPr>
      <w:hyperlink w:anchor="_Toc129243483" w:history="1">
        <w:r w:rsidRPr="00313DE7">
          <w:rPr>
            <w:rStyle w:val="Hipervnculo"/>
            <w:noProof/>
          </w:rPr>
          <w:t>Apéndice 2. Delimitación del Sector Público del Ayuntamiento de Pamplona</w:t>
        </w:r>
        <w:r>
          <w:rPr>
            <w:noProof/>
            <w:webHidden/>
          </w:rPr>
          <w:tab/>
        </w:r>
        <w:r>
          <w:rPr>
            <w:noProof/>
            <w:webHidden/>
          </w:rPr>
          <w:fldChar w:fldCharType="begin"/>
        </w:r>
        <w:r>
          <w:rPr>
            <w:noProof/>
            <w:webHidden/>
          </w:rPr>
          <w:instrText xml:space="preserve"> PAGEREF _Toc129243483 \h </w:instrText>
        </w:r>
        <w:r>
          <w:rPr>
            <w:noProof/>
            <w:webHidden/>
          </w:rPr>
        </w:r>
        <w:r>
          <w:rPr>
            <w:noProof/>
            <w:webHidden/>
          </w:rPr>
          <w:fldChar w:fldCharType="separate"/>
        </w:r>
        <w:r>
          <w:rPr>
            <w:noProof/>
            <w:webHidden/>
          </w:rPr>
          <w:t>19</w:t>
        </w:r>
        <w:r>
          <w:rPr>
            <w:noProof/>
            <w:webHidden/>
          </w:rPr>
          <w:fldChar w:fldCharType="end"/>
        </w:r>
      </w:hyperlink>
    </w:p>
    <w:p w14:paraId="0F0107A9" w14:textId="1FBCE11D" w:rsidR="00946026" w:rsidRDefault="00946026">
      <w:pPr>
        <w:pStyle w:val="TDC1"/>
        <w:rPr>
          <w:rFonts w:asciiTheme="minorHAnsi" w:eastAsiaTheme="minorEastAsia" w:hAnsiTheme="minorHAnsi" w:cstheme="minorBidi"/>
          <w:smallCaps w:val="0"/>
          <w:noProof/>
          <w:szCs w:val="22"/>
          <w:lang w:val="es-ES" w:eastAsia="es-ES"/>
        </w:rPr>
      </w:pPr>
      <w:hyperlink w:anchor="_Toc129243484" w:history="1">
        <w:r w:rsidRPr="00313DE7">
          <w:rPr>
            <w:rStyle w:val="Hipervnculo"/>
            <w:noProof/>
          </w:rPr>
          <w:t>Apéndice 3. Marco regulador</w:t>
        </w:r>
        <w:r>
          <w:rPr>
            <w:noProof/>
            <w:webHidden/>
          </w:rPr>
          <w:tab/>
        </w:r>
        <w:r>
          <w:rPr>
            <w:noProof/>
            <w:webHidden/>
          </w:rPr>
          <w:fldChar w:fldCharType="begin"/>
        </w:r>
        <w:r>
          <w:rPr>
            <w:noProof/>
            <w:webHidden/>
          </w:rPr>
          <w:instrText xml:space="preserve"> PAGEREF _Toc129243484 \h </w:instrText>
        </w:r>
        <w:r>
          <w:rPr>
            <w:noProof/>
            <w:webHidden/>
          </w:rPr>
        </w:r>
        <w:r>
          <w:rPr>
            <w:noProof/>
            <w:webHidden/>
          </w:rPr>
          <w:fldChar w:fldCharType="separate"/>
        </w:r>
        <w:r>
          <w:rPr>
            <w:noProof/>
            <w:webHidden/>
          </w:rPr>
          <w:t>23</w:t>
        </w:r>
        <w:r>
          <w:rPr>
            <w:noProof/>
            <w:webHidden/>
          </w:rPr>
          <w:fldChar w:fldCharType="end"/>
        </w:r>
      </w:hyperlink>
    </w:p>
    <w:p w14:paraId="358F99D0" w14:textId="504821A1" w:rsidR="00946026" w:rsidRDefault="00946026">
      <w:pPr>
        <w:pStyle w:val="TDC1"/>
        <w:rPr>
          <w:rFonts w:asciiTheme="minorHAnsi" w:eastAsiaTheme="minorEastAsia" w:hAnsiTheme="minorHAnsi" w:cstheme="minorBidi"/>
          <w:smallCaps w:val="0"/>
          <w:noProof/>
          <w:szCs w:val="22"/>
          <w:lang w:val="es-ES" w:eastAsia="es-ES"/>
        </w:rPr>
      </w:pPr>
      <w:hyperlink w:anchor="_Toc129243485" w:history="1">
        <w:r w:rsidRPr="00313DE7">
          <w:rPr>
            <w:rStyle w:val="Hipervnculo"/>
            <w:noProof/>
          </w:rPr>
          <w:t>Apéndice 4. Información adicional sobre las salvedades</w:t>
        </w:r>
        <w:r>
          <w:rPr>
            <w:noProof/>
            <w:webHidden/>
          </w:rPr>
          <w:tab/>
        </w:r>
        <w:r>
          <w:rPr>
            <w:noProof/>
            <w:webHidden/>
          </w:rPr>
          <w:fldChar w:fldCharType="begin"/>
        </w:r>
        <w:r>
          <w:rPr>
            <w:noProof/>
            <w:webHidden/>
          </w:rPr>
          <w:instrText xml:space="preserve"> PAGEREF _Toc129243485 \h </w:instrText>
        </w:r>
        <w:r>
          <w:rPr>
            <w:noProof/>
            <w:webHidden/>
          </w:rPr>
        </w:r>
        <w:r>
          <w:rPr>
            <w:noProof/>
            <w:webHidden/>
          </w:rPr>
          <w:fldChar w:fldCharType="separate"/>
        </w:r>
        <w:r>
          <w:rPr>
            <w:noProof/>
            <w:webHidden/>
          </w:rPr>
          <w:t>25</w:t>
        </w:r>
        <w:r>
          <w:rPr>
            <w:noProof/>
            <w:webHidden/>
          </w:rPr>
          <w:fldChar w:fldCharType="end"/>
        </w:r>
      </w:hyperlink>
    </w:p>
    <w:p w14:paraId="610C9BF9" w14:textId="0EB3C8BF" w:rsidR="00946026" w:rsidRDefault="00946026">
      <w:pPr>
        <w:pStyle w:val="TDC2"/>
        <w:rPr>
          <w:rFonts w:asciiTheme="minorHAnsi" w:eastAsiaTheme="minorEastAsia" w:hAnsiTheme="minorHAnsi" w:cstheme="minorBidi"/>
          <w:noProof/>
          <w:szCs w:val="22"/>
          <w:lang w:val="es-ES" w:eastAsia="es-ES"/>
        </w:rPr>
      </w:pPr>
      <w:hyperlink w:anchor="_Toc129243486" w:history="1">
        <w:r w:rsidRPr="00313DE7">
          <w:rPr>
            <w:rStyle w:val="Hipervnculo"/>
            <w:noProof/>
          </w:rPr>
          <w:t>Personal</w:t>
        </w:r>
        <w:r>
          <w:rPr>
            <w:noProof/>
            <w:webHidden/>
          </w:rPr>
          <w:tab/>
        </w:r>
        <w:r>
          <w:rPr>
            <w:noProof/>
            <w:webHidden/>
          </w:rPr>
          <w:fldChar w:fldCharType="begin"/>
        </w:r>
        <w:r>
          <w:rPr>
            <w:noProof/>
            <w:webHidden/>
          </w:rPr>
          <w:instrText xml:space="preserve"> PAGEREF _Toc129243486 \h </w:instrText>
        </w:r>
        <w:r>
          <w:rPr>
            <w:noProof/>
            <w:webHidden/>
          </w:rPr>
        </w:r>
        <w:r>
          <w:rPr>
            <w:noProof/>
            <w:webHidden/>
          </w:rPr>
          <w:fldChar w:fldCharType="separate"/>
        </w:r>
        <w:r>
          <w:rPr>
            <w:noProof/>
            <w:webHidden/>
          </w:rPr>
          <w:t>25</w:t>
        </w:r>
        <w:r>
          <w:rPr>
            <w:noProof/>
            <w:webHidden/>
          </w:rPr>
          <w:fldChar w:fldCharType="end"/>
        </w:r>
      </w:hyperlink>
    </w:p>
    <w:p w14:paraId="3BC89060" w14:textId="70A222E1" w:rsidR="00946026" w:rsidRDefault="00946026">
      <w:pPr>
        <w:pStyle w:val="TDC1"/>
        <w:rPr>
          <w:rFonts w:asciiTheme="minorHAnsi" w:eastAsiaTheme="minorEastAsia" w:hAnsiTheme="minorHAnsi" w:cstheme="minorBidi"/>
          <w:smallCaps w:val="0"/>
          <w:noProof/>
          <w:szCs w:val="22"/>
          <w:lang w:val="es-ES" w:eastAsia="es-ES"/>
        </w:rPr>
      </w:pPr>
      <w:hyperlink w:anchor="_Toc129243487" w:history="1">
        <w:r w:rsidRPr="00313DE7">
          <w:rPr>
            <w:rStyle w:val="Hipervnculo"/>
            <w:noProof/>
          </w:rPr>
          <w:t>Apéndice 5. Observaciones y hallazgos adicionales de la fiscalización de regularidad</w:t>
        </w:r>
        <w:r>
          <w:rPr>
            <w:noProof/>
            <w:webHidden/>
          </w:rPr>
          <w:tab/>
        </w:r>
        <w:r>
          <w:rPr>
            <w:noProof/>
            <w:webHidden/>
          </w:rPr>
          <w:fldChar w:fldCharType="begin"/>
        </w:r>
        <w:r>
          <w:rPr>
            <w:noProof/>
            <w:webHidden/>
          </w:rPr>
          <w:instrText xml:space="preserve"> PAGEREF _Toc129243487 \h </w:instrText>
        </w:r>
        <w:r>
          <w:rPr>
            <w:noProof/>
            <w:webHidden/>
          </w:rPr>
        </w:r>
        <w:r>
          <w:rPr>
            <w:noProof/>
            <w:webHidden/>
          </w:rPr>
          <w:fldChar w:fldCharType="separate"/>
        </w:r>
        <w:r>
          <w:rPr>
            <w:noProof/>
            <w:webHidden/>
          </w:rPr>
          <w:t>27</w:t>
        </w:r>
        <w:r>
          <w:rPr>
            <w:noProof/>
            <w:webHidden/>
          </w:rPr>
          <w:fldChar w:fldCharType="end"/>
        </w:r>
      </w:hyperlink>
    </w:p>
    <w:p w14:paraId="18578274" w14:textId="6910D658" w:rsidR="00946026" w:rsidRDefault="00946026">
      <w:pPr>
        <w:pStyle w:val="TDC2"/>
        <w:rPr>
          <w:rFonts w:asciiTheme="minorHAnsi" w:eastAsiaTheme="minorEastAsia" w:hAnsiTheme="minorHAnsi" w:cstheme="minorBidi"/>
          <w:noProof/>
          <w:szCs w:val="22"/>
          <w:lang w:val="es-ES" w:eastAsia="es-ES"/>
        </w:rPr>
      </w:pPr>
      <w:hyperlink w:anchor="_Toc129243488" w:history="1">
        <w:r w:rsidRPr="00313DE7">
          <w:rPr>
            <w:rStyle w:val="Hipervnculo"/>
            <w:noProof/>
          </w:rPr>
          <w:t>5.1. Presupuesto General 2021</w:t>
        </w:r>
        <w:r>
          <w:rPr>
            <w:noProof/>
            <w:webHidden/>
          </w:rPr>
          <w:tab/>
        </w:r>
        <w:r>
          <w:rPr>
            <w:noProof/>
            <w:webHidden/>
          </w:rPr>
          <w:fldChar w:fldCharType="begin"/>
        </w:r>
        <w:r>
          <w:rPr>
            <w:noProof/>
            <w:webHidden/>
          </w:rPr>
          <w:instrText xml:space="preserve"> PAGEREF _Toc129243488 \h </w:instrText>
        </w:r>
        <w:r>
          <w:rPr>
            <w:noProof/>
            <w:webHidden/>
          </w:rPr>
        </w:r>
        <w:r>
          <w:rPr>
            <w:noProof/>
            <w:webHidden/>
          </w:rPr>
          <w:fldChar w:fldCharType="separate"/>
        </w:r>
        <w:r>
          <w:rPr>
            <w:noProof/>
            <w:webHidden/>
          </w:rPr>
          <w:t>27</w:t>
        </w:r>
        <w:r>
          <w:rPr>
            <w:noProof/>
            <w:webHidden/>
          </w:rPr>
          <w:fldChar w:fldCharType="end"/>
        </w:r>
      </w:hyperlink>
    </w:p>
    <w:p w14:paraId="70344BDE" w14:textId="39493809" w:rsidR="00946026" w:rsidRDefault="00946026">
      <w:pPr>
        <w:pStyle w:val="TDC2"/>
        <w:rPr>
          <w:rFonts w:asciiTheme="minorHAnsi" w:eastAsiaTheme="minorEastAsia" w:hAnsiTheme="minorHAnsi" w:cstheme="minorBidi"/>
          <w:noProof/>
          <w:szCs w:val="22"/>
          <w:lang w:val="es-ES" w:eastAsia="es-ES"/>
        </w:rPr>
      </w:pPr>
      <w:hyperlink w:anchor="_Toc129243489" w:history="1">
        <w:r w:rsidRPr="00313DE7">
          <w:rPr>
            <w:rStyle w:val="Hipervnculo"/>
            <w:noProof/>
          </w:rPr>
          <w:t>5.2. Situación económico-financiera del ayuntamiento a 31-12-2021</w:t>
        </w:r>
        <w:r>
          <w:rPr>
            <w:noProof/>
            <w:webHidden/>
          </w:rPr>
          <w:tab/>
        </w:r>
        <w:r>
          <w:rPr>
            <w:noProof/>
            <w:webHidden/>
          </w:rPr>
          <w:fldChar w:fldCharType="begin"/>
        </w:r>
        <w:r>
          <w:rPr>
            <w:noProof/>
            <w:webHidden/>
          </w:rPr>
          <w:instrText xml:space="preserve"> PAGEREF _Toc129243489 \h </w:instrText>
        </w:r>
        <w:r>
          <w:rPr>
            <w:noProof/>
            <w:webHidden/>
          </w:rPr>
        </w:r>
        <w:r>
          <w:rPr>
            <w:noProof/>
            <w:webHidden/>
          </w:rPr>
          <w:fldChar w:fldCharType="separate"/>
        </w:r>
        <w:r>
          <w:rPr>
            <w:noProof/>
            <w:webHidden/>
          </w:rPr>
          <w:t>29</w:t>
        </w:r>
        <w:r>
          <w:rPr>
            <w:noProof/>
            <w:webHidden/>
          </w:rPr>
          <w:fldChar w:fldCharType="end"/>
        </w:r>
      </w:hyperlink>
    </w:p>
    <w:p w14:paraId="214F788A" w14:textId="088E95F0" w:rsidR="00946026" w:rsidRDefault="00946026">
      <w:pPr>
        <w:pStyle w:val="TDC2"/>
        <w:rPr>
          <w:rFonts w:asciiTheme="minorHAnsi" w:eastAsiaTheme="minorEastAsia" w:hAnsiTheme="minorHAnsi" w:cstheme="minorBidi"/>
          <w:noProof/>
          <w:szCs w:val="22"/>
          <w:lang w:val="es-ES" w:eastAsia="es-ES"/>
        </w:rPr>
      </w:pPr>
      <w:hyperlink w:anchor="_Toc129243490" w:history="1">
        <w:r w:rsidRPr="00313DE7">
          <w:rPr>
            <w:rStyle w:val="Hipervnculo"/>
            <w:noProof/>
          </w:rPr>
          <w:t>5.3. Principios de estabilidad presupuestaria y sostenibilidad financiera</w:t>
        </w:r>
        <w:r>
          <w:rPr>
            <w:noProof/>
            <w:webHidden/>
          </w:rPr>
          <w:tab/>
        </w:r>
        <w:r>
          <w:rPr>
            <w:noProof/>
            <w:webHidden/>
          </w:rPr>
          <w:fldChar w:fldCharType="begin"/>
        </w:r>
        <w:r>
          <w:rPr>
            <w:noProof/>
            <w:webHidden/>
          </w:rPr>
          <w:instrText xml:space="preserve"> PAGEREF _Toc129243490 \h </w:instrText>
        </w:r>
        <w:r>
          <w:rPr>
            <w:noProof/>
            <w:webHidden/>
          </w:rPr>
        </w:r>
        <w:r>
          <w:rPr>
            <w:noProof/>
            <w:webHidden/>
          </w:rPr>
          <w:fldChar w:fldCharType="separate"/>
        </w:r>
        <w:r>
          <w:rPr>
            <w:noProof/>
            <w:webHidden/>
          </w:rPr>
          <w:t>30</w:t>
        </w:r>
        <w:r>
          <w:rPr>
            <w:noProof/>
            <w:webHidden/>
          </w:rPr>
          <w:fldChar w:fldCharType="end"/>
        </w:r>
      </w:hyperlink>
    </w:p>
    <w:p w14:paraId="00D00766" w14:textId="7E2156B3" w:rsidR="00946026" w:rsidRDefault="00946026">
      <w:pPr>
        <w:pStyle w:val="TDC2"/>
        <w:rPr>
          <w:rFonts w:asciiTheme="minorHAnsi" w:eastAsiaTheme="minorEastAsia" w:hAnsiTheme="minorHAnsi" w:cstheme="minorBidi"/>
          <w:noProof/>
          <w:szCs w:val="22"/>
          <w:lang w:val="es-ES" w:eastAsia="es-ES"/>
        </w:rPr>
      </w:pPr>
      <w:hyperlink w:anchor="_Toc129243491" w:history="1">
        <w:r w:rsidRPr="00313DE7">
          <w:rPr>
            <w:rStyle w:val="Hipervnculo"/>
            <w:noProof/>
          </w:rPr>
          <w:t>5.4. Ayuntamiento de Pamplona</w:t>
        </w:r>
        <w:r>
          <w:rPr>
            <w:noProof/>
            <w:webHidden/>
          </w:rPr>
          <w:tab/>
        </w:r>
        <w:r>
          <w:rPr>
            <w:noProof/>
            <w:webHidden/>
          </w:rPr>
          <w:fldChar w:fldCharType="begin"/>
        </w:r>
        <w:r>
          <w:rPr>
            <w:noProof/>
            <w:webHidden/>
          </w:rPr>
          <w:instrText xml:space="preserve"> PAGEREF _Toc129243491 \h </w:instrText>
        </w:r>
        <w:r>
          <w:rPr>
            <w:noProof/>
            <w:webHidden/>
          </w:rPr>
        </w:r>
        <w:r>
          <w:rPr>
            <w:noProof/>
            <w:webHidden/>
          </w:rPr>
          <w:fldChar w:fldCharType="separate"/>
        </w:r>
        <w:r>
          <w:rPr>
            <w:noProof/>
            <w:webHidden/>
          </w:rPr>
          <w:t>31</w:t>
        </w:r>
        <w:r>
          <w:rPr>
            <w:noProof/>
            <w:webHidden/>
          </w:rPr>
          <w:fldChar w:fldCharType="end"/>
        </w:r>
      </w:hyperlink>
    </w:p>
    <w:p w14:paraId="47B88F8C" w14:textId="20F5929E" w:rsidR="00946026" w:rsidRDefault="00946026">
      <w:pPr>
        <w:pStyle w:val="TDC2"/>
        <w:rPr>
          <w:rFonts w:asciiTheme="minorHAnsi" w:eastAsiaTheme="minorEastAsia" w:hAnsiTheme="minorHAnsi" w:cstheme="minorBidi"/>
          <w:noProof/>
          <w:szCs w:val="22"/>
          <w:lang w:val="es-ES" w:eastAsia="es-ES"/>
        </w:rPr>
      </w:pPr>
      <w:hyperlink w:anchor="_Toc129243492" w:history="1">
        <w:r w:rsidRPr="00313DE7">
          <w:rPr>
            <w:rStyle w:val="Hipervnculo"/>
            <w:noProof/>
          </w:rPr>
          <w:t>5.5. Organismos autónomos</w:t>
        </w:r>
        <w:r>
          <w:rPr>
            <w:noProof/>
            <w:webHidden/>
          </w:rPr>
          <w:tab/>
        </w:r>
        <w:r>
          <w:rPr>
            <w:noProof/>
            <w:webHidden/>
          </w:rPr>
          <w:fldChar w:fldCharType="begin"/>
        </w:r>
        <w:r>
          <w:rPr>
            <w:noProof/>
            <w:webHidden/>
          </w:rPr>
          <w:instrText xml:space="preserve"> PAGEREF _Toc129243492 \h </w:instrText>
        </w:r>
        <w:r>
          <w:rPr>
            <w:noProof/>
            <w:webHidden/>
          </w:rPr>
        </w:r>
        <w:r>
          <w:rPr>
            <w:noProof/>
            <w:webHidden/>
          </w:rPr>
          <w:fldChar w:fldCharType="separate"/>
        </w:r>
        <w:r>
          <w:rPr>
            <w:noProof/>
            <w:webHidden/>
          </w:rPr>
          <w:t>53</w:t>
        </w:r>
        <w:r>
          <w:rPr>
            <w:noProof/>
            <w:webHidden/>
          </w:rPr>
          <w:fldChar w:fldCharType="end"/>
        </w:r>
      </w:hyperlink>
    </w:p>
    <w:p w14:paraId="0E67D03F" w14:textId="7C2B281B" w:rsidR="00946026" w:rsidRDefault="00946026">
      <w:pPr>
        <w:pStyle w:val="TDC2"/>
        <w:rPr>
          <w:rFonts w:asciiTheme="minorHAnsi" w:eastAsiaTheme="minorEastAsia" w:hAnsiTheme="minorHAnsi" w:cstheme="minorBidi"/>
          <w:noProof/>
          <w:szCs w:val="22"/>
          <w:lang w:val="es-ES" w:eastAsia="es-ES"/>
        </w:rPr>
      </w:pPr>
      <w:hyperlink w:anchor="_Toc129243493" w:history="1">
        <w:r w:rsidRPr="00313DE7">
          <w:rPr>
            <w:rStyle w:val="Hipervnculo"/>
            <w:noProof/>
          </w:rPr>
          <w:t>5.6. Sociedades mercantiles públicas y fundaciones públicas</w:t>
        </w:r>
        <w:r>
          <w:rPr>
            <w:noProof/>
            <w:webHidden/>
          </w:rPr>
          <w:tab/>
        </w:r>
        <w:r>
          <w:rPr>
            <w:noProof/>
            <w:webHidden/>
          </w:rPr>
          <w:fldChar w:fldCharType="begin"/>
        </w:r>
        <w:r>
          <w:rPr>
            <w:noProof/>
            <w:webHidden/>
          </w:rPr>
          <w:instrText xml:space="preserve"> PAGEREF _Toc129243493 \h </w:instrText>
        </w:r>
        <w:r>
          <w:rPr>
            <w:noProof/>
            <w:webHidden/>
          </w:rPr>
        </w:r>
        <w:r>
          <w:rPr>
            <w:noProof/>
            <w:webHidden/>
          </w:rPr>
          <w:fldChar w:fldCharType="separate"/>
        </w:r>
        <w:r>
          <w:rPr>
            <w:noProof/>
            <w:webHidden/>
          </w:rPr>
          <w:t>56</w:t>
        </w:r>
        <w:r>
          <w:rPr>
            <w:noProof/>
            <w:webHidden/>
          </w:rPr>
          <w:fldChar w:fldCharType="end"/>
        </w:r>
      </w:hyperlink>
    </w:p>
    <w:p w14:paraId="3FACAC6C" w14:textId="401C9DA7" w:rsidR="00946026" w:rsidRDefault="00946026">
      <w:pPr>
        <w:pStyle w:val="TDC2"/>
        <w:rPr>
          <w:rFonts w:asciiTheme="minorHAnsi" w:eastAsiaTheme="minorEastAsia" w:hAnsiTheme="minorHAnsi" w:cstheme="minorBidi"/>
          <w:noProof/>
          <w:szCs w:val="22"/>
          <w:lang w:val="es-ES" w:eastAsia="es-ES"/>
        </w:rPr>
      </w:pPr>
      <w:hyperlink w:anchor="_Toc129243494" w:history="1">
        <w:r w:rsidRPr="00313DE7">
          <w:rPr>
            <w:rStyle w:val="Hipervnculo"/>
            <w:noProof/>
          </w:rPr>
          <w:t>5.7. Gastos e ingresos relacionados con la COVID-19</w:t>
        </w:r>
        <w:r>
          <w:rPr>
            <w:noProof/>
            <w:webHidden/>
          </w:rPr>
          <w:tab/>
        </w:r>
        <w:r>
          <w:rPr>
            <w:noProof/>
            <w:webHidden/>
          </w:rPr>
          <w:fldChar w:fldCharType="begin"/>
        </w:r>
        <w:r>
          <w:rPr>
            <w:noProof/>
            <w:webHidden/>
          </w:rPr>
          <w:instrText xml:space="preserve"> PAGEREF _Toc129243494 \h </w:instrText>
        </w:r>
        <w:r>
          <w:rPr>
            <w:noProof/>
            <w:webHidden/>
          </w:rPr>
        </w:r>
        <w:r>
          <w:rPr>
            <w:noProof/>
            <w:webHidden/>
          </w:rPr>
          <w:fldChar w:fldCharType="separate"/>
        </w:r>
        <w:r>
          <w:rPr>
            <w:noProof/>
            <w:webHidden/>
          </w:rPr>
          <w:t>59</w:t>
        </w:r>
        <w:r>
          <w:rPr>
            <w:noProof/>
            <w:webHidden/>
          </w:rPr>
          <w:fldChar w:fldCharType="end"/>
        </w:r>
      </w:hyperlink>
    </w:p>
    <w:p w14:paraId="5E5F732A" w14:textId="18AE2ABB" w:rsidR="00946026" w:rsidRDefault="00946026">
      <w:pPr>
        <w:pStyle w:val="TDC1"/>
        <w:rPr>
          <w:rFonts w:asciiTheme="minorHAnsi" w:eastAsiaTheme="minorEastAsia" w:hAnsiTheme="minorHAnsi" w:cstheme="minorBidi"/>
          <w:smallCaps w:val="0"/>
          <w:noProof/>
          <w:szCs w:val="22"/>
          <w:lang w:val="es-ES" w:eastAsia="es-ES"/>
        </w:rPr>
      </w:pPr>
      <w:hyperlink w:anchor="_Toc129243495" w:history="1">
        <w:r w:rsidRPr="00313DE7">
          <w:rPr>
            <w:rStyle w:val="Hipervnculo"/>
            <w:noProof/>
          </w:rPr>
          <w:t>Apéndice 6. Relación cronológica de hechos y estimación del coste de las obras de refuerzo de la pasarela de Labrit.</w:t>
        </w:r>
        <w:r>
          <w:rPr>
            <w:noProof/>
            <w:webHidden/>
          </w:rPr>
          <w:tab/>
        </w:r>
        <w:r>
          <w:rPr>
            <w:noProof/>
            <w:webHidden/>
          </w:rPr>
          <w:fldChar w:fldCharType="begin"/>
        </w:r>
        <w:r>
          <w:rPr>
            <w:noProof/>
            <w:webHidden/>
          </w:rPr>
          <w:instrText xml:space="preserve"> PAGEREF _Toc129243495 \h </w:instrText>
        </w:r>
        <w:r>
          <w:rPr>
            <w:noProof/>
            <w:webHidden/>
          </w:rPr>
        </w:r>
        <w:r>
          <w:rPr>
            <w:noProof/>
            <w:webHidden/>
          </w:rPr>
          <w:fldChar w:fldCharType="separate"/>
        </w:r>
        <w:r>
          <w:rPr>
            <w:noProof/>
            <w:webHidden/>
          </w:rPr>
          <w:t>62</w:t>
        </w:r>
        <w:r>
          <w:rPr>
            <w:noProof/>
            <w:webHidden/>
          </w:rPr>
          <w:fldChar w:fldCharType="end"/>
        </w:r>
      </w:hyperlink>
    </w:p>
    <w:p w14:paraId="0ED1FA7D" w14:textId="2860DA42" w:rsidR="00946026" w:rsidRDefault="00946026">
      <w:pPr>
        <w:pStyle w:val="TDC2"/>
        <w:rPr>
          <w:rFonts w:asciiTheme="minorHAnsi" w:eastAsiaTheme="minorEastAsia" w:hAnsiTheme="minorHAnsi" w:cstheme="minorBidi"/>
          <w:noProof/>
          <w:szCs w:val="22"/>
          <w:lang w:val="es-ES" w:eastAsia="es-ES"/>
        </w:rPr>
      </w:pPr>
      <w:hyperlink w:anchor="_Toc129243496" w:history="1">
        <w:r w:rsidRPr="00313DE7">
          <w:rPr>
            <w:rStyle w:val="Hipervnculo"/>
            <w:noProof/>
          </w:rPr>
          <w:t>7.1.Antec</w:t>
        </w:r>
        <w:r w:rsidRPr="00313DE7">
          <w:rPr>
            <w:rStyle w:val="Hipervnculo"/>
            <w:noProof/>
          </w:rPr>
          <w:t>e</w:t>
        </w:r>
        <w:r w:rsidRPr="00313DE7">
          <w:rPr>
            <w:rStyle w:val="Hipervnculo"/>
            <w:noProof/>
          </w:rPr>
          <w:t>dentes</w:t>
        </w:r>
        <w:r>
          <w:rPr>
            <w:noProof/>
            <w:webHidden/>
          </w:rPr>
          <w:tab/>
        </w:r>
        <w:r>
          <w:rPr>
            <w:noProof/>
            <w:webHidden/>
          </w:rPr>
          <w:fldChar w:fldCharType="begin"/>
        </w:r>
        <w:r>
          <w:rPr>
            <w:noProof/>
            <w:webHidden/>
          </w:rPr>
          <w:instrText xml:space="preserve"> PAGEREF _Toc129243496 \h </w:instrText>
        </w:r>
        <w:r>
          <w:rPr>
            <w:noProof/>
            <w:webHidden/>
          </w:rPr>
        </w:r>
        <w:r>
          <w:rPr>
            <w:noProof/>
            <w:webHidden/>
          </w:rPr>
          <w:fldChar w:fldCharType="separate"/>
        </w:r>
        <w:r>
          <w:rPr>
            <w:noProof/>
            <w:webHidden/>
          </w:rPr>
          <w:t>62</w:t>
        </w:r>
        <w:r>
          <w:rPr>
            <w:noProof/>
            <w:webHidden/>
          </w:rPr>
          <w:fldChar w:fldCharType="end"/>
        </w:r>
      </w:hyperlink>
    </w:p>
    <w:p w14:paraId="288333ED" w14:textId="56ECDE0A" w:rsidR="00946026" w:rsidRDefault="00946026">
      <w:pPr>
        <w:pStyle w:val="TDC2"/>
        <w:rPr>
          <w:rFonts w:asciiTheme="minorHAnsi" w:eastAsiaTheme="minorEastAsia" w:hAnsiTheme="minorHAnsi" w:cstheme="minorBidi"/>
          <w:noProof/>
          <w:szCs w:val="22"/>
          <w:lang w:val="es-ES" w:eastAsia="es-ES"/>
        </w:rPr>
      </w:pPr>
      <w:hyperlink w:anchor="_Toc129243497" w:history="1">
        <w:r w:rsidRPr="00313DE7">
          <w:rPr>
            <w:rStyle w:val="Hipervnculo"/>
            <w:noProof/>
          </w:rPr>
          <w:t>7.2. Antecedentes del contrato de refuerzo de la pasarela en el ejercicio 2021</w:t>
        </w:r>
        <w:r>
          <w:rPr>
            <w:noProof/>
            <w:webHidden/>
          </w:rPr>
          <w:tab/>
        </w:r>
        <w:r>
          <w:rPr>
            <w:noProof/>
            <w:webHidden/>
          </w:rPr>
          <w:fldChar w:fldCharType="begin"/>
        </w:r>
        <w:r>
          <w:rPr>
            <w:noProof/>
            <w:webHidden/>
          </w:rPr>
          <w:instrText xml:space="preserve"> PAGEREF _Toc129243497 \h </w:instrText>
        </w:r>
        <w:r>
          <w:rPr>
            <w:noProof/>
            <w:webHidden/>
          </w:rPr>
        </w:r>
        <w:r>
          <w:rPr>
            <w:noProof/>
            <w:webHidden/>
          </w:rPr>
          <w:fldChar w:fldCharType="separate"/>
        </w:r>
        <w:r>
          <w:rPr>
            <w:noProof/>
            <w:webHidden/>
          </w:rPr>
          <w:t>65</w:t>
        </w:r>
        <w:r>
          <w:rPr>
            <w:noProof/>
            <w:webHidden/>
          </w:rPr>
          <w:fldChar w:fldCharType="end"/>
        </w:r>
      </w:hyperlink>
    </w:p>
    <w:p w14:paraId="4C6BCC82" w14:textId="7229503B" w:rsidR="00946026" w:rsidRDefault="00946026">
      <w:pPr>
        <w:pStyle w:val="TDC2"/>
        <w:rPr>
          <w:rFonts w:asciiTheme="minorHAnsi" w:eastAsiaTheme="minorEastAsia" w:hAnsiTheme="minorHAnsi" w:cstheme="minorBidi"/>
          <w:noProof/>
          <w:szCs w:val="22"/>
          <w:lang w:val="es-ES" w:eastAsia="es-ES"/>
        </w:rPr>
      </w:pPr>
      <w:hyperlink w:anchor="_Toc129243498" w:history="1">
        <w:r w:rsidRPr="00313DE7">
          <w:rPr>
            <w:rStyle w:val="Hipervnculo"/>
            <w:noProof/>
          </w:rPr>
          <w:t>7.3 Análisis del coste total de refuerzo de la obra.</w:t>
        </w:r>
        <w:r>
          <w:rPr>
            <w:noProof/>
            <w:webHidden/>
          </w:rPr>
          <w:tab/>
        </w:r>
        <w:r>
          <w:rPr>
            <w:noProof/>
            <w:webHidden/>
          </w:rPr>
          <w:fldChar w:fldCharType="begin"/>
        </w:r>
        <w:r>
          <w:rPr>
            <w:noProof/>
            <w:webHidden/>
          </w:rPr>
          <w:instrText xml:space="preserve"> PAGEREF _Toc129243498 \h </w:instrText>
        </w:r>
        <w:r>
          <w:rPr>
            <w:noProof/>
            <w:webHidden/>
          </w:rPr>
        </w:r>
        <w:r>
          <w:rPr>
            <w:noProof/>
            <w:webHidden/>
          </w:rPr>
          <w:fldChar w:fldCharType="separate"/>
        </w:r>
        <w:r>
          <w:rPr>
            <w:noProof/>
            <w:webHidden/>
          </w:rPr>
          <w:t>67</w:t>
        </w:r>
        <w:r>
          <w:rPr>
            <w:noProof/>
            <w:webHidden/>
          </w:rPr>
          <w:fldChar w:fldCharType="end"/>
        </w:r>
      </w:hyperlink>
    </w:p>
    <w:p w14:paraId="5E918705" w14:textId="76584743" w:rsidR="00946026" w:rsidRDefault="00946026">
      <w:pPr>
        <w:pStyle w:val="TDC1"/>
        <w:rPr>
          <w:rFonts w:asciiTheme="minorHAnsi" w:eastAsiaTheme="minorEastAsia" w:hAnsiTheme="minorHAnsi" w:cstheme="minorBidi"/>
          <w:smallCaps w:val="0"/>
          <w:noProof/>
          <w:szCs w:val="22"/>
          <w:lang w:val="es-ES" w:eastAsia="es-ES"/>
        </w:rPr>
      </w:pPr>
      <w:hyperlink w:anchor="_Toc129243499" w:history="1">
        <w:r w:rsidRPr="00313DE7">
          <w:rPr>
            <w:rStyle w:val="Hipervnculo"/>
            <w:noProof/>
          </w:rPr>
          <w:t>Anexo 1. Plan de medidas antifraude aprobado por el Ayuntamiento de Pamplona por la participación en la ejecución de las medidas del Plan de Recuperación, Transformación y Resiliencia</w:t>
        </w:r>
        <w:r>
          <w:rPr>
            <w:noProof/>
            <w:webHidden/>
          </w:rPr>
          <w:tab/>
        </w:r>
        <w:r>
          <w:rPr>
            <w:noProof/>
            <w:webHidden/>
          </w:rPr>
          <w:fldChar w:fldCharType="begin"/>
        </w:r>
        <w:r>
          <w:rPr>
            <w:noProof/>
            <w:webHidden/>
          </w:rPr>
          <w:instrText xml:space="preserve"> PAGEREF _Toc129243499 \h </w:instrText>
        </w:r>
        <w:r>
          <w:rPr>
            <w:noProof/>
            <w:webHidden/>
          </w:rPr>
        </w:r>
        <w:r>
          <w:rPr>
            <w:noProof/>
            <w:webHidden/>
          </w:rPr>
          <w:fldChar w:fldCharType="separate"/>
        </w:r>
        <w:r>
          <w:rPr>
            <w:noProof/>
            <w:webHidden/>
          </w:rPr>
          <w:t>68</w:t>
        </w:r>
        <w:r>
          <w:rPr>
            <w:noProof/>
            <w:webHidden/>
          </w:rPr>
          <w:fldChar w:fldCharType="end"/>
        </w:r>
      </w:hyperlink>
    </w:p>
    <w:p w14:paraId="0FF5A4F5" w14:textId="061950A7" w:rsidR="00946026" w:rsidRDefault="00946026">
      <w:pPr>
        <w:pStyle w:val="TDC2"/>
        <w:rPr>
          <w:rFonts w:asciiTheme="minorHAnsi" w:eastAsiaTheme="minorEastAsia" w:hAnsiTheme="minorHAnsi" w:cstheme="minorBidi"/>
          <w:noProof/>
          <w:szCs w:val="22"/>
          <w:lang w:val="es-ES" w:eastAsia="es-ES"/>
        </w:rPr>
      </w:pPr>
      <w:hyperlink w:anchor="_Toc129243500" w:history="1">
        <w:r w:rsidRPr="00313DE7">
          <w:rPr>
            <w:rStyle w:val="Hipervnculo"/>
            <w:noProof/>
            <w:lang w:val="es-ES" w:eastAsia="es-ES"/>
          </w:rPr>
          <w:t>6.1. Introducción</w:t>
        </w:r>
        <w:r>
          <w:rPr>
            <w:noProof/>
            <w:webHidden/>
          </w:rPr>
          <w:tab/>
        </w:r>
        <w:r>
          <w:rPr>
            <w:noProof/>
            <w:webHidden/>
          </w:rPr>
          <w:fldChar w:fldCharType="begin"/>
        </w:r>
        <w:r>
          <w:rPr>
            <w:noProof/>
            <w:webHidden/>
          </w:rPr>
          <w:instrText xml:space="preserve"> PAGEREF _Toc129243500 \h </w:instrText>
        </w:r>
        <w:r>
          <w:rPr>
            <w:noProof/>
            <w:webHidden/>
          </w:rPr>
        </w:r>
        <w:r>
          <w:rPr>
            <w:noProof/>
            <w:webHidden/>
          </w:rPr>
          <w:fldChar w:fldCharType="separate"/>
        </w:r>
        <w:r>
          <w:rPr>
            <w:noProof/>
            <w:webHidden/>
          </w:rPr>
          <w:t>68</w:t>
        </w:r>
        <w:r>
          <w:rPr>
            <w:noProof/>
            <w:webHidden/>
          </w:rPr>
          <w:fldChar w:fldCharType="end"/>
        </w:r>
      </w:hyperlink>
    </w:p>
    <w:p w14:paraId="5DC6122F" w14:textId="667BAC2D" w:rsidR="00946026" w:rsidRDefault="00946026">
      <w:pPr>
        <w:pStyle w:val="TDC2"/>
        <w:rPr>
          <w:rFonts w:asciiTheme="minorHAnsi" w:eastAsiaTheme="minorEastAsia" w:hAnsiTheme="minorHAnsi" w:cstheme="minorBidi"/>
          <w:noProof/>
          <w:szCs w:val="22"/>
          <w:lang w:val="es-ES" w:eastAsia="es-ES"/>
        </w:rPr>
      </w:pPr>
      <w:hyperlink w:anchor="_Toc129243501" w:history="1">
        <w:r w:rsidRPr="00313DE7">
          <w:rPr>
            <w:rStyle w:val="Hipervnculo"/>
            <w:noProof/>
            <w:lang w:val="es-ES" w:eastAsia="es-ES"/>
          </w:rPr>
          <w:t>6.2. Objetivos y alcance de la fiscalización</w:t>
        </w:r>
        <w:r>
          <w:rPr>
            <w:noProof/>
            <w:webHidden/>
          </w:rPr>
          <w:tab/>
        </w:r>
        <w:r>
          <w:rPr>
            <w:noProof/>
            <w:webHidden/>
          </w:rPr>
          <w:fldChar w:fldCharType="begin"/>
        </w:r>
        <w:r>
          <w:rPr>
            <w:noProof/>
            <w:webHidden/>
          </w:rPr>
          <w:instrText xml:space="preserve"> PAGEREF _Toc129243501 \h </w:instrText>
        </w:r>
        <w:r>
          <w:rPr>
            <w:noProof/>
            <w:webHidden/>
          </w:rPr>
        </w:r>
        <w:r>
          <w:rPr>
            <w:noProof/>
            <w:webHidden/>
          </w:rPr>
          <w:fldChar w:fldCharType="separate"/>
        </w:r>
        <w:r>
          <w:rPr>
            <w:noProof/>
            <w:webHidden/>
          </w:rPr>
          <w:t>68</w:t>
        </w:r>
        <w:r>
          <w:rPr>
            <w:noProof/>
            <w:webHidden/>
          </w:rPr>
          <w:fldChar w:fldCharType="end"/>
        </w:r>
      </w:hyperlink>
    </w:p>
    <w:p w14:paraId="12B48459" w14:textId="77902DC5" w:rsidR="00946026" w:rsidRDefault="00946026">
      <w:pPr>
        <w:pStyle w:val="TDC2"/>
        <w:rPr>
          <w:rFonts w:asciiTheme="minorHAnsi" w:eastAsiaTheme="minorEastAsia" w:hAnsiTheme="minorHAnsi" w:cstheme="minorBidi"/>
          <w:noProof/>
          <w:szCs w:val="22"/>
          <w:lang w:val="es-ES" w:eastAsia="es-ES"/>
        </w:rPr>
      </w:pPr>
      <w:hyperlink w:anchor="_Toc129243502" w:history="1">
        <w:r w:rsidRPr="00313DE7">
          <w:rPr>
            <w:rStyle w:val="Hipervnculo"/>
            <w:noProof/>
            <w:lang w:val="es-ES" w:eastAsia="es-ES"/>
          </w:rPr>
          <w:t>6.3. Resultados de la fiscalización</w:t>
        </w:r>
        <w:r>
          <w:rPr>
            <w:noProof/>
            <w:webHidden/>
          </w:rPr>
          <w:tab/>
        </w:r>
        <w:r>
          <w:rPr>
            <w:noProof/>
            <w:webHidden/>
          </w:rPr>
          <w:fldChar w:fldCharType="begin"/>
        </w:r>
        <w:r>
          <w:rPr>
            <w:noProof/>
            <w:webHidden/>
          </w:rPr>
          <w:instrText xml:space="preserve"> PAGEREF _Toc129243502 \h </w:instrText>
        </w:r>
        <w:r>
          <w:rPr>
            <w:noProof/>
            <w:webHidden/>
          </w:rPr>
        </w:r>
        <w:r>
          <w:rPr>
            <w:noProof/>
            <w:webHidden/>
          </w:rPr>
          <w:fldChar w:fldCharType="separate"/>
        </w:r>
        <w:r>
          <w:rPr>
            <w:noProof/>
            <w:webHidden/>
          </w:rPr>
          <w:t>69</w:t>
        </w:r>
        <w:r>
          <w:rPr>
            <w:noProof/>
            <w:webHidden/>
          </w:rPr>
          <w:fldChar w:fldCharType="end"/>
        </w:r>
      </w:hyperlink>
    </w:p>
    <w:p w14:paraId="3245F3B2" w14:textId="7324A13F" w:rsidR="00946026" w:rsidRDefault="00946026">
      <w:pPr>
        <w:pStyle w:val="TDC2"/>
        <w:rPr>
          <w:rFonts w:asciiTheme="minorHAnsi" w:eastAsiaTheme="minorEastAsia" w:hAnsiTheme="minorHAnsi" w:cstheme="minorBidi"/>
          <w:noProof/>
          <w:szCs w:val="22"/>
          <w:lang w:val="es-ES" w:eastAsia="es-ES"/>
        </w:rPr>
      </w:pPr>
      <w:hyperlink w:anchor="_Toc129243503" w:history="1">
        <w:r w:rsidRPr="00313DE7">
          <w:rPr>
            <w:rStyle w:val="Hipervnculo"/>
            <w:noProof/>
            <w:lang w:val="es-ES" w:eastAsia="es-ES"/>
          </w:rPr>
          <w:t>6.4. Conclusión</w:t>
        </w:r>
        <w:r>
          <w:rPr>
            <w:noProof/>
            <w:webHidden/>
          </w:rPr>
          <w:tab/>
        </w:r>
        <w:r>
          <w:rPr>
            <w:noProof/>
            <w:webHidden/>
          </w:rPr>
          <w:fldChar w:fldCharType="begin"/>
        </w:r>
        <w:r>
          <w:rPr>
            <w:noProof/>
            <w:webHidden/>
          </w:rPr>
          <w:instrText xml:space="preserve"> PAGEREF _Toc129243503 \h </w:instrText>
        </w:r>
        <w:r>
          <w:rPr>
            <w:noProof/>
            <w:webHidden/>
          </w:rPr>
        </w:r>
        <w:r>
          <w:rPr>
            <w:noProof/>
            <w:webHidden/>
          </w:rPr>
          <w:fldChar w:fldCharType="separate"/>
        </w:r>
        <w:r>
          <w:rPr>
            <w:noProof/>
            <w:webHidden/>
          </w:rPr>
          <w:t>72</w:t>
        </w:r>
        <w:r>
          <w:rPr>
            <w:noProof/>
            <w:webHidden/>
          </w:rPr>
          <w:fldChar w:fldCharType="end"/>
        </w:r>
      </w:hyperlink>
    </w:p>
    <w:p w14:paraId="40A2B155" w14:textId="7EA05034" w:rsidR="00946026" w:rsidRDefault="00946026">
      <w:pPr>
        <w:pStyle w:val="TDC1"/>
        <w:rPr>
          <w:rFonts w:asciiTheme="minorHAnsi" w:eastAsiaTheme="minorEastAsia" w:hAnsiTheme="minorHAnsi" w:cstheme="minorBidi"/>
          <w:smallCaps w:val="0"/>
          <w:noProof/>
          <w:szCs w:val="22"/>
          <w:lang w:val="es-ES" w:eastAsia="es-ES"/>
        </w:rPr>
      </w:pPr>
      <w:hyperlink w:anchor="_Toc129243504" w:history="1">
        <w:r w:rsidRPr="00313DE7">
          <w:rPr>
            <w:rStyle w:val="Hipervnculo"/>
            <w:noProof/>
          </w:rPr>
          <w:t>Alegaciones formuladas al Informe Provisional</w:t>
        </w:r>
        <w:r>
          <w:rPr>
            <w:noProof/>
            <w:webHidden/>
          </w:rPr>
          <w:tab/>
        </w:r>
        <w:r>
          <w:rPr>
            <w:noProof/>
            <w:webHidden/>
          </w:rPr>
          <w:fldChar w:fldCharType="begin"/>
        </w:r>
        <w:r>
          <w:rPr>
            <w:noProof/>
            <w:webHidden/>
          </w:rPr>
          <w:instrText xml:space="preserve"> PAGEREF _Toc129243504 \h </w:instrText>
        </w:r>
        <w:r>
          <w:rPr>
            <w:noProof/>
            <w:webHidden/>
          </w:rPr>
        </w:r>
        <w:r>
          <w:rPr>
            <w:noProof/>
            <w:webHidden/>
          </w:rPr>
          <w:fldChar w:fldCharType="separate"/>
        </w:r>
        <w:r>
          <w:rPr>
            <w:noProof/>
            <w:webHidden/>
          </w:rPr>
          <w:t>73</w:t>
        </w:r>
        <w:r>
          <w:rPr>
            <w:noProof/>
            <w:webHidden/>
          </w:rPr>
          <w:fldChar w:fldCharType="end"/>
        </w:r>
      </w:hyperlink>
    </w:p>
    <w:p w14:paraId="3C79D02A" w14:textId="5116284D" w:rsidR="00946026" w:rsidRDefault="00946026">
      <w:pPr>
        <w:pStyle w:val="TDC1"/>
        <w:rPr>
          <w:rFonts w:asciiTheme="minorHAnsi" w:eastAsiaTheme="minorEastAsia" w:hAnsiTheme="minorHAnsi" w:cstheme="minorBidi"/>
          <w:smallCaps w:val="0"/>
          <w:noProof/>
          <w:szCs w:val="22"/>
          <w:lang w:val="es-ES" w:eastAsia="es-ES"/>
        </w:rPr>
      </w:pPr>
      <w:hyperlink w:anchor="_Toc129243505" w:history="1">
        <w:r w:rsidRPr="00313DE7">
          <w:rPr>
            <w:rStyle w:val="Hipervnculo"/>
            <w:noProof/>
          </w:rPr>
          <w:t>ALEGACIONES AL INFORME PROVISIONAL DE LA CÁMARA DE COMPTOS SOBRE LA CUENTA GENERAL DEL AYUNTAMIENTO DE PAMPLONA DE 2021</w:t>
        </w:r>
        <w:r>
          <w:rPr>
            <w:noProof/>
            <w:webHidden/>
          </w:rPr>
          <w:tab/>
        </w:r>
        <w:r>
          <w:rPr>
            <w:noProof/>
            <w:webHidden/>
          </w:rPr>
          <w:fldChar w:fldCharType="begin"/>
        </w:r>
        <w:r>
          <w:rPr>
            <w:noProof/>
            <w:webHidden/>
          </w:rPr>
          <w:instrText xml:space="preserve"> PAGEREF _Toc129243505 \h </w:instrText>
        </w:r>
        <w:r>
          <w:rPr>
            <w:noProof/>
            <w:webHidden/>
          </w:rPr>
        </w:r>
        <w:r>
          <w:rPr>
            <w:noProof/>
            <w:webHidden/>
          </w:rPr>
          <w:fldChar w:fldCharType="separate"/>
        </w:r>
        <w:r>
          <w:rPr>
            <w:noProof/>
            <w:webHidden/>
          </w:rPr>
          <w:t>73</w:t>
        </w:r>
        <w:r>
          <w:rPr>
            <w:noProof/>
            <w:webHidden/>
          </w:rPr>
          <w:fldChar w:fldCharType="end"/>
        </w:r>
      </w:hyperlink>
    </w:p>
    <w:p w14:paraId="28339D45" w14:textId="3BA3EAC0" w:rsidR="00946026" w:rsidRDefault="00946026">
      <w:pPr>
        <w:pStyle w:val="TDC1"/>
        <w:rPr>
          <w:rFonts w:asciiTheme="minorHAnsi" w:eastAsiaTheme="minorEastAsia" w:hAnsiTheme="minorHAnsi" w:cstheme="minorBidi"/>
          <w:smallCaps w:val="0"/>
          <w:noProof/>
          <w:szCs w:val="22"/>
          <w:lang w:val="es-ES" w:eastAsia="es-ES"/>
        </w:rPr>
      </w:pPr>
      <w:hyperlink w:anchor="_Toc129243506" w:history="1">
        <w:r w:rsidRPr="00313DE7">
          <w:rPr>
            <w:rStyle w:val="Hipervnculo"/>
            <w:noProof/>
          </w:rPr>
          <w:t>Contestación de la Cámara de Comptos a las alegaciones presentadas al Informe Provisional</w:t>
        </w:r>
        <w:r>
          <w:rPr>
            <w:noProof/>
            <w:webHidden/>
          </w:rPr>
          <w:tab/>
        </w:r>
        <w:r>
          <w:rPr>
            <w:noProof/>
            <w:webHidden/>
          </w:rPr>
          <w:fldChar w:fldCharType="begin"/>
        </w:r>
        <w:r>
          <w:rPr>
            <w:noProof/>
            <w:webHidden/>
          </w:rPr>
          <w:instrText xml:space="preserve"> PAGEREF _Toc129243506 \h </w:instrText>
        </w:r>
        <w:r>
          <w:rPr>
            <w:noProof/>
            <w:webHidden/>
          </w:rPr>
        </w:r>
        <w:r>
          <w:rPr>
            <w:noProof/>
            <w:webHidden/>
          </w:rPr>
          <w:fldChar w:fldCharType="separate"/>
        </w:r>
        <w:r>
          <w:rPr>
            <w:noProof/>
            <w:webHidden/>
          </w:rPr>
          <w:t>79</w:t>
        </w:r>
        <w:r>
          <w:rPr>
            <w:noProof/>
            <w:webHidden/>
          </w:rPr>
          <w:fldChar w:fldCharType="end"/>
        </w:r>
      </w:hyperlink>
    </w:p>
    <w:p w14:paraId="5F253AE1" w14:textId="47267A15" w:rsidR="00946026" w:rsidRDefault="00946026">
      <w:pPr>
        <w:pStyle w:val="TDC1"/>
        <w:rPr>
          <w:rFonts w:asciiTheme="minorHAnsi" w:eastAsiaTheme="minorEastAsia" w:hAnsiTheme="minorHAnsi" w:cstheme="minorBidi"/>
          <w:smallCaps w:val="0"/>
          <w:noProof/>
          <w:szCs w:val="22"/>
          <w:lang w:val="es-ES" w:eastAsia="es-ES"/>
        </w:rPr>
      </w:pPr>
      <w:hyperlink w:anchor="_Toc129243507" w:history="1">
        <w:r w:rsidRPr="00313DE7">
          <w:rPr>
            <w:rStyle w:val="Hipervnculo"/>
            <w:noProof/>
          </w:rPr>
          <w:t>Memoria de las cuentas anuales consolidadas del Ayuntamiento de Pamplona, a 31/12/2021</w:t>
        </w:r>
        <w:r>
          <w:rPr>
            <w:noProof/>
            <w:webHidden/>
          </w:rPr>
          <w:tab/>
        </w:r>
        <w:r>
          <w:rPr>
            <w:noProof/>
            <w:webHidden/>
          </w:rPr>
          <w:fldChar w:fldCharType="begin"/>
        </w:r>
        <w:r>
          <w:rPr>
            <w:noProof/>
            <w:webHidden/>
          </w:rPr>
          <w:instrText xml:space="preserve"> PAGEREF _Toc129243507 \h </w:instrText>
        </w:r>
        <w:r>
          <w:rPr>
            <w:noProof/>
            <w:webHidden/>
          </w:rPr>
        </w:r>
        <w:r>
          <w:rPr>
            <w:noProof/>
            <w:webHidden/>
          </w:rPr>
          <w:fldChar w:fldCharType="separate"/>
        </w:r>
        <w:r>
          <w:rPr>
            <w:noProof/>
            <w:webHidden/>
          </w:rPr>
          <w:t>81</w:t>
        </w:r>
        <w:r>
          <w:rPr>
            <w:noProof/>
            <w:webHidden/>
          </w:rPr>
          <w:fldChar w:fldCharType="end"/>
        </w:r>
      </w:hyperlink>
    </w:p>
    <w:p w14:paraId="2AA96794" w14:textId="3250A946" w:rsidR="00F001AB" w:rsidRDefault="0014728F" w:rsidP="003C6E1D">
      <w:pPr>
        <w:pStyle w:val="texto"/>
        <w:sectPr w:rsidR="00F001AB" w:rsidSect="00F513C9">
          <w:headerReference w:type="even" r:id="rId12"/>
          <w:headerReference w:type="default" r:id="rId13"/>
          <w:footerReference w:type="default" r:id="rId14"/>
          <w:pgSz w:w="11907" w:h="16840" w:code="9"/>
          <w:pgMar w:top="2109" w:right="1559" w:bottom="1644" w:left="1559" w:header="369" w:footer="136" w:gutter="0"/>
          <w:cols w:space="720"/>
          <w:docGrid w:linePitch="360"/>
        </w:sectPr>
      </w:pPr>
      <w:r>
        <w:fldChar w:fldCharType="end"/>
      </w:r>
    </w:p>
    <w:p w14:paraId="3FF7584E" w14:textId="77777777" w:rsidR="00807992" w:rsidRPr="00D542B5" w:rsidRDefault="00807992" w:rsidP="00D542B5">
      <w:pPr>
        <w:pStyle w:val="atitulo1"/>
      </w:pPr>
      <w:bookmarkStart w:id="0" w:name="_Toc430935356"/>
      <w:bookmarkStart w:id="1" w:name="_Toc22495429"/>
      <w:bookmarkStart w:id="2" w:name="_Toc55460314"/>
      <w:bookmarkStart w:id="3" w:name="_Toc129243469"/>
      <w:r w:rsidRPr="00D542B5">
        <w:lastRenderedPageBreak/>
        <w:t>Resumen ejecutivo</w:t>
      </w:r>
      <w:bookmarkEnd w:id="3"/>
    </w:p>
    <w:p w14:paraId="0F038361" w14:textId="77777777" w:rsidR="00807992" w:rsidRDefault="00807992" w:rsidP="00807992">
      <w:pPr>
        <w:ind w:firstLine="284"/>
        <w:rPr>
          <w:spacing w:val="6"/>
          <w:sz w:val="26"/>
          <w:szCs w:val="24"/>
        </w:rPr>
      </w:pPr>
      <w:r w:rsidRPr="005C5FA4">
        <w:rPr>
          <w:spacing w:val="6"/>
          <w:sz w:val="26"/>
          <w:szCs w:val="24"/>
        </w:rPr>
        <w:t>La Cámara d</w:t>
      </w:r>
      <w:r>
        <w:rPr>
          <w:spacing w:val="6"/>
          <w:sz w:val="26"/>
          <w:szCs w:val="24"/>
        </w:rPr>
        <w:t>e Comptos ha fiscalizado la Cuenta General del Ayuntamiento de Pamplona correspondiente al ejercicio 2021.</w:t>
      </w:r>
    </w:p>
    <w:p w14:paraId="14D3C7F4" w14:textId="77777777" w:rsidR="00807992" w:rsidRDefault="00807992" w:rsidP="00807992">
      <w:pPr>
        <w:ind w:firstLine="284"/>
        <w:rPr>
          <w:spacing w:val="6"/>
          <w:sz w:val="26"/>
          <w:szCs w:val="24"/>
        </w:rPr>
      </w:pPr>
      <w:r>
        <w:rPr>
          <w:spacing w:val="6"/>
          <w:sz w:val="26"/>
          <w:szCs w:val="24"/>
        </w:rPr>
        <w:t>Las principales conclusiones de nuestro trabajo son las siguientes:</w:t>
      </w:r>
    </w:p>
    <w:p w14:paraId="1BAA9976" w14:textId="77777777" w:rsidR="00477FEC" w:rsidRDefault="00807992" w:rsidP="00F02464">
      <w:pPr>
        <w:pStyle w:val="texto"/>
        <w:numPr>
          <w:ilvl w:val="0"/>
          <w:numId w:val="2"/>
        </w:numPr>
        <w:tabs>
          <w:tab w:val="clear" w:pos="502"/>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477FEC">
        <w:rPr>
          <w:szCs w:val="26"/>
        </w:rPr>
        <w:t xml:space="preserve">La Cuenta General del Ayuntamiento de Pamplona </w:t>
      </w:r>
      <w:r w:rsidRPr="00477FEC">
        <w:rPr>
          <w:rFonts w:cs="Arial"/>
        </w:rPr>
        <w:t xml:space="preserve">refleja fielmente, en sus aspectos significativos, la imagen de su patrimonio, de su situación financiera y de sus resultados económicos y presupuestarios. </w:t>
      </w:r>
    </w:p>
    <w:p w14:paraId="7ACDF1B8" w14:textId="77777777" w:rsidR="00807992" w:rsidRPr="00DD71CB" w:rsidRDefault="00807992" w:rsidP="00F02464">
      <w:pPr>
        <w:pStyle w:val="texto"/>
        <w:numPr>
          <w:ilvl w:val="0"/>
          <w:numId w:val="2"/>
        </w:numPr>
        <w:tabs>
          <w:tab w:val="clear" w:pos="502"/>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9838F0">
        <w:rPr>
          <w:rFonts w:cs="Arial"/>
        </w:rPr>
        <w:t>Las actividades, operaciones presupuestarias y financieras y la información reflejada en la Cuenta General, teniendo en cuenta el alcance del trabajo reali</w:t>
      </w:r>
      <w:r w:rsidRPr="00DD71CB">
        <w:rPr>
          <w:rFonts w:cs="Arial"/>
        </w:rPr>
        <w:t xml:space="preserve">zado, resultan conformes, en todos los aspectos significativos, con la normativa aplicable a la gestión de los fondos públicos. Se reflejan como salvedades el </w:t>
      </w:r>
      <w:r w:rsidR="003D154B" w:rsidRPr="00DD71CB">
        <w:rPr>
          <w:rFonts w:cs="Arial"/>
        </w:rPr>
        <w:t>abono de determinados complementos retributivos que exceden de lo previsto en el marco estatut</w:t>
      </w:r>
      <w:r w:rsidR="002865F9" w:rsidRPr="00DD71CB">
        <w:rPr>
          <w:rFonts w:cs="Arial"/>
        </w:rPr>
        <w:t xml:space="preserve">ario de los empleados públicos </w:t>
      </w:r>
      <w:r w:rsidR="00012340" w:rsidRPr="00DD71CB">
        <w:rPr>
          <w:rFonts w:cs="Arial"/>
        </w:rPr>
        <w:t>y</w:t>
      </w:r>
      <w:r w:rsidR="002216AE" w:rsidRPr="00DD71CB">
        <w:rPr>
          <w:rFonts w:cs="Arial"/>
        </w:rPr>
        <w:t xml:space="preserve"> </w:t>
      </w:r>
      <w:r w:rsidR="00A605E7" w:rsidRPr="00DD71CB">
        <w:rPr>
          <w:rFonts w:cs="Arial"/>
        </w:rPr>
        <w:t xml:space="preserve">la existencia de una </w:t>
      </w:r>
      <w:r w:rsidR="002216AE" w:rsidRPr="00DD71CB">
        <w:rPr>
          <w:rFonts w:cs="Arial"/>
        </w:rPr>
        <w:t xml:space="preserve">salvedad </w:t>
      </w:r>
      <w:r w:rsidR="00A605E7" w:rsidRPr="00DD71CB">
        <w:rPr>
          <w:rFonts w:cs="Arial"/>
        </w:rPr>
        <w:t xml:space="preserve">por limitación al alcance en el Organismo Autónomo Escuelas Infantiles. </w:t>
      </w:r>
    </w:p>
    <w:p w14:paraId="49BF2657" w14:textId="77777777" w:rsidR="00807992" w:rsidRDefault="00807992" w:rsidP="00807992">
      <w:pPr>
        <w:numPr>
          <w:ilvl w:val="0"/>
          <w:numId w:val="2"/>
        </w:numPr>
        <w:tabs>
          <w:tab w:val="clear" w:pos="502"/>
          <w:tab w:val="left" w:pos="480"/>
          <w:tab w:val="num" w:pos="720"/>
          <w:tab w:val="num" w:pos="6597"/>
        </w:tabs>
        <w:ind w:left="0" w:firstLine="289"/>
        <w:rPr>
          <w:spacing w:val="6"/>
          <w:sz w:val="26"/>
          <w:szCs w:val="26"/>
        </w:rPr>
      </w:pPr>
      <w:r w:rsidRPr="009838F0">
        <w:rPr>
          <w:spacing w:val="6"/>
          <w:sz w:val="26"/>
          <w:szCs w:val="26"/>
        </w:rPr>
        <w:t xml:space="preserve">La situación financiera a 31 de diciembre de 2021 es estable y saneada, tal y como reflejan sus principales indicadores económicos y financieros. </w:t>
      </w:r>
      <w:r w:rsidR="009838F0">
        <w:rPr>
          <w:spacing w:val="6"/>
          <w:sz w:val="26"/>
          <w:szCs w:val="26"/>
        </w:rPr>
        <w:t xml:space="preserve"> </w:t>
      </w:r>
    </w:p>
    <w:p w14:paraId="452EB33E" w14:textId="77777777" w:rsidR="009838F0" w:rsidRPr="00F20E58" w:rsidRDefault="009838F0" w:rsidP="00807992">
      <w:pPr>
        <w:numPr>
          <w:ilvl w:val="0"/>
          <w:numId w:val="2"/>
        </w:numPr>
        <w:tabs>
          <w:tab w:val="clear" w:pos="502"/>
          <w:tab w:val="left" w:pos="480"/>
          <w:tab w:val="num" w:pos="720"/>
          <w:tab w:val="num" w:pos="6597"/>
        </w:tabs>
        <w:ind w:left="0" w:firstLine="289"/>
        <w:rPr>
          <w:spacing w:val="6"/>
          <w:sz w:val="26"/>
          <w:szCs w:val="26"/>
        </w:rPr>
      </w:pPr>
      <w:r w:rsidRPr="00F20E58">
        <w:rPr>
          <w:spacing w:val="6"/>
          <w:sz w:val="26"/>
          <w:szCs w:val="26"/>
        </w:rPr>
        <w:t xml:space="preserve">Existe un conflicto colectivo que se ha judicializado en el ámbito de lo social </w:t>
      </w:r>
      <w:r w:rsidR="006D41E9" w:rsidRPr="00F20E58">
        <w:rPr>
          <w:spacing w:val="6"/>
          <w:sz w:val="26"/>
          <w:szCs w:val="26"/>
        </w:rPr>
        <w:t xml:space="preserve">y que concierne a </w:t>
      </w:r>
      <w:r w:rsidRPr="00F20E58">
        <w:rPr>
          <w:spacing w:val="6"/>
          <w:sz w:val="26"/>
          <w:szCs w:val="26"/>
        </w:rPr>
        <w:t xml:space="preserve">la forma de gestión directa aprobada en 2021 del </w:t>
      </w:r>
      <w:r w:rsidR="00826657" w:rsidRPr="00F20E58">
        <w:rPr>
          <w:spacing w:val="6"/>
          <w:sz w:val="26"/>
          <w:szCs w:val="26"/>
        </w:rPr>
        <w:t>servicio de atención d</w:t>
      </w:r>
      <w:r w:rsidRPr="00F20E58">
        <w:rPr>
          <w:spacing w:val="6"/>
          <w:sz w:val="26"/>
          <w:szCs w:val="26"/>
        </w:rPr>
        <w:t xml:space="preserve">omiciliaria con sociedad mercantil de </w:t>
      </w:r>
      <w:r w:rsidR="006D41E9" w:rsidRPr="00F20E58">
        <w:rPr>
          <w:spacing w:val="6"/>
          <w:sz w:val="26"/>
          <w:szCs w:val="26"/>
        </w:rPr>
        <w:t xml:space="preserve">capital íntegramente municipal. El conflicto </w:t>
      </w:r>
      <w:r w:rsidRPr="00F20E58">
        <w:rPr>
          <w:spacing w:val="6"/>
          <w:sz w:val="26"/>
          <w:szCs w:val="26"/>
        </w:rPr>
        <w:t xml:space="preserve">está pendiente de </w:t>
      </w:r>
      <w:r w:rsidR="00F20E58" w:rsidRPr="00F20E58">
        <w:rPr>
          <w:spacing w:val="6"/>
          <w:sz w:val="26"/>
          <w:szCs w:val="26"/>
        </w:rPr>
        <w:t xml:space="preserve">admisión para su </w:t>
      </w:r>
      <w:r w:rsidR="006B38EC" w:rsidRPr="00F20E58">
        <w:rPr>
          <w:spacing w:val="6"/>
          <w:sz w:val="26"/>
          <w:szCs w:val="26"/>
        </w:rPr>
        <w:t xml:space="preserve">resolución </w:t>
      </w:r>
      <w:r w:rsidR="007677FF" w:rsidRPr="00F20E58">
        <w:rPr>
          <w:spacing w:val="6"/>
          <w:sz w:val="26"/>
          <w:szCs w:val="26"/>
        </w:rPr>
        <w:t>por el Tribunal Supremo</w:t>
      </w:r>
      <w:r w:rsidR="006D41E9" w:rsidRPr="00F20E58">
        <w:rPr>
          <w:spacing w:val="6"/>
          <w:sz w:val="26"/>
          <w:szCs w:val="26"/>
        </w:rPr>
        <w:t xml:space="preserve"> y </w:t>
      </w:r>
      <w:r w:rsidR="007677FF" w:rsidRPr="00F20E58">
        <w:rPr>
          <w:spacing w:val="6"/>
          <w:sz w:val="26"/>
          <w:szCs w:val="26"/>
        </w:rPr>
        <w:t xml:space="preserve">puede afectar a la reincorporación de los trabajadores en el ayuntamiento. </w:t>
      </w:r>
    </w:p>
    <w:p w14:paraId="2B9F30FC" w14:textId="77777777" w:rsidR="00807992" w:rsidRPr="009A7955" w:rsidRDefault="00807992" w:rsidP="00807992">
      <w:pPr>
        <w:pStyle w:val="texto"/>
        <w:numPr>
          <w:ilvl w:val="0"/>
          <w:numId w:val="2"/>
        </w:numPr>
        <w:tabs>
          <w:tab w:val="clear" w:pos="502"/>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9A7955">
        <w:rPr>
          <w:rFonts w:cs="Arial"/>
        </w:rPr>
        <w:t xml:space="preserve">En </w:t>
      </w:r>
      <w:r>
        <w:rPr>
          <w:rFonts w:cs="Arial"/>
        </w:rPr>
        <w:t>materia de</w:t>
      </w:r>
      <w:r w:rsidRPr="009A7955">
        <w:rPr>
          <w:rFonts w:cs="Arial"/>
        </w:rPr>
        <w:t xml:space="preserve"> personal destacamos que sigue existiendo unas </w:t>
      </w:r>
      <w:r w:rsidR="000F531F">
        <w:rPr>
          <w:rFonts w:cs="Arial"/>
        </w:rPr>
        <w:t xml:space="preserve">altas </w:t>
      </w:r>
      <w:r w:rsidRPr="009A7955">
        <w:rPr>
          <w:rFonts w:cs="Arial"/>
        </w:rPr>
        <w:t>tasas de temporalidad, principalmente en el ayuntamiento y en el organismo autónomo Escuelas Infantiles.</w:t>
      </w:r>
    </w:p>
    <w:p w14:paraId="1526F6C3" w14:textId="77777777" w:rsidR="00807992" w:rsidRDefault="00807992" w:rsidP="00807992">
      <w:pPr>
        <w:pStyle w:val="texto"/>
        <w:tabs>
          <w:tab w:val="clear" w:pos="2835"/>
          <w:tab w:val="clear" w:pos="3969"/>
          <w:tab w:val="clear" w:pos="5103"/>
          <w:tab w:val="clear" w:pos="6237"/>
          <w:tab w:val="clear" w:pos="7371"/>
        </w:tabs>
        <w:ind w:firstLine="289"/>
      </w:pPr>
      <w:r w:rsidRPr="009A7955">
        <w:rPr>
          <w:rFonts w:cs="Arial"/>
        </w:rPr>
        <w:t xml:space="preserve">Al respecto señalamos que </w:t>
      </w:r>
      <w:r>
        <w:rPr>
          <w:rFonts w:cs="Arial"/>
        </w:rPr>
        <w:t xml:space="preserve">con la entrada en vigor de </w:t>
      </w:r>
      <w:r w:rsidRPr="009A7955">
        <w:rPr>
          <w:rFonts w:cs="Arial"/>
        </w:rPr>
        <w:t xml:space="preserve">la Ley 20/2021, de </w:t>
      </w:r>
      <w:r w:rsidRPr="009A7955">
        <w:t xml:space="preserve">28 de diciembre, </w:t>
      </w:r>
      <w:r>
        <w:t xml:space="preserve">de </w:t>
      </w:r>
      <w:r w:rsidRPr="009A7955">
        <w:t>medidas urgentes para la reducción de la tem</w:t>
      </w:r>
      <w:r>
        <w:t xml:space="preserve">poralidad en el empleo público, tanto el </w:t>
      </w:r>
      <w:r w:rsidRPr="009A7955">
        <w:t xml:space="preserve">ayuntamiento </w:t>
      </w:r>
      <w:r>
        <w:t xml:space="preserve">como </w:t>
      </w:r>
      <w:r w:rsidRPr="009A7955">
        <w:t xml:space="preserve">los dos organismos autónomos </w:t>
      </w:r>
      <w:r>
        <w:t xml:space="preserve">han aprobado </w:t>
      </w:r>
      <w:r w:rsidRPr="009A7955">
        <w:t>en el ejercicio 202</w:t>
      </w:r>
      <w:r>
        <w:t>2 los correspondientes acuerdos</w:t>
      </w:r>
      <w:r w:rsidRPr="006302A3">
        <w:t xml:space="preserve"> </w:t>
      </w:r>
      <w:r>
        <w:t>para dar cumplimiento a la citada ley.</w:t>
      </w:r>
    </w:p>
    <w:p w14:paraId="12D547B2" w14:textId="77777777" w:rsidR="00807992" w:rsidRDefault="00807992" w:rsidP="00807992">
      <w:pPr>
        <w:pStyle w:val="texto"/>
        <w:numPr>
          <w:ilvl w:val="0"/>
          <w:numId w:val="2"/>
        </w:numPr>
        <w:tabs>
          <w:tab w:val="clear" w:pos="502"/>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Pr>
          <w:rFonts w:cs="Arial"/>
        </w:rPr>
        <w:t>Continúa pendiente de aprobación la Ponencia de Valoración Total, tal y como viene recomendando reiteradamente esta Cámara.</w:t>
      </w:r>
    </w:p>
    <w:p w14:paraId="1B2C3BA0" w14:textId="77777777" w:rsidR="004530EA" w:rsidRDefault="004530EA" w:rsidP="004530EA">
      <w:pPr>
        <w:pStyle w:val="texto"/>
        <w:numPr>
          <w:ilvl w:val="0"/>
          <w:numId w:val="2"/>
        </w:numPr>
        <w:tabs>
          <w:tab w:val="clear" w:pos="502"/>
          <w:tab w:val="clear" w:pos="2835"/>
          <w:tab w:val="clear" w:pos="3969"/>
          <w:tab w:val="clear" w:pos="5103"/>
          <w:tab w:val="clear" w:pos="6237"/>
          <w:tab w:val="clear" w:pos="7371"/>
          <w:tab w:val="num" w:pos="300"/>
          <w:tab w:val="num" w:pos="360"/>
          <w:tab w:val="left" w:pos="480"/>
          <w:tab w:val="num" w:pos="600"/>
          <w:tab w:val="num" w:pos="720"/>
          <w:tab w:val="num" w:pos="1320"/>
          <w:tab w:val="num" w:pos="2062"/>
          <w:tab w:val="num" w:pos="4472"/>
        </w:tabs>
        <w:ind w:left="0" w:firstLine="289"/>
        <w:rPr>
          <w:rFonts w:cs="Arial"/>
        </w:rPr>
      </w:pPr>
      <w:r w:rsidRPr="00705AC8">
        <w:rPr>
          <w:rFonts w:cs="Arial"/>
        </w:rPr>
        <w:t xml:space="preserve">El ayuntamiento ha aprobado </w:t>
      </w:r>
      <w:r>
        <w:rPr>
          <w:rFonts w:cs="Arial"/>
        </w:rPr>
        <w:t xml:space="preserve">un </w:t>
      </w:r>
      <w:r w:rsidRPr="00705AC8">
        <w:rPr>
          <w:rFonts w:cs="Arial"/>
        </w:rPr>
        <w:t xml:space="preserve">Plan de Medidas Antifraude como instrumento de control </w:t>
      </w:r>
      <w:r w:rsidRPr="001E44C9">
        <w:t xml:space="preserve">por la participación en la ejecución de las medidas del Plan de Recuperación, Transformación y Resiliencia, </w:t>
      </w:r>
      <w:r w:rsidRPr="00705AC8">
        <w:rPr>
          <w:rFonts w:cs="Arial"/>
        </w:rPr>
        <w:t xml:space="preserve">que le permita garantizar y declarar </w:t>
      </w:r>
      <w:r>
        <w:rPr>
          <w:rFonts w:cs="Arial"/>
        </w:rPr>
        <w:t xml:space="preserve">si </w:t>
      </w:r>
      <w:r w:rsidRPr="00705AC8">
        <w:rPr>
          <w:rFonts w:cs="Arial"/>
        </w:rPr>
        <w:t>l</w:t>
      </w:r>
      <w:r>
        <w:rPr>
          <w:rFonts w:cs="Arial"/>
        </w:rPr>
        <w:t xml:space="preserve">os fondos correspondientes se utilizan </w:t>
      </w:r>
      <w:r w:rsidRPr="00705AC8">
        <w:rPr>
          <w:rFonts w:cs="Arial"/>
        </w:rPr>
        <w:t>de conformidad con las normas aplicables, en particular, en lo que se refiere a la prevención, detección y corrección del fraude, la corrupción y los conflictos de intereses</w:t>
      </w:r>
      <w:r>
        <w:rPr>
          <w:rFonts w:cs="Arial"/>
        </w:rPr>
        <w:t>.</w:t>
      </w:r>
    </w:p>
    <w:p w14:paraId="0AF8394D" w14:textId="77777777" w:rsidR="004530EA" w:rsidRPr="004530EA" w:rsidRDefault="004530EA" w:rsidP="004530EA">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ind w:left="289" w:firstLine="0"/>
        <w:rPr>
          <w:rFonts w:cs="Arial"/>
        </w:rPr>
      </w:pPr>
    </w:p>
    <w:p w14:paraId="6FBB0015" w14:textId="77777777" w:rsidR="00807992" w:rsidRPr="00F513C9" w:rsidRDefault="00807992" w:rsidP="00F513C9">
      <w:pPr>
        <w:pStyle w:val="atitulo1"/>
      </w:pPr>
      <w:bookmarkStart w:id="4" w:name="_Toc118266006"/>
      <w:bookmarkStart w:id="5" w:name="_Toc129243470"/>
      <w:r w:rsidRPr="00F513C9">
        <w:t>I. Introducción</w:t>
      </w:r>
      <w:bookmarkEnd w:id="0"/>
      <w:bookmarkEnd w:id="1"/>
      <w:bookmarkEnd w:id="2"/>
      <w:bookmarkEnd w:id="4"/>
      <w:bookmarkEnd w:id="5"/>
    </w:p>
    <w:p w14:paraId="73FF1FE9" w14:textId="77777777" w:rsidR="00807992" w:rsidRDefault="00807992" w:rsidP="00807992">
      <w:pPr>
        <w:pStyle w:val="texto"/>
      </w:pPr>
      <w:r>
        <w:t>La Cámara d</w:t>
      </w:r>
      <w:r w:rsidRPr="00624779">
        <w:t xml:space="preserve">e Comptos, </w:t>
      </w:r>
      <w:r>
        <w:t>de conformidad con</w:t>
      </w:r>
      <w:r w:rsidRPr="00624779">
        <w:t xml:space="preserve"> su Ley Foral reguladora 19/1984, de 20 de diciembre, y de acuerdo con su programa de actuación para 20</w:t>
      </w:r>
      <w:r>
        <w:t>22</w:t>
      </w:r>
      <w:r w:rsidRPr="00624779">
        <w:t xml:space="preserve">, </w:t>
      </w:r>
      <w:r>
        <w:t>ha fiscalizado la Cuenta General</w:t>
      </w:r>
      <w:r w:rsidRPr="00644C27">
        <w:t xml:space="preserve"> de</w:t>
      </w:r>
      <w:r>
        <w:t>l Ayuntamiento de Pamplona y sus entes dependientes</w:t>
      </w:r>
      <w:r w:rsidRPr="00644C27">
        <w:t xml:space="preserve"> correspondiente al ejercicio 20</w:t>
      </w:r>
      <w:r>
        <w:t xml:space="preserve">21, </w:t>
      </w:r>
      <w:r w:rsidRPr="00644C27">
        <w:t>en combinación con una fiscalización del cumplimiento de legalidad</w:t>
      </w:r>
      <w:r>
        <w:t xml:space="preserve">. </w:t>
      </w:r>
    </w:p>
    <w:p w14:paraId="1D781845" w14:textId="77777777" w:rsidR="00807992" w:rsidRDefault="00807992" w:rsidP="00807992">
      <w:pPr>
        <w:pStyle w:val="texto"/>
      </w:pPr>
      <w:r>
        <w:t>El trabajo de campo lo realizó entre junio y octubre de 2022 un equipo formado por tres</w:t>
      </w:r>
      <w:r w:rsidRPr="00EF31AA">
        <w:t xml:space="preserve"> técnicas de auditoría, dos técnicos de </w:t>
      </w:r>
      <w:r>
        <w:t xml:space="preserve">auditoría, </w:t>
      </w:r>
      <w:r w:rsidRPr="00644C27">
        <w:t>un técnico de grado medio en sistemas informáticos</w:t>
      </w:r>
      <w:r>
        <w:t xml:space="preserve"> y un auditor, con la colaboración de los servicios jurídicos y administrativos de la Cámara.</w:t>
      </w:r>
    </w:p>
    <w:p w14:paraId="2347D4D4" w14:textId="77777777" w:rsidR="00DF0BDD" w:rsidRDefault="00DF0BDD" w:rsidP="00807992">
      <w:pPr>
        <w:pStyle w:val="texto"/>
      </w:pPr>
      <w:r w:rsidRPr="00DF0BDD">
        <w:t>De conformidad con lo previsto en el artículo 11 de la Ley Foral 19/1984, reguladora de la Cámara de Comptos de Navarra, los resultados de este trabajo</w:t>
      </w:r>
      <w:r w:rsidR="00517BA4">
        <w:t xml:space="preserve"> </w:t>
      </w:r>
      <w:r w:rsidRPr="00DF0BDD">
        <w:t xml:space="preserve">se pusieron de manifiesto, con el fin de que formulara alegaciones, </w:t>
      </w:r>
      <w:r>
        <w:t xml:space="preserve">al </w:t>
      </w:r>
      <w:proofErr w:type="gramStart"/>
      <w:r>
        <w:t>Alcalde</w:t>
      </w:r>
      <w:proofErr w:type="gramEnd"/>
      <w:r>
        <w:t xml:space="preserve"> del Ayuntamiento de Pamplona. </w:t>
      </w:r>
      <w:r w:rsidR="00472F6D">
        <w:t>Transcurrido el plazo fijado, se han presentado alegaciones, las cuales se incorporan a este informe junto con la respuesta de esta Cámara.</w:t>
      </w:r>
      <w:r>
        <w:t xml:space="preserve"> </w:t>
      </w:r>
    </w:p>
    <w:p w14:paraId="15BC809E" w14:textId="77777777" w:rsidR="00807992" w:rsidRDefault="00807992" w:rsidP="00807992">
      <w:pPr>
        <w:pStyle w:val="texto"/>
      </w:pPr>
      <w:r w:rsidRPr="005D7232">
        <w:t>Agradecemos al personal de</w:t>
      </w:r>
      <w:r>
        <w:t xml:space="preserve">l ayuntamiento y sus entes dependientes </w:t>
      </w:r>
      <w:r w:rsidRPr="005D7232">
        <w:t>la colaboración prestada en la realización del presente trabajo.</w:t>
      </w:r>
    </w:p>
    <w:p w14:paraId="7B9ED854" w14:textId="77777777" w:rsidR="00807992" w:rsidRPr="00FA6B32" w:rsidRDefault="00807992" w:rsidP="00807992">
      <w:pPr>
        <w:pStyle w:val="texto"/>
      </w:pPr>
      <w:r w:rsidRPr="00FA6B32">
        <w:t>Como consecuencia de las últimas modificaciones en la normativa reguladora de la auditoría de los órganos de control externo, la estructura del presente informe difiere en ciertos aspectos del que emitimos sobre el ejercicio 2020.</w:t>
      </w:r>
    </w:p>
    <w:p w14:paraId="17DE11CB" w14:textId="77777777" w:rsidR="00807992" w:rsidRPr="00644C27" w:rsidRDefault="00807992" w:rsidP="00807992">
      <w:pPr>
        <w:pStyle w:val="texto"/>
      </w:pPr>
      <w:r w:rsidRPr="00FA6B32">
        <w:t>En relación con los importes monetarios del informe, se ha efectuado un redondeo para no mostrar los céntimos. Los datos representan siempre el redondeo de cada valor exacto y no la suma de datos redondeados. Los porcentajes también se calculan sobre los valores exactos y no sobre los redondeos.</w:t>
      </w:r>
    </w:p>
    <w:p w14:paraId="3D5D5537" w14:textId="77777777" w:rsidR="00807992" w:rsidRPr="00CC27CB" w:rsidRDefault="00807992" w:rsidP="00807992">
      <w:pPr>
        <w:ind w:firstLine="284"/>
        <w:rPr>
          <w:spacing w:val="6"/>
          <w:sz w:val="26"/>
          <w:szCs w:val="24"/>
        </w:rPr>
      </w:pPr>
    </w:p>
    <w:p w14:paraId="409AE8DC" w14:textId="77777777" w:rsidR="00807992" w:rsidRPr="00667DFF" w:rsidRDefault="00807992" w:rsidP="00807992">
      <w:pPr>
        <w:ind w:firstLine="284"/>
        <w:rPr>
          <w:spacing w:val="6"/>
          <w:sz w:val="26"/>
          <w:szCs w:val="24"/>
        </w:rPr>
      </w:pPr>
    </w:p>
    <w:p w14:paraId="11E41D83" w14:textId="77777777" w:rsidR="00807992" w:rsidRDefault="00807992" w:rsidP="00807992">
      <w:pPr>
        <w:spacing w:after="0"/>
        <w:ind w:firstLine="0"/>
        <w:jc w:val="left"/>
        <w:rPr>
          <w:rFonts w:ascii="Arial" w:hAnsi="Arial"/>
          <w:b/>
          <w:color w:val="000000"/>
          <w:kern w:val="28"/>
          <w:sz w:val="25"/>
          <w:szCs w:val="26"/>
        </w:rPr>
      </w:pPr>
      <w:bookmarkStart w:id="6" w:name="_Toc22495430"/>
      <w:bookmarkStart w:id="7" w:name="_Toc55460315"/>
      <w:r>
        <w:br w:type="page"/>
      </w:r>
    </w:p>
    <w:p w14:paraId="774CD90B" w14:textId="77777777" w:rsidR="00807992" w:rsidRPr="00807992" w:rsidRDefault="00807992" w:rsidP="00807992">
      <w:pPr>
        <w:pStyle w:val="atitulo1"/>
      </w:pPr>
      <w:bookmarkStart w:id="8" w:name="_Toc22495431"/>
      <w:bookmarkStart w:id="9" w:name="_Toc55460316"/>
      <w:bookmarkStart w:id="10" w:name="_Toc118266007"/>
      <w:bookmarkStart w:id="11" w:name="_Toc430935359"/>
      <w:bookmarkStart w:id="12" w:name="_Toc129243471"/>
      <w:r w:rsidRPr="00807992">
        <w:lastRenderedPageBreak/>
        <w:t>II. Objetivos</w:t>
      </w:r>
      <w:r w:rsidR="006E397F">
        <w:t xml:space="preserve">, </w:t>
      </w:r>
      <w:r w:rsidRPr="00807992">
        <w:t xml:space="preserve">alcance </w:t>
      </w:r>
      <w:r w:rsidR="006E397F">
        <w:t>y limitaciones</w:t>
      </w:r>
      <w:bookmarkEnd w:id="12"/>
      <w:r w:rsidR="006E397F">
        <w:t xml:space="preserve"> </w:t>
      </w:r>
      <w:bookmarkEnd w:id="8"/>
      <w:bookmarkEnd w:id="9"/>
      <w:bookmarkEnd w:id="10"/>
    </w:p>
    <w:p w14:paraId="5A2F6C83" w14:textId="77777777" w:rsidR="00807992" w:rsidRPr="00667DFF" w:rsidRDefault="00807992" w:rsidP="00807992">
      <w:pPr>
        <w:spacing w:after="100"/>
        <w:ind w:firstLine="284"/>
        <w:rPr>
          <w:spacing w:val="6"/>
          <w:sz w:val="26"/>
          <w:szCs w:val="24"/>
        </w:rPr>
      </w:pPr>
      <w:r>
        <w:rPr>
          <w:spacing w:val="6"/>
          <w:sz w:val="26"/>
          <w:szCs w:val="24"/>
        </w:rPr>
        <w:t>El objetivo de nuestro trabajo ha sido emitir una opinión sobre:</w:t>
      </w:r>
    </w:p>
    <w:p w14:paraId="6862BE9F" w14:textId="77777777" w:rsidR="00807992" w:rsidRPr="00667DFF" w:rsidRDefault="00807992" w:rsidP="00807992">
      <w:pPr>
        <w:numPr>
          <w:ilvl w:val="0"/>
          <w:numId w:val="2"/>
        </w:numPr>
        <w:tabs>
          <w:tab w:val="clear" w:pos="502"/>
          <w:tab w:val="left" w:pos="480"/>
          <w:tab w:val="num" w:pos="720"/>
          <w:tab w:val="num" w:pos="6597"/>
        </w:tabs>
        <w:ind w:left="0" w:firstLine="289"/>
        <w:rPr>
          <w:spacing w:val="6"/>
          <w:sz w:val="26"/>
          <w:szCs w:val="26"/>
        </w:rPr>
      </w:pPr>
      <w:r w:rsidRPr="00667DFF">
        <w:rPr>
          <w:spacing w:val="6"/>
          <w:sz w:val="26"/>
          <w:szCs w:val="26"/>
        </w:rPr>
        <w:t xml:space="preserve">Si la </w:t>
      </w:r>
      <w:r w:rsidR="0060744A">
        <w:rPr>
          <w:spacing w:val="6"/>
          <w:sz w:val="26"/>
          <w:szCs w:val="26"/>
        </w:rPr>
        <w:t>c</w:t>
      </w:r>
      <w:r w:rsidRPr="00667DFF">
        <w:rPr>
          <w:spacing w:val="6"/>
          <w:sz w:val="26"/>
          <w:szCs w:val="26"/>
        </w:rPr>
        <w:t xml:space="preserve">uenta </w:t>
      </w:r>
      <w:r w:rsidR="0060744A">
        <w:rPr>
          <w:spacing w:val="6"/>
          <w:sz w:val="26"/>
          <w:szCs w:val="26"/>
        </w:rPr>
        <w:t>g</w:t>
      </w:r>
      <w:r w:rsidRPr="00667DFF">
        <w:rPr>
          <w:spacing w:val="6"/>
          <w:sz w:val="26"/>
          <w:szCs w:val="26"/>
        </w:rPr>
        <w:t xml:space="preserve">eneral expresa, en todos </w:t>
      </w:r>
      <w:r>
        <w:rPr>
          <w:spacing w:val="6"/>
          <w:sz w:val="26"/>
          <w:szCs w:val="26"/>
        </w:rPr>
        <w:t xml:space="preserve">sus </w:t>
      </w:r>
      <w:r w:rsidRPr="00667DFF">
        <w:rPr>
          <w:spacing w:val="6"/>
          <w:sz w:val="26"/>
          <w:szCs w:val="26"/>
        </w:rPr>
        <w:t>aspectos significativos, la imagen fiel del patrimonio, de la situación financiera, de la liquidación del presupuesto y del resultado ec</w:t>
      </w:r>
      <w:r>
        <w:rPr>
          <w:spacing w:val="6"/>
          <w:sz w:val="26"/>
          <w:szCs w:val="26"/>
        </w:rPr>
        <w:t>onómico a 31 de diciembre de 2021</w:t>
      </w:r>
      <w:r w:rsidRPr="00667DFF">
        <w:rPr>
          <w:spacing w:val="6"/>
          <w:sz w:val="26"/>
          <w:szCs w:val="26"/>
        </w:rPr>
        <w:t>, de conformidad con el marco normativo que resulta de aplicación y, en particular, con los principios y criterios contables y presupuestarios contenidos en el mismo.</w:t>
      </w:r>
    </w:p>
    <w:p w14:paraId="2F37BC38" w14:textId="77777777" w:rsidR="00807992" w:rsidRPr="00952D3D" w:rsidRDefault="00807992" w:rsidP="00807992">
      <w:pPr>
        <w:numPr>
          <w:ilvl w:val="0"/>
          <w:numId w:val="2"/>
        </w:numPr>
        <w:tabs>
          <w:tab w:val="clear" w:pos="502"/>
          <w:tab w:val="left" w:pos="480"/>
          <w:tab w:val="num" w:pos="720"/>
          <w:tab w:val="num" w:pos="6597"/>
        </w:tabs>
        <w:ind w:left="0" w:firstLine="289"/>
        <w:rPr>
          <w:spacing w:val="6"/>
          <w:sz w:val="26"/>
          <w:szCs w:val="26"/>
        </w:rPr>
      </w:pPr>
      <w:r w:rsidRPr="00667DFF">
        <w:rPr>
          <w:spacing w:val="6"/>
          <w:sz w:val="26"/>
          <w:szCs w:val="26"/>
        </w:rPr>
        <w:t>Si las actividades, operaciones presupuestarias y financieras realizadas por el ayuntamiento y sus entes depen</w:t>
      </w:r>
      <w:r>
        <w:rPr>
          <w:spacing w:val="6"/>
          <w:sz w:val="26"/>
          <w:szCs w:val="26"/>
        </w:rPr>
        <w:t>dientes durante el ejercicio 2021</w:t>
      </w:r>
      <w:r w:rsidRPr="00667DFF">
        <w:rPr>
          <w:spacing w:val="6"/>
          <w:sz w:val="26"/>
          <w:szCs w:val="26"/>
        </w:rPr>
        <w:t xml:space="preserve"> y la información reflejada en la </w:t>
      </w:r>
      <w:r w:rsidR="0060744A">
        <w:rPr>
          <w:spacing w:val="6"/>
          <w:sz w:val="26"/>
          <w:szCs w:val="26"/>
        </w:rPr>
        <w:t>c</w:t>
      </w:r>
      <w:r w:rsidRPr="00667DFF">
        <w:rPr>
          <w:spacing w:val="6"/>
          <w:sz w:val="26"/>
          <w:szCs w:val="26"/>
        </w:rPr>
        <w:t xml:space="preserve">uenta </w:t>
      </w:r>
      <w:r w:rsidR="0060744A">
        <w:rPr>
          <w:spacing w:val="6"/>
          <w:sz w:val="26"/>
          <w:szCs w:val="26"/>
        </w:rPr>
        <w:t>g</w:t>
      </w:r>
      <w:r w:rsidRPr="00667DFF">
        <w:rPr>
          <w:spacing w:val="6"/>
          <w:sz w:val="26"/>
          <w:szCs w:val="26"/>
        </w:rPr>
        <w:t>eneral resultan conformes, en todos los aspectos significativos, con la normativa aplicable a la gestión de los fondos públicos.</w:t>
      </w:r>
    </w:p>
    <w:p w14:paraId="083C7DC0" w14:textId="77777777" w:rsidR="00807992" w:rsidRDefault="00807992" w:rsidP="00807992">
      <w:pPr>
        <w:ind w:firstLine="284"/>
        <w:rPr>
          <w:spacing w:val="6"/>
          <w:sz w:val="26"/>
          <w:szCs w:val="26"/>
        </w:rPr>
      </w:pPr>
      <w:r>
        <w:rPr>
          <w:spacing w:val="6"/>
          <w:sz w:val="26"/>
          <w:szCs w:val="26"/>
        </w:rPr>
        <w:t>El alcance del trabajo lo ha formado:</w:t>
      </w:r>
    </w:p>
    <w:p w14:paraId="13B0D438" w14:textId="77777777" w:rsidR="00D542B5" w:rsidRPr="00D542B5" w:rsidRDefault="00807992" w:rsidP="00D542B5">
      <w:pPr>
        <w:numPr>
          <w:ilvl w:val="0"/>
          <w:numId w:val="2"/>
        </w:numPr>
        <w:tabs>
          <w:tab w:val="clear" w:pos="502"/>
          <w:tab w:val="left" w:pos="480"/>
          <w:tab w:val="num" w:pos="720"/>
          <w:tab w:val="num" w:pos="6597"/>
        </w:tabs>
        <w:ind w:left="0" w:firstLine="289"/>
        <w:rPr>
          <w:spacing w:val="6"/>
          <w:sz w:val="26"/>
          <w:szCs w:val="26"/>
        </w:rPr>
      </w:pPr>
      <w:r w:rsidRPr="00D542B5">
        <w:rPr>
          <w:spacing w:val="6"/>
          <w:sz w:val="26"/>
          <w:szCs w:val="26"/>
        </w:rPr>
        <w:t xml:space="preserve">La </w:t>
      </w:r>
      <w:r w:rsidR="0060744A" w:rsidRPr="00D542B5">
        <w:rPr>
          <w:spacing w:val="6"/>
          <w:sz w:val="26"/>
          <w:szCs w:val="26"/>
        </w:rPr>
        <w:t>c</w:t>
      </w:r>
      <w:r w:rsidRPr="00D542B5">
        <w:rPr>
          <w:spacing w:val="6"/>
          <w:sz w:val="26"/>
          <w:szCs w:val="26"/>
        </w:rPr>
        <w:t xml:space="preserve">uenta </w:t>
      </w:r>
      <w:r w:rsidR="0060744A" w:rsidRPr="00D542B5">
        <w:rPr>
          <w:spacing w:val="6"/>
          <w:sz w:val="26"/>
          <w:szCs w:val="26"/>
        </w:rPr>
        <w:t>g</w:t>
      </w:r>
      <w:r w:rsidRPr="00D542B5">
        <w:rPr>
          <w:spacing w:val="6"/>
          <w:sz w:val="26"/>
          <w:szCs w:val="26"/>
        </w:rPr>
        <w:t>eneral del ejercicio 2021 con el contenido previsto en el Decreto Foral 272/1998</w:t>
      </w:r>
      <w:r w:rsidR="00D542B5" w:rsidRPr="00D542B5">
        <w:rPr>
          <w:spacing w:val="6"/>
          <w:sz w:val="26"/>
          <w:szCs w:val="26"/>
        </w:rPr>
        <w:t xml:space="preserve">: </w:t>
      </w:r>
    </w:p>
    <w:p w14:paraId="01CA14EE" w14:textId="77777777" w:rsidR="00D542B5" w:rsidRPr="00F97368" w:rsidRDefault="00D542B5" w:rsidP="00D542B5">
      <w:pPr>
        <w:numPr>
          <w:ilvl w:val="0"/>
          <w:numId w:val="40"/>
        </w:numPr>
        <w:tabs>
          <w:tab w:val="num" w:pos="600"/>
          <w:tab w:val="num" w:pos="720"/>
          <w:tab w:val="num" w:pos="1320"/>
        </w:tabs>
        <w:spacing w:after="120"/>
        <w:rPr>
          <w:sz w:val="26"/>
          <w:szCs w:val="26"/>
          <w:lang w:val="es-ES" w:eastAsia="es-ES"/>
        </w:rPr>
      </w:pPr>
      <w:r w:rsidRPr="00F97368">
        <w:rPr>
          <w:sz w:val="26"/>
          <w:szCs w:val="26"/>
          <w:lang w:val="es-ES" w:eastAsia="es-ES"/>
        </w:rPr>
        <w:t>C</w:t>
      </w:r>
      <w:r>
        <w:rPr>
          <w:sz w:val="26"/>
          <w:szCs w:val="26"/>
          <w:lang w:val="es-ES" w:eastAsia="es-ES"/>
        </w:rPr>
        <w:t xml:space="preserve">uenta del </w:t>
      </w:r>
      <w:proofErr w:type="gramStart"/>
      <w:r>
        <w:rPr>
          <w:sz w:val="26"/>
          <w:szCs w:val="26"/>
          <w:lang w:val="es-ES" w:eastAsia="es-ES"/>
        </w:rPr>
        <w:t>Ayuntamiento</w:t>
      </w:r>
      <w:proofErr w:type="gramEnd"/>
      <w:r>
        <w:rPr>
          <w:sz w:val="26"/>
          <w:szCs w:val="26"/>
          <w:lang w:val="es-ES" w:eastAsia="es-ES"/>
        </w:rPr>
        <w:t xml:space="preserve"> </w:t>
      </w:r>
      <w:r w:rsidRPr="00F97368">
        <w:rPr>
          <w:sz w:val="26"/>
          <w:szCs w:val="26"/>
          <w:lang w:val="es-ES" w:eastAsia="es-ES"/>
        </w:rPr>
        <w:t>así como la de sus Organismos Autónomos.</w:t>
      </w:r>
    </w:p>
    <w:p w14:paraId="4091A4DC" w14:textId="77777777" w:rsidR="00D542B5" w:rsidRPr="00F841C0" w:rsidRDefault="00D542B5" w:rsidP="00D542B5">
      <w:pPr>
        <w:tabs>
          <w:tab w:val="center" w:pos="2835"/>
          <w:tab w:val="center" w:pos="3969"/>
          <w:tab w:val="center" w:pos="5103"/>
          <w:tab w:val="center" w:pos="6237"/>
          <w:tab w:val="center" w:pos="7371"/>
        </w:tabs>
        <w:spacing w:before="140"/>
        <w:ind w:firstLine="284"/>
        <w:rPr>
          <w:sz w:val="26"/>
          <w:szCs w:val="26"/>
          <w:lang w:val="es-ES" w:eastAsia="es-ES"/>
        </w:rPr>
      </w:pPr>
      <w:r>
        <w:rPr>
          <w:sz w:val="26"/>
          <w:szCs w:val="26"/>
          <w:lang w:val="es-ES" w:eastAsia="es-ES"/>
        </w:rPr>
        <w:t xml:space="preserve">a) </w:t>
      </w:r>
      <w:r w:rsidRPr="00F841C0">
        <w:rPr>
          <w:sz w:val="26"/>
          <w:szCs w:val="26"/>
          <w:lang w:val="es-ES" w:eastAsia="es-ES"/>
        </w:rPr>
        <w:t>Expediente de liquidación del presupuesto</w:t>
      </w:r>
    </w:p>
    <w:p w14:paraId="2E6E60D2" w14:textId="77777777" w:rsidR="00D542B5" w:rsidRPr="00F841C0" w:rsidRDefault="00D542B5" w:rsidP="00D542B5">
      <w:pPr>
        <w:tabs>
          <w:tab w:val="center" w:pos="2835"/>
          <w:tab w:val="center" w:pos="3969"/>
          <w:tab w:val="center" w:pos="5103"/>
          <w:tab w:val="center" w:pos="6237"/>
          <w:tab w:val="center" w:pos="7371"/>
        </w:tabs>
        <w:spacing w:before="140"/>
        <w:ind w:firstLine="284"/>
        <w:rPr>
          <w:sz w:val="26"/>
          <w:szCs w:val="26"/>
          <w:lang w:val="es-ES" w:eastAsia="es-ES"/>
        </w:rPr>
      </w:pPr>
      <w:r>
        <w:rPr>
          <w:sz w:val="26"/>
          <w:szCs w:val="26"/>
          <w:lang w:val="es-ES" w:eastAsia="es-ES"/>
        </w:rPr>
        <w:t xml:space="preserve">b) </w:t>
      </w:r>
      <w:r w:rsidRPr="00F841C0">
        <w:rPr>
          <w:sz w:val="26"/>
          <w:szCs w:val="26"/>
          <w:lang w:val="es-ES" w:eastAsia="es-ES"/>
        </w:rPr>
        <w:t>Expediente de situación económico-patrimonial y financiera, formado por el balance de situación y cuenta de pérdidas y ganancias.</w:t>
      </w:r>
    </w:p>
    <w:p w14:paraId="5B851B0C" w14:textId="77777777" w:rsidR="00D542B5" w:rsidRPr="00F841C0" w:rsidRDefault="00D542B5" w:rsidP="00D542B5">
      <w:pPr>
        <w:tabs>
          <w:tab w:val="center" w:pos="2835"/>
          <w:tab w:val="center" w:pos="3969"/>
          <w:tab w:val="center" w:pos="5103"/>
          <w:tab w:val="center" w:pos="6237"/>
          <w:tab w:val="center" w:pos="7371"/>
        </w:tabs>
        <w:spacing w:before="140" w:after="240"/>
        <w:ind w:firstLine="284"/>
        <w:rPr>
          <w:sz w:val="26"/>
          <w:szCs w:val="26"/>
          <w:lang w:val="es-ES" w:eastAsia="es-ES"/>
        </w:rPr>
      </w:pPr>
      <w:r>
        <w:rPr>
          <w:sz w:val="26"/>
          <w:szCs w:val="26"/>
          <w:lang w:val="es-ES" w:eastAsia="es-ES"/>
        </w:rPr>
        <w:t xml:space="preserve">c) </w:t>
      </w:r>
      <w:r w:rsidRPr="00F841C0">
        <w:rPr>
          <w:sz w:val="26"/>
          <w:szCs w:val="26"/>
          <w:lang w:val="es-ES" w:eastAsia="es-ES"/>
        </w:rPr>
        <w:t>Anexos: estado de tesorería, estado de compromisos de gastos e ingresos futuros, estado de situación y movimientos de valores y memoria de los costes de los servicios financiados con tasas y precios públicos</w:t>
      </w:r>
      <w:r>
        <w:rPr>
          <w:sz w:val="26"/>
          <w:szCs w:val="26"/>
          <w:lang w:val="es-ES" w:eastAsia="es-ES"/>
        </w:rPr>
        <w:t>.</w:t>
      </w:r>
    </w:p>
    <w:p w14:paraId="1C6B957F" w14:textId="77777777" w:rsidR="00D542B5" w:rsidRPr="00F97368" w:rsidRDefault="00D542B5" w:rsidP="00D542B5">
      <w:pPr>
        <w:numPr>
          <w:ilvl w:val="0"/>
          <w:numId w:val="41"/>
        </w:numPr>
        <w:tabs>
          <w:tab w:val="num" w:pos="600"/>
          <w:tab w:val="num" w:pos="720"/>
          <w:tab w:val="num" w:pos="1320"/>
        </w:tabs>
        <w:spacing w:after="120"/>
        <w:rPr>
          <w:sz w:val="26"/>
          <w:szCs w:val="26"/>
          <w:lang w:val="es-ES" w:eastAsia="es-ES"/>
        </w:rPr>
      </w:pPr>
      <w:r w:rsidRPr="00F841C0">
        <w:rPr>
          <w:rFonts w:cstheme="minorHAnsi"/>
          <w:iCs/>
          <w:spacing w:val="6"/>
          <w:sz w:val="26"/>
          <w:szCs w:val="24"/>
        </w:rPr>
        <w:t>Cuentas</w:t>
      </w:r>
      <w:r w:rsidRPr="00F97368">
        <w:rPr>
          <w:sz w:val="26"/>
          <w:szCs w:val="26"/>
          <w:lang w:val="es-ES" w:eastAsia="es-ES"/>
        </w:rPr>
        <w:t xml:space="preserve"> de las Sociedades Mercantiles de capital ínt</w:t>
      </w:r>
      <w:r w:rsidR="00792974">
        <w:rPr>
          <w:sz w:val="26"/>
          <w:szCs w:val="26"/>
          <w:lang w:val="es-ES" w:eastAsia="es-ES"/>
        </w:rPr>
        <w:t xml:space="preserve">egramente propiedad del ayuntamiento. </w:t>
      </w:r>
    </w:p>
    <w:p w14:paraId="6652DF75" w14:textId="77777777" w:rsidR="00D542B5" w:rsidRPr="00F97368" w:rsidRDefault="00D542B5" w:rsidP="00D542B5">
      <w:pPr>
        <w:numPr>
          <w:ilvl w:val="0"/>
          <w:numId w:val="41"/>
        </w:numPr>
        <w:tabs>
          <w:tab w:val="num" w:pos="600"/>
          <w:tab w:val="num" w:pos="720"/>
          <w:tab w:val="num" w:pos="1320"/>
        </w:tabs>
        <w:spacing w:after="120"/>
        <w:rPr>
          <w:sz w:val="26"/>
          <w:szCs w:val="26"/>
          <w:lang w:val="es-ES" w:eastAsia="es-ES"/>
        </w:rPr>
      </w:pPr>
      <w:r w:rsidRPr="0037083A">
        <w:rPr>
          <w:rFonts w:cstheme="minorHAnsi"/>
          <w:iCs/>
          <w:spacing w:val="6"/>
          <w:sz w:val="26"/>
          <w:szCs w:val="24"/>
        </w:rPr>
        <w:t>Los</w:t>
      </w:r>
      <w:r w:rsidRPr="0037083A">
        <w:rPr>
          <w:sz w:val="26"/>
          <w:szCs w:val="26"/>
          <w:lang w:val="es-ES" w:eastAsia="es-ES"/>
        </w:rPr>
        <w:t xml:space="preserve"> a</w:t>
      </w:r>
      <w:r w:rsidRPr="00F841C0">
        <w:rPr>
          <w:sz w:val="26"/>
          <w:szCs w:val="26"/>
          <w:lang w:val="es-ES" w:eastAsia="es-ES"/>
        </w:rPr>
        <w:t xml:space="preserve">nexos </w:t>
      </w:r>
      <w:r w:rsidRPr="00F97368">
        <w:rPr>
          <w:sz w:val="26"/>
          <w:szCs w:val="26"/>
          <w:lang w:val="es-ES" w:eastAsia="es-ES"/>
        </w:rPr>
        <w:t xml:space="preserve">a la </w:t>
      </w:r>
      <w:r>
        <w:rPr>
          <w:sz w:val="26"/>
          <w:szCs w:val="26"/>
          <w:lang w:val="es-ES" w:eastAsia="es-ES"/>
        </w:rPr>
        <w:t>c</w:t>
      </w:r>
      <w:r w:rsidRPr="00F97368">
        <w:rPr>
          <w:sz w:val="26"/>
          <w:szCs w:val="26"/>
          <w:lang w:val="es-ES" w:eastAsia="es-ES"/>
        </w:rPr>
        <w:t xml:space="preserve">uenta </w:t>
      </w:r>
      <w:r>
        <w:rPr>
          <w:sz w:val="26"/>
          <w:szCs w:val="26"/>
          <w:lang w:val="es-ES" w:eastAsia="es-ES"/>
        </w:rPr>
        <w:t>g</w:t>
      </w:r>
      <w:r w:rsidRPr="00F97368">
        <w:rPr>
          <w:sz w:val="26"/>
          <w:szCs w:val="26"/>
          <w:lang w:val="es-ES" w:eastAsia="es-ES"/>
        </w:rPr>
        <w:t>eneral.</w:t>
      </w:r>
    </w:p>
    <w:p w14:paraId="14537FCC" w14:textId="77777777" w:rsidR="00D542B5" w:rsidRPr="005800E7" w:rsidRDefault="00D542B5" w:rsidP="005800E7">
      <w:pPr>
        <w:pStyle w:val="Prrafodelista"/>
        <w:numPr>
          <w:ilvl w:val="0"/>
          <w:numId w:val="44"/>
        </w:numPr>
        <w:tabs>
          <w:tab w:val="center" w:pos="2835"/>
          <w:tab w:val="center" w:pos="3969"/>
          <w:tab w:val="center" w:pos="5103"/>
          <w:tab w:val="center" w:pos="6237"/>
          <w:tab w:val="center" w:pos="7371"/>
        </w:tabs>
        <w:spacing w:before="140"/>
        <w:rPr>
          <w:sz w:val="26"/>
          <w:szCs w:val="26"/>
          <w:lang w:val="es-ES" w:eastAsia="es-ES"/>
        </w:rPr>
      </w:pPr>
      <w:bookmarkStart w:id="13" w:name="Regla_392."/>
      <w:bookmarkEnd w:id="13"/>
      <w:r w:rsidRPr="005800E7">
        <w:rPr>
          <w:sz w:val="26"/>
          <w:szCs w:val="26"/>
          <w:lang w:val="es-ES" w:eastAsia="es-ES"/>
        </w:rPr>
        <w:t xml:space="preserve">Memoria suscrita por el </w:t>
      </w:r>
      <w:proofErr w:type="gramStart"/>
      <w:r w:rsidRPr="005800E7">
        <w:rPr>
          <w:sz w:val="26"/>
          <w:szCs w:val="26"/>
          <w:lang w:val="es-ES" w:eastAsia="es-ES"/>
        </w:rPr>
        <w:t>Presidente</w:t>
      </w:r>
      <w:proofErr w:type="gramEnd"/>
      <w:r w:rsidRPr="005800E7">
        <w:rPr>
          <w:sz w:val="26"/>
          <w:szCs w:val="26"/>
          <w:lang w:val="es-ES" w:eastAsia="es-ES"/>
        </w:rPr>
        <w:t xml:space="preserve"> relativa al contenido de la cuenta general.</w:t>
      </w:r>
    </w:p>
    <w:p w14:paraId="625A64FD" w14:textId="77777777" w:rsidR="00D542B5" w:rsidRPr="00D542B5" w:rsidRDefault="005800E7" w:rsidP="005800E7">
      <w:pPr>
        <w:tabs>
          <w:tab w:val="center" w:pos="2835"/>
          <w:tab w:val="center" w:pos="3969"/>
          <w:tab w:val="center" w:pos="5103"/>
          <w:tab w:val="center" w:pos="6237"/>
          <w:tab w:val="center" w:pos="7371"/>
        </w:tabs>
        <w:spacing w:before="140"/>
        <w:ind w:firstLine="284"/>
        <w:rPr>
          <w:sz w:val="26"/>
          <w:szCs w:val="26"/>
          <w:lang w:val="es-ES" w:eastAsia="es-ES"/>
        </w:rPr>
      </w:pPr>
      <w:r>
        <w:rPr>
          <w:sz w:val="26"/>
          <w:szCs w:val="26"/>
          <w:lang w:val="es-ES" w:eastAsia="es-ES"/>
        </w:rPr>
        <w:t xml:space="preserve">b) </w:t>
      </w:r>
      <w:r w:rsidR="00D542B5" w:rsidRPr="00D542B5">
        <w:rPr>
          <w:sz w:val="26"/>
          <w:szCs w:val="26"/>
          <w:lang w:val="es-ES" w:eastAsia="es-ES"/>
        </w:rPr>
        <w:t>Cuenta consolidada del conjunto de entidades contables.</w:t>
      </w:r>
    </w:p>
    <w:p w14:paraId="40E11A5F" w14:textId="77777777" w:rsidR="00D542B5" w:rsidRPr="005800E7" w:rsidRDefault="005800E7" w:rsidP="005800E7">
      <w:pPr>
        <w:pStyle w:val="Prrafodelista"/>
        <w:numPr>
          <w:ilvl w:val="0"/>
          <w:numId w:val="45"/>
        </w:numPr>
        <w:tabs>
          <w:tab w:val="center" w:pos="2835"/>
          <w:tab w:val="center" w:pos="3969"/>
          <w:tab w:val="center" w:pos="5103"/>
          <w:tab w:val="center" w:pos="6237"/>
          <w:tab w:val="center" w:pos="7371"/>
        </w:tabs>
        <w:spacing w:before="140"/>
        <w:rPr>
          <w:sz w:val="26"/>
          <w:szCs w:val="26"/>
          <w:lang w:val="es-ES" w:eastAsia="es-ES"/>
        </w:rPr>
      </w:pPr>
      <w:r>
        <w:rPr>
          <w:sz w:val="26"/>
          <w:szCs w:val="26"/>
          <w:lang w:val="es-ES" w:eastAsia="es-ES"/>
        </w:rPr>
        <w:t>E</w:t>
      </w:r>
      <w:r w:rsidR="00D542B5" w:rsidRPr="005800E7">
        <w:rPr>
          <w:sz w:val="26"/>
          <w:szCs w:val="26"/>
          <w:lang w:val="es-ES" w:eastAsia="es-ES"/>
        </w:rPr>
        <w:t>stado de la deuda.</w:t>
      </w:r>
    </w:p>
    <w:p w14:paraId="16BD8DE6" w14:textId="77777777" w:rsidR="00D542B5" w:rsidRPr="00D542B5" w:rsidRDefault="005800E7" w:rsidP="005800E7">
      <w:pPr>
        <w:tabs>
          <w:tab w:val="center" w:pos="2835"/>
          <w:tab w:val="center" w:pos="3969"/>
          <w:tab w:val="center" w:pos="5103"/>
          <w:tab w:val="center" w:pos="6237"/>
          <w:tab w:val="center" w:pos="7371"/>
        </w:tabs>
        <w:spacing w:before="140"/>
        <w:ind w:firstLine="284"/>
        <w:rPr>
          <w:sz w:val="26"/>
          <w:szCs w:val="26"/>
          <w:lang w:val="es-ES" w:eastAsia="es-ES"/>
        </w:rPr>
      </w:pPr>
      <w:r>
        <w:rPr>
          <w:sz w:val="26"/>
          <w:szCs w:val="26"/>
          <w:lang w:val="es-ES" w:eastAsia="es-ES"/>
        </w:rPr>
        <w:t xml:space="preserve">d) </w:t>
      </w:r>
      <w:r w:rsidR="00D542B5" w:rsidRPr="00D542B5">
        <w:rPr>
          <w:sz w:val="26"/>
          <w:szCs w:val="26"/>
          <w:lang w:val="es-ES" w:eastAsia="es-ES"/>
        </w:rPr>
        <w:t>Las cuentas anuales que señale la legislación vigente respecto de las Sociedades Mercantiles participadas mayoritariamente por la entidad local.</w:t>
      </w:r>
    </w:p>
    <w:p w14:paraId="00F96CCD" w14:textId="77777777" w:rsidR="00D542B5" w:rsidRPr="00D542B5" w:rsidRDefault="005800E7" w:rsidP="005800E7">
      <w:pPr>
        <w:tabs>
          <w:tab w:val="center" w:pos="2835"/>
          <w:tab w:val="center" w:pos="3969"/>
          <w:tab w:val="center" w:pos="5103"/>
          <w:tab w:val="center" w:pos="6237"/>
          <w:tab w:val="center" w:pos="7371"/>
        </w:tabs>
        <w:spacing w:before="140"/>
        <w:ind w:firstLine="284"/>
        <w:rPr>
          <w:sz w:val="26"/>
          <w:szCs w:val="26"/>
          <w:lang w:val="es-ES" w:eastAsia="es-ES"/>
        </w:rPr>
      </w:pPr>
      <w:r>
        <w:rPr>
          <w:sz w:val="26"/>
          <w:szCs w:val="26"/>
          <w:lang w:val="es-ES" w:eastAsia="es-ES"/>
        </w:rPr>
        <w:t xml:space="preserve">e) </w:t>
      </w:r>
      <w:r w:rsidR="00D542B5" w:rsidRPr="00D542B5">
        <w:rPr>
          <w:sz w:val="26"/>
          <w:szCs w:val="26"/>
          <w:lang w:val="es-ES" w:eastAsia="es-ES"/>
        </w:rPr>
        <w:t>Informe de intervención en el que se comenten los aspectos más significativos de la cuenta general que se presenta y se analice, además, el endeudamiento y la evolución de los planes cuatrienales de inversiones, en su caso.</w:t>
      </w:r>
    </w:p>
    <w:p w14:paraId="7BCFA972" w14:textId="77777777" w:rsidR="00D542B5" w:rsidRDefault="00D542B5" w:rsidP="00D542B5">
      <w:pPr>
        <w:tabs>
          <w:tab w:val="left" w:pos="480"/>
          <w:tab w:val="num" w:pos="6597"/>
        </w:tabs>
        <w:rPr>
          <w:spacing w:val="6"/>
          <w:sz w:val="26"/>
          <w:szCs w:val="26"/>
        </w:rPr>
      </w:pPr>
    </w:p>
    <w:p w14:paraId="68A4645D" w14:textId="77777777" w:rsidR="00D542B5" w:rsidRDefault="00D542B5" w:rsidP="00D542B5">
      <w:pPr>
        <w:tabs>
          <w:tab w:val="left" w:pos="480"/>
          <w:tab w:val="num" w:pos="6597"/>
        </w:tabs>
        <w:rPr>
          <w:spacing w:val="6"/>
          <w:sz w:val="26"/>
          <w:szCs w:val="26"/>
        </w:rPr>
      </w:pPr>
    </w:p>
    <w:p w14:paraId="05AB2306" w14:textId="77777777" w:rsidR="00807992" w:rsidRDefault="00807992" w:rsidP="00807992">
      <w:pPr>
        <w:numPr>
          <w:ilvl w:val="0"/>
          <w:numId w:val="2"/>
        </w:numPr>
        <w:tabs>
          <w:tab w:val="clear" w:pos="502"/>
          <w:tab w:val="left" w:pos="480"/>
          <w:tab w:val="num" w:pos="720"/>
          <w:tab w:val="num" w:pos="6597"/>
        </w:tabs>
        <w:ind w:left="0" w:firstLine="289"/>
        <w:rPr>
          <w:spacing w:val="6"/>
          <w:sz w:val="26"/>
          <w:szCs w:val="26"/>
        </w:rPr>
      </w:pPr>
      <w:r>
        <w:rPr>
          <w:spacing w:val="6"/>
          <w:sz w:val="26"/>
          <w:szCs w:val="26"/>
        </w:rPr>
        <w:lastRenderedPageBreak/>
        <w:t>Las operaciones relacionadas con las muestras indicadas en el Apéndice 5</w:t>
      </w:r>
    </w:p>
    <w:p w14:paraId="116B4B7D" w14:textId="77777777" w:rsidR="00807992" w:rsidRPr="00667DFF" w:rsidRDefault="00807992" w:rsidP="00807992">
      <w:pPr>
        <w:ind w:firstLine="284"/>
        <w:rPr>
          <w:spacing w:val="6"/>
          <w:sz w:val="26"/>
          <w:szCs w:val="26"/>
        </w:rPr>
      </w:pPr>
      <w:r w:rsidRPr="00667DFF">
        <w:rPr>
          <w:spacing w:val="6"/>
          <w:sz w:val="26"/>
          <w:szCs w:val="26"/>
        </w:rPr>
        <w:t xml:space="preserve">También se han </w:t>
      </w:r>
      <w:r>
        <w:rPr>
          <w:spacing w:val="6"/>
          <w:sz w:val="26"/>
          <w:szCs w:val="26"/>
        </w:rPr>
        <w:t xml:space="preserve">considerado </w:t>
      </w:r>
      <w:r w:rsidRPr="00667DFF">
        <w:rPr>
          <w:spacing w:val="6"/>
          <w:sz w:val="26"/>
          <w:szCs w:val="26"/>
        </w:rPr>
        <w:t xml:space="preserve">las auditorías realizadas por profesionales externos en los </w:t>
      </w:r>
      <w:r>
        <w:rPr>
          <w:spacing w:val="6"/>
          <w:sz w:val="26"/>
          <w:szCs w:val="26"/>
        </w:rPr>
        <w:t xml:space="preserve">organismos autónomos (en adelante OOAA), </w:t>
      </w:r>
      <w:r w:rsidRPr="00667DFF">
        <w:rPr>
          <w:spacing w:val="6"/>
          <w:sz w:val="26"/>
          <w:szCs w:val="26"/>
        </w:rPr>
        <w:t>en</w:t>
      </w:r>
      <w:r>
        <w:rPr>
          <w:spacing w:val="6"/>
          <w:sz w:val="26"/>
          <w:szCs w:val="26"/>
        </w:rPr>
        <w:t xml:space="preserve"> las empresas públicas y en la F</w:t>
      </w:r>
      <w:r w:rsidRPr="00667DFF">
        <w:rPr>
          <w:spacing w:val="6"/>
          <w:sz w:val="26"/>
          <w:szCs w:val="26"/>
        </w:rPr>
        <w:t>undación municipal Teatro Gayarre.</w:t>
      </w:r>
    </w:p>
    <w:p w14:paraId="5C3BB7A0" w14:textId="77777777" w:rsidR="00807992" w:rsidRDefault="00807992" w:rsidP="00807992">
      <w:pPr>
        <w:tabs>
          <w:tab w:val="center" w:pos="2835"/>
          <w:tab w:val="center" w:pos="3969"/>
          <w:tab w:val="center" w:pos="5103"/>
          <w:tab w:val="center" w:pos="6237"/>
          <w:tab w:val="center" w:pos="7371"/>
        </w:tabs>
        <w:ind w:firstLine="284"/>
        <w:rPr>
          <w:spacing w:val="6"/>
          <w:sz w:val="26"/>
          <w:szCs w:val="26"/>
        </w:rPr>
      </w:pPr>
      <w:bookmarkStart w:id="14" w:name="_Toc22495432"/>
      <w:r w:rsidRPr="00667DFF">
        <w:rPr>
          <w:spacing w:val="6"/>
          <w:sz w:val="26"/>
          <w:szCs w:val="26"/>
        </w:rPr>
        <w:t>El alcance temporal de la fiscaliza</w:t>
      </w:r>
      <w:r>
        <w:rPr>
          <w:spacing w:val="6"/>
          <w:sz w:val="26"/>
          <w:szCs w:val="26"/>
        </w:rPr>
        <w:t>ción se refiere al ejercicio 2021</w:t>
      </w:r>
      <w:r w:rsidRPr="00667DFF">
        <w:rPr>
          <w:spacing w:val="6"/>
          <w:sz w:val="26"/>
          <w:szCs w:val="26"/>
        </w:rPr>
        <w:t>, si bien se han efectuado aquellas comprobaciones necesarias sobre otros ejercicios para una mejor consecución de los objetivos establecidos.</w:t>
      </w:r>
    </w:p>
    <w:p w14:paraId="7A005E52" w14:textId="77777777" w:rsidR="006E397F" w:rsidRDefault="006E397F" w:rsidP="006E397F">
      <w:pPr>
        <w:tabs>
          <w:tab w:val="center" w:pos="2835"/>
          <w:tab w:val="center" w:pos="3969"/>
          <w:tab w:val="center" w:pos="5103"/>
          <w:tab w:val="center" w:pos="6237"/>
          <w:tab w:val="center" w:pos="7371"/>
        </w:tabs>
        <w:ind w:firstLine="284"/>
        <w:rPr>
          <w:spacing w:val="6"/>
          <w:sz w:val="26"/>
          <w:szCs w:val="24"/>
        </w:rPr>
      </w:pPr>
      <w:r w:rsidRPr="006E397F">
        <w:rPr>
          <w:spacing w:val="6"/>
          <w:sz w:val="26"/>
          <w:szCs w:val="26"/>
        </w:rPr>
        <w:t>Nuestro trabajo se ha visto limitado por e</w:t>
      </w:r>
      <w:r>
        <w:rPr>
          <w:spacing w:val="6"/>
          <w:sz w:val="26"/>
          <w:szCs w:val="26"/>
        </w:rPr>
        <w:t xml:space="preserve">l siguiente hecho: </w:t>
      </w:r>
      <w:r>
        <w:rPr>
          <w:spacing w:val="6"/>
          <w:sz w:val="26"/>
          <w:szCs w:val="24"/>
        </w:rPr>
        <w:t>e</w:t>
      </w:r>
      <w:r w:rsidRPr="00012340">
        <w:rPr>
          <w:spacing w:val="6"/>
          <w:sz w:val="26"/>
          <w:szCs w:val="24"/>
        </w:rPr>
        <w:t xml:space="preserve">l sistema de gestión de personal que el </w:t>
      </w:r>
      <w:r>
        <w:rPr>
          <w:spacing w:val="6"/>
          <w:sz w:val="26"/>
          <w:szCs w:val="24"/>
        </w:rPr>
        <w:t>O</w:t>
      </w:r>
      <w:r w:rsidRPr="00012340">
        <w:rPr>
          <w:spacing w:val="6"/>
          <w:sz w:val="26"/>
          <w:szCs w:val="24"/>
        </w:rPr>
        <w:t xml:space="preserve">rganismo </w:t>
      </w:r>
      <w:r>
        <w:rPr>
          <w:spacing w:val="6"/>
          <w:sz w:val="26"/>
          <w:szCs w:val="24"/>
        </w:rPr>
        <w:t xml:space="preserve">Autónomo Escuelas Infantiles </w:t>
      </w:r>
      <w:r w:rsidRPr="00012340">
        <w:rPr>
          <w:spacing w:val="6"/>
          <w:sz w:val="26"/>
          <w:szCs w:val="24"/>
        </w:rPr>
        <w:t>utiliza</w:t>
      </w:r>
      <w:r>
        <w:rPr>
          <w:spacing w:val="6"/>
          <w:sz w:val="26"/>
          <w:szCs w:val="24"/>
        </w:rPr>
        <w:t>,</w:t>
      </w:r>
      <w:r w:rsidRPr="00012340">
        <w:rPr>
          <w:spacing w:val="6"/>
          <w:sz w:val="26"/>
          <w:szCs w:val="24"/>
        </w:rPr>
        <w:t xml:space="preserve"> no proporciona la información necesaria para correlacionar plazas y personas</w:t>
      </w:r>
      <w:r>
        <w:rPr>
          <w:spacing w:val="6"/>
          <w:sz w:val="26"/>
          <w:szCs w:val="24"/>
        </w:rPr>
        <w:t xml:space="preserve">, por lo que no podemos verificar el cumplimiento </w:t>
      </w:r>
      <w:r w:rsidR="00C1204F">
        <w:rPr>
          <w:spacing w:val="6"/>
          <w:sz w:val="26"/>
          <w:szCs w:val="24"/>
        </w:rPr>
        <w:t xml:space="preserve">en determinadas plazas incluidas en la oferta pública de empleo de 2021, </w:t>
      </w:r>
      <w:r>
        <w:rPr>
          <w:spacing w:val="6"/>
          <w:sz w:val="26"/>
          <w:szCs w:val="24"/>
        </w:rPr>
        <w:t>de los requisitos exigidos para las tasas de estabilización de empleo temporal previstas en la Ley 11/2020 de Presupuestos Generales del Estado para 2021.</w:t>
      </w:r>
    </w:p>
    <w:p w14:paraId="7B2F70E3" w14:textId="77777777" w:rsidR="00792974" w:rsidRDefault="00792974" w:rsidP="006E397F">
      <w:pPr>
        <w:tabs>
          <w:tab w:val="center" w:pos="2835"/>
          <w:tab w:val="center" w:pos="3969"/>
          <w:tab w:val="center" w:pos="5103"/>
          <w:tab w:val="center" w:pos="6237"/>
          <w:tab w:val="center" w:pos="7371"/>
        </w:tabs>
        <w:ind w:firstLine="284"/>
        <w:rPr>
          <w:spacing w:val="6"/>
          <w:sz w:val="26"/>
          <w:szCs w:val="24"/>
        </w:rPr>
      </w:pPr>
      <w:r>
        <w:rPr>
          <w:spacing w:val="6"/>
          <w:sz w:val="26"/>
          <w:szCs w:val="24"/>
        </w:rPr>
        <w:t xml:space="preserve">El informe de fiscalización financiera y de legalidad incorpora seis apéndices y un anexo relacionadas con cuestiones que complementan el trabajo realizado. </w:t>
      </w:r>
    </w:p>
    <w:p w14:paraId="660AB377" w14:textId="77777777" w:rsidR="006E397F" w:rsidRDefault="006E397F" w:rsidP="00792974">
      <w:pPr>
        <w:spacing w:after="0"/>
        <w:ind w:firstLine="0"/>
        <w:rPr>
          <w:spacing w:val="6"/>
          <w:sz w:val="26"/>
          <w:szCs w:val="24"/>
        </w:rPr>
      </w:pPr>
      <w:r>
        <w:rPr>
          <w:spacing w:val="6"/>
          <w:sz w:val="26"/>
          <w:szCs w:val="24"/>
        </w:rPr>
        <w:br w:type="page"/>
      </w:r>
    </w:p>
    <w:p w14:paraId="4393D7F0" w14:textId="77777777" w:rsidR="00807992" w:rsidRPr="00807992" w:rsidRDefault="00807992" w:rsidP="00807992">
      <w:pPr>
        <w:pStyle w:val="atitulo1"/>
      </w:pPr>
      <w:bookmarkStart w:id="15" w:name="_Toc55460317"/>
      <w:bookmarkStart w:id="16" w:name="_Toc118266008"/>
      <w:bookmarkStart w:id="17" w:name="_Toc129243472"/>
      <w:r w:rsidRPr="00807992">
        <w:lastRenderedPageBreak/>
        <w:t>III. Opinión</w:t>
      </w:r>
      <w:bookmarkEnd w:id="11"/>
      <w:bookmarkEnd w:id="14"/>
      <w:bookmarkEnd w:id="15"/>
      <w:bookmarkEnd w:id="16"/>
      <w:bookmarkEnd w:id="17"/>
    </w:p>
    <w:p w14:paraId="19CFE7C2" w14:textId="77777777" w:rsidR="00807992" w:rsidRDefault="00807992" w:rsidP="00807992">
      <w:pPr>
        <w:pStyle w:val="texto"/>
      </w:pPr>
      <w:bookmarkStart w:id="18" w:name="_Toc55460318"/>
      <w:bookmarkStart w:id="19" w:name="_Toc430935360"/>
      <w:bookmarkStart w:id="20" w:name="_Toc22495433"/>
      <w:r w:rsidRPr="00963423">
        <w:t>La Cámara de Comptos de Navarra, en uso de las competencias que le atribuye la Ley Foral 19/1984, reguladora</w:t>
      </w:r>
      <w:r>
        <w:t xml:space="preserve"> de la misma, ha fiscalizado la</w:t>
      </w:r>
      <w:r w:rsidRPr="00963423">
        <w:t xml:space="preserve"> Cuenta</w:t>
      </w:r>
      <w:r>
        <w:t xml:space="preserve"> General</w:t>
      </w:r>
      <w:r w:rsidRPr="00963423">
        <w:t xml:space="preserve"> de</w:t>
      </w:r>
      <w:r>
        <w:t xml:space="preserve">l Ayuntamiento </w:t>
      </w:r>
      <w:r w:rsidR="00792974">
        <w:t xml:space="preserve">de Pamplona del ejercicio 2021, que comprenden principalmente el expediente de liquidación del presupuesto, el expediente de situación económico-patrimonial, el informe de Intervención y </w:t>
      </w:r>
      <w:r w:rsidR="00792974" w:rsidRPr="00963423">
        <w:t>la memoria correspondiente al ejercicio terminado en dicha fecha.</w:t>
      </w:r>
      <w:r w:rsidR="00792974">
        <w:t xml:space="preserve"> </w:t>
      </w:r>
      <w:r>
        <w:t>Asimismo, en virtud de la normativa citada ha realizado una fiscalización de cumplimiento de legalidad del ayuntamiento y sus entes dependientes.</w:t>
      </w:r>
    </w:p>
    <w:p w14:paraId="57FAC196" w14:textId="77777777" w:rsidR="00807992" w:rsidRPr="00807992" w:rsidRDefault="00807992" w:rsidP="00807992">
      <w:pPr>
        <w:pStyle w:val="atitulo2"/>
      </w:pPr>
      <w:bookmarkStart w:id="21" w:name="_Toc118266009"/>
      <w:bookmarkStart w:id="22" w:name="_Toc129243473"/>
      <w:r w:rsidRPr="00807992">
        <w:t>III.1. Opinión de auditoría financiera</w:t>
      </w:r>
      <w:bookmarkEnd w:id="18"/>
      <w:r w:rsidRPr="00807992">
        <w:t xml:space="preserve"> </w:t>
      </w:r>
      <w:bookmarkEnd w:id="19"/>
      <w:bookmarkEnd w:id="20"/>
      <w:r w:rsidRPr="00807992">
        <w:t>sobre la Cuenta General de 2021</w:t>
      </w:r>
      <w:bookmarkEnd w:id="21"/>
      <w:bookmarkEnd w:id="22"/>
    </w:p>
    <w:p w14:paraId="49E1759A" w14:textId="77777777" w:rsidR="00807992" w:rsidRPr="00F13A4E" w:rsidRDefault="00807992" w:rsidP="00807992">
      <w:pPr>
        <w:pStyle w:val="texto"/>
      </w:pPr>
      <w:bookmarkStart w:id="23" w:name="_Toc120335777"/>
      <w:bookmarkStart w:id="24" w:name="_Toc120335699"/>
      <w:bookmarkStart w:id="25" w:name="_Toc120335532"/>
      <w:bookmarkStart w:id="26" w:name="_Toc461588447"/>
      <w:bookmarkStart w:id="27" w:name="_Toc461590589"/>
      <w:bookmarkStart w:id="28" w:name="_Toc461591109"/>
      <w:bookmarkStart w:id="29" w:name="_Toc461592240"/>
      <w:bookmarkStart w:id="30" w:name="_Toc461593660"/>
      <w:bookmarkStart w:id="31" w:name="_Toc461593793"/>
      <w:bookmarkStart w:id="32" w:name="_Toc461594095"/>
      <w:bookmarkStart w:id="33" w:name="_Toc461594692"/>
      <w:bookmarkStart w:id="34" w:name="_Toc461595085"/>
      <w:bookmarkStart w:id="35" w:name="_Toc461595677"/>
      <w:bookmarkStart w:id="36" w:name="_Toc461601746"/>
      <w:bookmarkStart w:id="37" w:name="_Toc461602533"/>
      <w:bookmarkStart w:id="38" w:name="_Toc462124222"/>
      <w:bookmarkStart w:id="39" w:name="_Toc462124302"/>
      <w:bookmarkStart w:id="40" w:name="_Toc462803277"/>
      <w:bookmarkStart w:id="41" w:name="_Toc463680849"/>
      <w:bookmarkStart w:id="42" w:name="_Toc463680929"/>
      <w:bookmarkStart w:id="43" w:name="_Toc463681086"/>
      <w:bookmarkStart w:id="44" w:name="_Toc464619341"/>
      <w:bookmarkStart w:id="45" w:name="_Toc464870763"/>
      <w:bookmarkStart w:id="46" w:name="_Toc496503482"/>
      <w:bookmarkStart w:id="47" w:name="_Toc69801028"/>
      <w:bookmarkStart w:id="48" w:name="_Toc93816326"/>
      <w:bookmarkStart w:id="49" w:name="_Toc93817013"/>
      <w:bookmarkStart w:id="50" w:name="_Toc318960027"/>
      <w:bookmarkStart w:id="51" w:name="_Toc430935362"/>
      <w:r w:rsidRPr="00F13A4E">
        <w:t xml:space="preserve">En nuestra opinión, la </w:t>
      </w:r>
      <w:r w:rsidR="0060744A">
        <w:t>c</w:t>
      </w:r>
      <w:r w:rsidRPr="00F13A4E">
        <w:t xml:space="preserve">uenta </w:t>
      </w:r>
      <w:r w:rsidR="0060744A">
        <w:t>g</w:t>
      </w:r>
      <w:r w:rsidRPr="00F13A4E">
        <w:t xml:space="preserve">eneral expresa, en todos los aspectos significativos, la imagen fiel del patrimonio, </w:t>
      </w:r>
      <w:r w:rsidR="004E56AA">
        <w:t>de la situación financiera del a</w:t>
      </w:r>
      <w:r w:rsidRPr="00F13A4E">
        <w:t>yuntamiento y sus entes dependientes a 31 de diciembre de 2021 y de sus resultados económicos y presupuestarios correspondientes al ejercicio terminado en dicha fecha, de conformidad con el marco normativo de información financiera pública y, en particular, con los principios y criterios contables y presupuestarios contenidos en el mismo.</w:t>
      </w:r>
    </w:p>
    <w:p w14:paraId="6969742D" w14:textId="77777777" w:rsidR="00807992" w:rsidRPr="00807992" w:rsidRDefault="00807992" w:rsidP="00807992">
      <w:pPr>
        <w:pStyle w:val="atitulo2"/>
      </w:pPr>
      <w:bookmarkStart w:id="52" w:name="_Toc22495434"/>
      <w:bookmarkStart w:id="53" w:name="_Toc55460319"/>
      <w:bookmarkStart w:id="54" w:name="_Toc118266010"/>
      <w:bookmarkStart w:id="55" w:name="_Toc129243474"/>
      <w:r w:rsidRPr="00807992">
        <w:t>III.</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07992">
        <w:t xml:space="preserve">2. </w:t>
      </w:r>
      <w:bookmarkEnd w:id="50"/>
      <w:bookmarkEnd w:id="51"/>
      <w:r w:rsidRPr="00807992">
        <w:t>Opinión de fiscalización de cumplimiento de la legalidad</w:t>
      </w:r>
      <w:bookmarkEnd w:id="52"/>
      <w:bookmarkEnd w:id="53"/>
      <w:bookmarkEnd w:id="54"/>
      <w:bookmarkEnd w:id="55"/>
    </w:p>
    <w:p w14:paraId="0D9ADD62" w14:textId="77777777" w:rsidR="00807992" w:rsidRPr="00DD71CB" w:rsidRDefault="00807992" w:rsidP="00807992">
      <w:pPr>
        <w:pStyle w:val="texto"/>
      </w:pPr>
      <w:r w:rsidRPr="00DD71CB">
        <w:t xml:space="preserve">En nuestra opinión, excepto por los efectos de las cuestiones descritas en la sección “Fundamento de la opinión de legalidad con salvedades” de nuestro informe, y teniendo en cuenta el alcance del trabajo realizado, las actividades, operaciones presupuestarias y financieras y la información reflejada en la </w:t>
      </w:r>
      <w:r w:rsidR="0060744A" w:rsidRPr="00DD71CB">
        <w:t>c</w:t>
      </w:r>
      <w:r w:rsidRPr="00DD71CB">
        <w:t xml:space="preserve">uenta </w:t>
      </w:r>
      <w:r w:rsidR="0060744A" w:rsidRPr="00DD71CB">
        <w:t>g</w:t>
      </w:r>
      <w:r w:rsidRPr="00DD71CB">
        <w:t>eneral de</w:t>
      </w:r>
      <w:r w:rsidR="004E56AA" w:rsidRPr="00DD71CB">
        <w:t>l a</w:t>
      </w:r>
      <w:r w:rsidRPr="00DD71CB">
        <w:t>yuntamiento y sus entes dependientes del ejercicio 2021 resultan conformes, en todos los aspectos significativos, con la normativa aplicable a la gestión de los fondos públicos.</w:t>
      </w:r>
    </w:p>
    <w:p w14:paraId="092BB5D2" w14:textId="77777777" w:rsidR="00807992" w:rsidRDefault="00807992" w:rsidP="00807992">
      <w:pPr>
        <w:spacing w:after="0"/>
        <w:ind w:firstLine="0"/>
        <w:jc w:val="left"/>
        <w:rPr>
          <w:rFonts w:ascii="Arial" w:hAnsi="Arial"/>
          <w:i/>
          <w:iCs/>
          <w:color w:val="000000"/>
          <w:spacing w:val="10"/>
          <w:kern w:val="28"/>
          <w:sz w:val="24"/>
          <w:szCs w:val="24"/>
        </w:rPr>
      </w:pPr>
      <w:r>
        <w:rPr>
          <w:rFonts w:ascii="Arial" w:hAnsi="Arial"/>
          <w:i/>
          <w:iCs/>
          <w:color w:val="000000"/>
          <w:spacing w:val="10"/>
          <w:kern w:val="28"/>
          <w:sz w:val="24"/>
          <w:szCs w:val="24"/>
        </w:rPr>
        <w:br w:type="page"/>
      </w:r>
    </w:p>
    <w:p w14:paraId="6CEAFC1F" w14:textId="77777777" w:rsidR="00807992" w:rsidRPr="00807992" w:rsidRDefault="00807992" w:rsidP="00807992">
      <w:pPr>
        <w:pStyle w:val="atitulo1"/>
      </w:pPr>
      <w:bookmarkStart w:id="56" w:name="_Toc118266011"/>
      <w:bookmarkStart w:id="57" w:name="_Toc129243475"/>
      <w:r w:rsidRPr="00807992">
        <w:lastRenderedPageBreak/>
        <w:t>IV. Fundamento de la opinión</w:t>
      </w:r>
      <w:bookmarkEnd w:id="56"/>
      <w:bookmarkEnd w:id="57"/>
      <w:r w:rsidRPr="00807992">
        <w:t xml:space="preserve"> </w:t>
      </w:r>
    </w:p>
    <w:p w14:paraId="0DD7325E" w14:textId="77777777" w:rsidR="00807992" w:rsidRPr="00716944" w:rsidRDefault="00807992" w:rsidP="00807992">
      <w:pPr>
        <w:pStyle w:val="texto"/>
      </w:pPr>
      <w:r w:rsidRPr="00716944">
        <w:t>Hemos llevado a cabo nuestra fiscalización de conformidad con los principios fundamentales de fiscalización de las instituciones públicas de control externo y más en concreto, con la ISSAI-ES 200</w:t>
      </w:r>
      <w:r>
        <w:t xml:space="preserve"> y la 400</w:t>
      </w:r>
      <w:r w:rsidRPr="00716944">
        <w:t xml:space="preserve"> referida</w:t>
      </w:r>
      <w:r>
        <w:t>s</w:t>
      </w:r>
      <w:r w:rsidRPr="00716944">
        <w:t xml:space="preserve"> a las fiscalizaciones financieras</w:t>
      </w:r>
      <w:r>
        <w:t xml:space="preserve"> y de cumplimiento de legalidad</w:t>
      </w:r>
      <w:r w:rsidRPr="00716944">
        <w:t>, así como con las Guías Prácticas de Fiscalización de los órganos de control externo. Nuestras responsabilidades de acuerdo con dichas normas se describen más adelante en la sección “Responsabilidades de la Cámara de Comptos” en rela</w:t>
      </w:r>
      <w:r>
        <w:t>ción con la fiscalización de la</w:t>
      </w:r>
      <w:r w:rsidRPr="00716944">
        <w:t xml:space="preserve"> </w:t>
      </w:r>
      <w:r w:rsidR="0060744A">
        <w:t>c</w:t>
      </w:r>
      <w:r>
        <w:t xml:space="preserve">uenta </w:t>
      </w:r>
      <w:r w:rsidR="0060744A">
        <w:t>g</w:t>
      </w:r>
      <w:r>
        <w:t>eneral y de cumplimiento de legalidad de nu</w:t>
      </w:r>
      <w:r w:rsidRPr="00716944">
        <w:t xml:space="preserve">estro informe. </w:t>
      </w:r>
    </w:p>
    <w:p w14:paraId="13B3F26E" w14:textId="77777777" w:rsidR="00807992" w:rsidRPr="00716944" w:rsidRDefault="00807992" w:rsidP="00807992">
      <w:pPr>
        <w:pStyle w:val="texto"/>
      </w:pPr>
      <w:r w:rsidRPr="00716944">
        <w:t>Somos independientes de la entidad</w:t>
      </w:r>
      <w:r>
        <w:t xml:space="preserve"> fiscalizada,</w:t>
      </w:r>
      <w:r w:rsidRPr="00716944">
        <w:t xml:space="preserve"> de conformidad con los requerimientos de ética y protección de la independencia que son aplicables a nuestra fiscalización de la </w:t>
      </w:r>
      <w:r w:rsidR="0060744A">
        <w:t>c</w:t>
      </w:r>
      <w:r>
        <w:t xml:space="preserve">uenta </w:t>
      </w:r>
      <w:r w:rsidR="0060744A">
        <w:t>g</w:t>
      </w:r>
      <w:r>
        <w:t>eneral</w:t>
      </w:r>
      <w:r w:rsidRPr="00716944">
        <w:t xml:space="preserve"> según lo exigido por la normativa reguladora de la actividad de fiscalización pública. </w:t>
      </w:r>
    </w:p>
    <w:p w14:paraId="796814DD" w14:textId="77777777" w:rsidR="00807992" w:rsidRPr="00DD71CB" w:rsidRDefault="00807992" w:rsidP="00807992">
      <w:pPr>
        <w:pStyle w:val="texto"/>
        <w:rPr>
          <w:i/>
          <w:szCs w:val="20"/>
        </w:rPr>
      </w:pPr>
      <w:r w:rsidRPr="00DD71CB">
        <w:t xml:space="preserve">Consideramos que la evidencia de auditoría que hemos obtenido proporciona una base suficiente y adecuada para nuestra opinión </w:t>
      </w:r>
      <w:r w:rsidR="00792974" w:rsidRPr="00DD71CB">
        <w:t xml:space="preserve">no modificada de fiscalización </w:t>
      </w:r>
      <w:r w:rsidRPr="00DD71CB">
        <w:t>financiera</w:t>
      </w:r>
      <w:r w:rsidR="00792974" w:rsidRPr="00DD71CB">
        <w:t>,</w:t>
      </w:r>
      <w:r w:rsidRPr="00DD71CB">
        <w:t xml:space="preserve"> y </w:t>
      </w:r>
      <w:r w:rsidR="00792974" w:rsidRPr="00DD71CB">
        <w:t xml:space="preserve">modificada con salvedades de cumplimiento de legalidad. </w:t>
      </w:r>
    </w:p>
    <w:p w14:paraId="28F55740" w14:textId="77777777" w:rsidR="00807992" w:rsidRPr="00DD71CB" w:rsidRDefault="00807992" w:rsidP="00F841C0">
      <w:pPr>
        <w:pStyle w:val="atitulo2"/>
        <w:rPr>
          <w:color w:val="auto"/>
        </w:rPr>
      </w:pPr>
      <w:bookmarkStart w:id="58" w:name="_Toc118266013"/>
      <w:bookmarkStart w:id="59" w:name="_Toc129243476"/>
      <w:r w:rsidRPr="00DD71CB">
        <w:rPr>
          <w:color w:val="auto"/>
        </w:rPr>
        <w:t>IV.</w:t>
      </w:r>
      <w:r w:rsidR="00F13A4E" w:rsidRPr="00DD71CB">
        <w:rPr>
          <w:color w:val="auto"/>
        </w:rPr>
        <w:t>1</w:t>
      </w:r>
      <w:r w:rsidRPr="00DD71CB">
        <w:rPr>
          <w:color w:val="auto"/>
        </w:rPr>
        <w:t>. Fundamento de la opinión de legalidad con salvedades</w:t>
      </w:r>
      <w:bookmarkEnd w:id="58"/>
      <w:bookmarkEnd w:id="59"/>
    </w:p>
    <w:p w14:paraId="6720FA8E" w14:textId="77777777" w:rsidR="00A605E7" w:rsidRPr="00DD71CB" w:rsidRDefault="00A605E7" w:rsidP="00A605E7">
      <w:pPr>
        <w:numPr>
          <w:ilvl w:val="0"/>
          <w:numId w:val="2"/>
        </w:numPr>
        <w:tabs>
          <w:tab w:val="clear" w:pos="502"/>
          <w:tab w:val="left" w:pos="480"/>
          <w:tab w:val="num" w:pos="720"/>
          <w:tab w:val="num" w:pos="6597"/>
        </w:tabs>
        <w:ind w:left="0" w:firstLine="289"/>
        <w:rPr>
          <w:spacing w:val="6"/>
          <w:sz w:val="26"/>
          <w:szCs w:val="26"/>
        </w:rPr>
      </w:pPr>
      <w:r w:rsidRPr="00DD71CB">
        <w:rPr>
          <w:spacing w:val="6"/>
          <w:sz w:val="26"/>
          <w:szCs w:val="26"/>
        </w:rPr>
        <w:t>Se han abonado retribuciones</w:t>
      </w:r>
      <w:r w:rsidR="00887FF5" w:rsidRPr="00DD71CB">
        <w:rPr>
          <w:spacing w:val="6"/>
          <w:sz w:val="26"/>
          <w:szCs w:val="26"/>
        </w:rPr>
        <w:t xml:space="preserve"> por los conceptos “Antigüedad</w:t>
      </w:r>
      <w:r w:rsidR="00792974" w:rsidRPr="00DD71CB">
        <w:rPr>
          <w:spacing w:val="6"/>
          <w:sz w:val="26"/>
          <w:szCs w:val="26"/>
        </w:rPr>
        <w:t>”</w:t>
      </w:r>
      <w:r w:rsidR="00887FF5" w:rsidRPr="00DD71CB">
        <w:rPr>
          <w:spacing w:val="6"/>
          <w:sz w:val="26"/>
          <w:szCs w:val="26"/>
        </w:rPr>
        <w:t xml:space="preserve"> y </w:t>
      </w:r>
      <w:r w:rsidR="00792974" w:rsidRPr="00DD71CB">
        <w:rPr>
          <w:spacing w:val="6"/>
          <w:sz w:val="26"/>
          <w:szCs w:val="26"/>
        </w:rPr>
        <w:t>“A</w:t>
      </w:r>
      <w:r w:rsidR="00887FF5" w:rsidRPr="00DD71CB">
        <w:rPr>
          <w:spacing w:val="6"/>
          <w:sz w:val="26"/>
          <w:szCs w:val="26"/>
        </w:rPr>
        <w:t>yuda familiar</w:t>
      </w:r>
      <w:r w:rsidRPr="00DD71CB">
        <w:rPr>
          <w:spacing w:val="6"/>
          <w:sz w:val="26"/>
          <w:szCs w:val="26"/>
        </w:rPr>
        <w:t>”</w:t>
      </w:r>
      <w:r w:rsidR="001A6BF8" w:rsidRPr="00DD71CB">
        <w:rPr>
          <w:spacing w:val="6"/>
          <w:sz w:val="26"/>
          <w:szCs w:val="26"/>
        </w:rPr>
        <w:t xml:space="preserve"> </w:t>
      </w:r>
      <w:r w:rsidR="00792974" w:rsidRPr="00DD71CB">
        <w:rPr>
          <w:spacing w:val="6"/>
          <w:sz w:val="26"/>
          <w:szCs w:val="26"/>
        </w:rPr>
        <w:t>soportad</w:t>
      </w:r>
      <w:r w:rsidR="001A6BF8" w:rsidRPr="00DD71CB">
        <w:rPr>
          <w:spacing w:val="6"/>
          <w:sz w:val="26"/>
          <w:szCs w:val="26"/>
        </w:rPr>
        <w:t xml:space="preserve">as </w:t>
      </w:r>
      <w:r w:rsidRPr="00DD71CB">
        <w:rPr>
          <w:spacing w:val="6"/>
          <w:sz w:val="26"/>
          <w:szCs w:val="26"/>
        </w:rPr>
        <w:t xml:space="preserve">en la aprobación </w:t>
      </w:r>
      <w:r w:rsidR="00CF2CBA" w:rsidRPr="00DD71CB">
        <w:rPr>
          <w:spacing w:val="6"/>
          <w:sz w:val="26"/>
          <w:szCs w:val="26"/>
        </w:rPr>
        <w:t>el 21 de mayo de 2</w:t>
      </w:r>
      <w:r w:rsidRPr="00DD71CB">
        <w:rPr>
          <w:spacing w:val="6"/>
          <w:sz w:val="26"/>
          <w:szCs w:val="26"/>
        </w:rPr>
        <w:t>019 del “</w:t>
      </w:r>
      <w:r w:rsidRPr="00DD71CB">
        <w:rPr>
          <w:spacing w:val="6"/>
          <w:sz w:val="26"/>
          <w:szCs w:val="24"/>
        </w:rPr>
        <w:t>Acuerdo para la mejora del empleo público y de las condiciones de trabajo</w:t>
      </w:r>
      <w:r w:rsidR="00823774" w:rsidRPr="00DD71CB">
        <w:rPr>
          <w:spacing w:val="6"/>
          <w:sz w:val="26"/>
          <w:szCs w:val="24"/>
        </w:rPr>
        <w:t xml:space="preserve"> entre el Ayuntamiento/OOAA y los sindicatos</w:t>
      </w:r>
      <w:r w:rsidRPr="00DD71CB">
        <w:rPr>
          <w:spacing w:val="6"/>
          <w:sz w:val="26"/>
          <w:szCs w:val="24"/>
        </w:rPr>
        <w:t>”</w:t>
      </w:r>
      <w:r w:rsidRPr="00DD71CB">
        <w:rPr>
          <w:spacing w:val="6"/>
          <w:sz w:val="26"/>
          <w:szCs w:val="26"/>
        </w:rPr>
        <w:t xml:space="preserve"> con cláusul</w:t>
      </w:r>
      <w:r w:rsidR="00992BD0" w:rsidRPr="00DD71CB">
        <w:rPr>
          <w:spacing w:val="6"/>
          <w:sz w:val="26"/>
          <w:szCs w:val="26"/>
        </w:rPr>
        <w:t>as que exceden del marco legal</w:t>
      </w:r>
      <w:r w:rsidR="00792974" w:rsidRPr="00DD71CB">
        <w:rPr>
          <w:spacing w:val="6"/>
          <w:sz w:val="26"/>
          <w:szCs w:val="26"/>
        </w:rPr>
        <w:t xml:space="preserve">. </w:t>
      </w:r>
    </w:p>
    <w:p w14:paraId="7738FE49" w14:textId="77777777" w:rsidR="00012340" w:rsidRPr="000F531F" w:rsidRDefault="00012340" w:rsidP="002216AE">
      <w:pPr>
        <w:numPr>
          <w:ilvl w:val="0"/>
          <w:numId w:val="2"/>
        </w:numPr>
        <w:tabs>
          <w:tab w:val="clear" w:pos="502"/>
          <w:tab w:val="left" w:pos="480"/>
          <w:tab w:val="num" w:pos="720"/>
          <w:tab w:val="num" w:pos="6597"/>
        </w:tabs>
        <w:ind w:left="0" w:firstLine="289"/>
        <w:rPr>
          <w:sz w:val="26"/>
          <w:szCs w:val="26"/>
        </w:rPr>
      </w:pPr>
      <w:r w:rsidRPr="000F531F">
        <w:rPr>
          <w:sz w:val="26"/>
          <w:szCs w:val="26"/>
        </w:rPr>
        <w:t xml:space="preserve">No </w:t>
      </w:r>
      <w:r w:rsidR="00AC2D8E" w:rsidRPr="000F531F">
        <w:rPr>
          <w:sz w:val="26"/>
          <w:szCs w:val="26"/>
        </w:rPr>
        <w:t xml:space="preserve">hemos podido obtener evidencia de auditoria suficiente y adecuada sobre </w:t>
      </w:r>
      <w:r w:rsidR="00792974">
        <w:rPr>
          <w:sz w:val="26"/>
          <w:szCs w:val="26"/>
        </w:rPr>
        <w:t xml:space="preserve">el número </w:t>
      </w:r>
      <w:r w:rsidRPr="000F531F">
        <w:rPr>
          <w:sz w:val="26"/>
          <w:szCs w:val="26"/>
        </w:rPr>
        <w:t xml:space="preserve">de las vacantes de la plantilla orgánica del Organismo Autónomo Escuelas Infantiles </w:t>
      </w:r>
      <w:r w:rsidR="00792974">
        <w:rPr>
          <w:sz w:val="26"/>
          <w:szCs w:val="26"/>
        </w:rPr>
        <w:t xml:space="preserve">que </w:t>
      </w:r>
      <w:r w:rsidRPr="000F531F">
        <w:rPr>
          <w:sz w:val="26"/>
          <w:szCs w:val="26"/>
        </w:rPr>
        <w:t>están cubiertas</w:t>
      </w:r>
      <w:r w:rsidR="00792974">
        <w:rPr>
          <w:sz w:val="26"/>
          <w:szCs w:val="26"/>
        </w:rPr>
        <w:t>,</w:t>
      </w:r>
      <w:r w:rsidRPr="000F531F">
        <w:rPr>
          <w:sz w:val="26"/>
          <w:szCs w:val="26"/>
        </w:rPr>
        <w:t xml:space="preserve"> debido a que muchos contratos no se asoc</w:t>
      </w:r>
      <w:r w:rsidR="00CF62A2" w:rsidRPr="000F531F">
        <w:rPr>
          <w:sz w:val="26"/>
          <w:szCs w:val="26"/>
        </w:rPr>
        <w:t>ian a plazas vacantes concretas</w:t>
      </w:r>
      <w:r w:rsidR="002216AE" w:rsidRPr="000F531F">
        <w:rPr>
          <w:sz w:val="26"/>
          <w:szCs w:val="26"/>
        </w:rPr>
        <w:t xml:space="preserve">. Esta limitación, nos ha impedido </w:t>
      </w:r>
      <w:r w:rsidRPr="000F531F">
        <w:rPr>
          <w:sz w:val="26"/>
          <w:szCs w:val="26"/>
        </w:rPr>
        <w:t xml:space="preserve">verificar si 27 de las 47 plazas aprobadas en la Oferta Pública de Empleo </w:t>
      </w:r>
      <w:r w:rsidR="00792974">
        <w:rPr>
          <w:sz w:val="26"/>
          <w:szCs w:val="26"/>
        </w:rPr>
        <w:t xml:space="preserve">de 2021 </w:t>
      </w:r>
      <w:r w:rsidRPr="000F531F">
        <w:rPr>
          <w:sz w:val="26"/>
          <w:szCs w:val="26"/>
        </w:rPr>
        <w:t>como tasa de estabilización de empleo temporal, cumplen los requisitos exigidos en la Ley 11/2020 de Presupuestos Generales del Estado para 2021.</w:t>
      </w:r>
    </w:p>
    <w:p w14:paraId="60803B84" w14:textId="77777777" w:rsidR="00AC2D8E" w:rsidRDefault="00AC2D8E" w:rsidP="00AC2D8E">
      <w:pPr>
        <w:tabs>
          <w:tab w:val="left" w:pos="480"/>
          <w:tab w:val="num" w:pos="6597"/>
        </w:tabs>
        <w:rPr>
          <w:sz w:val="26"/>
          <w:szCs w:val="26"/>
        </w:rPr>
      </w:pPr>
    </w:p>
    <w:p w14:paraId="327820AE" w14:textId="77777777" w:rsidR="00012340" w:rsidRPr="00012340" w:rsidRDefault="00012340" w:rsidP="00012340">
      <w:pPr>
        <w:tabs>
          <w:tab w:val="left" w:pos="480"/>
          <w:tab w:val="num" w:pos="6597"/>
        </w:tabs>
        <w:rPr>
          <w:sz w:val="26"/>
          <w:szCs w:val="26"/>
        </w:rPr>
      </w:pPr>
    </w:p>
    <w:p w14:paraId="458A7200" w14:textId="77777777" w:rsidR="002317B9" w:rsidRDefault="002317B9" w:rsidP="00807992">
      <w:pPr>
        <w:tabs>
          <w:tab w:val="left" w:pos="480"/>
          <w:tab w:val="num" w:pos="6597"/>
        </w:tabs>
        <w:ind w:firstLine="0"/>
        <w:rPr>
          <w:rStyle w:val="markedcontent"/>
          <w:sz w:val="26"/>
          <w:szCs w:val="26"/>
        </w:rPr>
      </w:pPr>
    </w:p>
    <w:p w14:paraId="6B444C14" w14:textId="77777777" w:rsidR="00807992" w:rsidRDefault="00807992" w:rsidP="00807992">
      <w:pPr>
        <w:spacing w:after="0"/>
        <w:ind w:firstLine="0"/>
        <w:jc w:val="left"/>
        <w:rPr>
          <w:rStyle w:val="markedcontent"/>
          <w:sz w:val="26"/>
          <w:szCs w:val="26"/>
        </w:rPr>
      </w:pPr>
      <w:r>
        <w:rPr>
          <w:rStyle w:val="markedcontent"/>
          <w:sz w:val="26"/>
          <w:szCs w:val="26"/>
        </w:rPr>
        <w:br w:type="page"/>
      </w:r>
    </w:p>
    <w:p w14:paraId="3627928D" w14:textId="77777777" w:rsidR="00807992" w:rsidRPr="00F841C0" w:rsidRDefault="00807992" w:rsidP="00F841C0">
      <w:pPr>
        <w:pStyle w:val="atitulo1"/>
      </w:pPr>
      <w:bookmarkStart w:id="60" w:name="_Toc118266014"/>
      <w:bookmarkStart w:id="61" w:name="_Toc129243477"/>
      <w:r w:rsidRPr="00F841C0">
        <w:lastRenderedPageBreak/>
        <w:t>V. Cuestiones claves de auditoria</w:t>
      </w:r>
      <w:bookmarkEnd w:id="60"/>
      <w:bookmarkEnd w:id="61"/>
    </w:p>
    <w:p w14:paraId="272E0BA8" w14:textId="77777777" w:rsidR="00807992" w:rsidRPr="007E70A2" w:rsidRDefault="00807992" w:rsidP="00807992">
      <w:pPr>
        <w:pStyle w:val="texto"/>
      </w:pPr>
      <w:r w:rsidRPr="007E70A2">
        <w:t>Las cuestiones clave de la auditoría son aquellas que, según nuestro juicio profesional, han sido de la mayor significatividad en nuestra fiscalización</w:t>
      </w:r>
      <w:r>
        <w:t xml:space="preserve"> de la </w:t>
      </w:r>
      <w:r w:rsidR="0060744A">
        <w:t>c</w:t>
      </w:r>
      <w:r>
        <w:t xml:space="preserve">uenta </w:t>
      </w:r>
      <w:r w:rsidR="0060744A">
        <w:t>g</w:t>
      </w:r>
      <w:r>
        <w:t>eneral</w:t>
      </w:r>
      <w:r w:rsidRPr="007E70A2">
        <w:t xml:space="preserve"> del periodo actual. Estas cuestiones han sido tratadas en el contexto de nuestra auditoría de la </w:t>
      </w:r>
      <w:r w:rsidR="0060744A">
        <w:t>c</w:t>
      </w:r>
      <w:r>
        <w:t xml:space="preserve">uenta </w:t>
      </w:r>
      <w:r w:rsidR="0060744A">
        <w:t>g</w:t>
      </w:r>
      <w:r>
        <w:t xml:space="preserve">eneral </w:t>
      </w:r>
      <w:r w:rsidRPr="007E70A2">
        <w:t>en su conjunto y en la formación de nuestra opinión sobre esta, y no expresamos una opinión por separado sobre esas cuestiones.</w:t>
      </w:r>
    </w:p>
    <w:p w14:paraId="2C81FD1B" w14:textId="77777777" w:rsidR="00807992" w:rsidRDefault="00807992" w:rsidP="00807992">
      <w:pPr>
        <w:pStyle w:val="texto"/>
      </w:pPr>
      <w:r w:rsidRPr="007E70A2">
        <w:t xml:space="preserve">Excepto por las cuestiones descritas en la sección de </w:t>
      </w:r>
      <w:r>
        <w:t>“Fundamento de la opinión de legalidad con salvedades”</w:t>
      </w:r>
      <w:r w:rsidRPr="007E70A2">
        <w:t xml:space="preserve"> de este informe, </w:t>
      </w:r>
      <w:r>
        <w:t>no comunicamos</w:t>
      </w:r>
      <w:r w:rsidRPr="007E70A2">
        <w:t xml:space="preserve"> ninguna cuestión considerada como clave en nuestra fiscalización.</w:t>
      </w:r>
    </w:p>
    <w:p w14:paraId="11D7BCD1" w14:textId="77777777" w:rsidR="002E51DE" w:rsidRDefault="002E51DE" w:rsidP="00807992">
      <w:pPr>
        <w:keepNext/>
        <w:spacing w:before="180" w:after="180"/>
        <w:ind w:firstLine="284"/>
        <w:rPr>
          <w:spacing w:val="2"/>
          <w:sz w:val="26"/>
          <w:szCs w:val="26"/>
        </w:rPr>
      </w:pPr>
    </w:p>
    <w:p w14:paraId="1C7366C2" w14:textId="77777777" w:rsidR="002E51DE" w:rsidRDefault="002E51DE" w:rsidP="00807992">
      <w:pPr>
        <w:keepNext/>
        <w:spacing w:before="180" w:after="180"/>
        <w:ind w:firstLine="284"/>
        <w:rPr>
          <w:spacing w:val="2"/>
          <w:sz w:val="26"/>
          <w:szCs w:val="26"/>
        </w:rPr>
      </w:pPr>
    </w:p>
    <w:p w14:paraId="1239E93C" w14:textId="77777777" w:rsidR="002E51DE" w:rsidRDefault="002E51DE" w:rsidP="00807992">
      <w:pPr>
        <w:keepNext/>
        <w:spacing w:before="180" w:after="180"/>
        <w:ind w:firstLine="284"/>
        <w:rPr>
          <w:spacing w:val="2"/>
          <w:sz w:val="26"/>
          <w:szCs w:val="26"/>
        </w:rPr>
      </w:pPr>
    </w:p>
    <w:p w14:paraId="52B56495" w14:textId="77777777" w:rsidR="00F13A4E" w:rsidRDefault="00F13A4E">
      <w:pPr>
        <w:spacing w:after="0"/>
        <w:ind w:firstLine="0"/>
        <w:jc w:val="left"/>
        <w:rPr>
          <w:rFonts w:ascii="Arial" w:hAnsi="Arial"/>
          <w:b/>
          <w:color w:val="000000"/>
          <w:kern w:val="28"/>
          <w:sz w:val="25"/>
          <w:szCs w:val="26"/>
        </w:rPr>
      </w:pPr>
      <w:r>
        <w:br w:type="page"/>
      </w:r>
    </w:p>
    <w:p w14:paraId="13E09467" w14:textId="77777777" w:rsidR="00F13A4E" w:rsidRPr="007677FF" w:rsidRDefault="00F13A4E" w:rsidP="00F13A4E">
      <w:pPr>
        <w:pStyle w:val="atitulo1"/>
        <w:rPr>
          <w:color w:val="FF0000"/>
        </w:rPr>
      </w:pPr>
      <w:bookmarkStart w:id="62" w:name="_Toc129243478"/>
      <w:r w:rsidRPr="00F841C0">
        <w:lastRenderedPageBreak/>
        <w:t>V</w:t>
      </w:r>
      <w:r>
        <w:t>I. Párrafo de énfasis</w:t>
      </w:r>
      <w:bookmarkEnd w:id="62"/>
    </w:p>
    <w:p w14:paraId="29A9F8F4" w14:textId="77777777" w:rsidR="00792974" w:rsidRDefault="00792974" w:rsidP="009B70C9">
      <w:pPr>
        <w:pStyle w:val="texto"/>
      </w:pPr>
      <w:r>
        <w:t>Llamamos la atención sobre las siguientes cuestiones:</w:t>
      </w:r>
    </w:p>
    <w:p w14:paraId="78C071B1" w14:textId="77777777" w:rsidR="00823774" w:rsidRPr="00C56577" w:rsidRDefault="00823774" w:rsidP="00823774">
      <w:pPr>
        <w:numPr>
          <w:ilvl w:val="0"/>
          <w:numId w:val="2"/>
        </w:numPr>
        <w:tabs>
          <w:tab w:val="clear" w:pos="502"/>
          <w:tab w:val="left" w:pos="480"/>
          <w:tab w:val="num" w:pos="720"/>
          <w:tab w:val="num" w:pos="6597"/>
        </w:tabs>
        <w:ind w:left="0" w:firstLine="289"/>
        <w:rPr>
          <w:sz w:val="26"/>
          <w:szCs w:val="26"/>
        </w:rPr>
      </w:pPr>
      <w:r w:rsidRPr="00792974">
        <w:rPr>
          <w:sz w:val="26"/>
          <w:szCs w:val="26"/>
        </w:rPr>
        <w:t xml:space="preserve">La </w:t>
      </w:r>
      <w:r>
        <w:rPr>
          <w:sz w:val="26"/>
          <w:szCs w:val="26"/>
        </w:rPr>
        <w:t xml:space="preserve">estabilidad y/o mejoría </w:t>
      </w:r>
      <w:r w:rsidRPr="00792974">
        <w:rPr>
          <w:sz w:val="26"/>
          <w:szCs w:val="26"/>
        </w:rPr>
        <w:t>de determinados indicadores de la situación económico-fina</w:t>
      </w:r>
      <w:r>
        <w:rPr>
          <w:sz w:val="26"/>
          <w:szCs w:val="26"/>
        </w:rPr>
        <w:t xml:space="preserve">nciera en el periodo 2018-2021, mostrada en el documento “Indicadores de ejecución consolidada” de la Memoria de la cuenta general, de los que destacamos especialmente los siguientes: </w:t>
      </w:r>
    </w:p>
    <w:tbl>
      <w:tblPr>
        <w:tblW w:w="8789" w:type="dxa"/>
        <w:tblCellMar>
          <w:left w:w="70" w:type="dxa"/>
          <w:right w:w="70" w:type="dxa"/>
        </w:tblCellMar>
        <w:tblLook w:val="04A0" w:firstRow="1" w:lastRow="0" w:firstColumn="1" w:lastColumn="0" w:noHBand="0" w:noVBand="1"/>
      </w:tblPr>
      <w:tblGrid>
        <w:gridCol w:w="4413"/>
        <w:gridCol w:w="1183"/>
        <w:gridCol w:w="1183"/>
        <w:gridCol w:w="1018"/>
        <w:gridCol w:w="992"/>
      </w:tblGrid>
      <w:tr w:rsidR="00823774" w:rsidRPr="00103CDD" w14:paraId="09A44267" w14:textId="77777777" w:rsidTr="005D2202">
        <w:trPr>
          <w:trHeight w:val="255"/>
        </w:trPr>
        <w:tc>
          <w:tcPr>
            <w:tcW w:w="4413" w:type="dxa"/>
            <w:tcBorders>
              <w:top w:val="single" w:sz="4" w:space="0" w:color="auto"/>
              <w:left w:val="nil"/>
              <w:bottom w:val="single" w:sz="4" w:space="0" w:color="auto"/>
              <w:right w:val="nil"/>
            </w:tcBorders>
            <w:shd w:val="clear" w:color="000000" w:fill="FCD5B4"/>
            <w:noWrap/>
            <w:vAlign w:val="center"/>
            <w:hideMark/>
          </w:tcPr>
          <w:p w14:paraId="09D69754" w14:textId="77777777" w:rsidR="00823774" w:rsidRPr="00103CDD" w:rsidRDefault="00823774" w:rsidP="006639E5">
            <w:pPr>
              <w:spacing w:after="0"/>
              <w:ind w:firstLine="0"/>
              <w:jc w:val="left"/>
              <w:rPr>
                <w:rFonts w:ascii="Arial" w:hAnsi="Arial" w:cs="Arial"/>
                <w:color w:val="000000"/>
                <w:sz w:val="18"/>
                <w:szCs w:val="18"/>
                <w:lang w:val="es-ES" w:eastAsia="es-ES"/>
              </w:rPr>
            </w:pPr>
            <w:r w:rsidRPr="00103CDD">
              <w:rPr>
                <w:rFonts w:ascii="Arial" w:hAnsi="Arial" w:cs="Arial"/>
                <w:color w:val="000000"/>
                <w:sz w:val="18"/>
                <w:szCs w:val="18"/>
                <w:lang w:val="es-ES" w:eastAsia="es-ES"/>
              </w:rPr>
              <w:t>Concepto</w:t>
            </w:r>
          </w:p>
        </w:tc>
        <w:tc>
          <w:tcPr>
            <w:tcW w:w="1183" w:type="dxa"/>
            <w:tcBorders>
              <w:top w:val="single" w:sz="4" w:space="0" w:color="auto"/>
              <w:left w:val="nil"/>
              <w:bottom w:val="single" w:sz="4" w:space="0" w:color="auto"/>
              <w:right w:val="nil"/>
            </w:tcBorders>
            <w:shd w:val="clear" w:color="000000" w:fill="FCD5B4"/>
            <w:noWrap/>
            <w:vAlign w:val="center"/>
            <w:hideMark/>
          </w:tcPr>
          <w:p w14:paraId="08782718" w14:textId="77777777" w:rsidR="00823774" w:rsidRPr="00103CDD" w:rsidRDefault="00823774" w:rsidP="006639E5">
            <w:pPr>
              <w:spacing w:after="0"/>
              <w:ind w:firstLine="0"/>
              <w:jc w:val="right"/>
              <w:rPr>
                <w:rFonts w:ascii="Arial" w:hAnsi="Arial" w:cs="Arial"/>
                <w:color w:val="000000"/>
                <w:sz w:val="18"/>
                <w:szCs w:val="18"/>
                <w:lang w:val="es-ES" w:eastAsia="es-ES"/>
              </w:rPr>
            </w:pPr>
            <w:r w:rsidRPr="00103CDD">
              <w:rPr>
                <w:rFonts w:ascii="Arial" w:hAnsi="Arial" w:cs="Arial"/>
                <w:color w:val="000000"/>
                <w:sz w:val="18"/>
                <w:szCs w:val="18"/>
                <w:lang w:val="es-ES" w:eastAsia="es-ES"/>
              </w:rPr>
              <w:t>2018</w:t>
            </w:r>
          </w:p>
        </w:tc>
        <w:tc>
          <w:tcPr>
            <w:tcW w:w="1183" w:type="dxa"/>
            <w:tcBorders>
              <w:top w:val="single" w:sz="4" w:space="0" w:color="auto"/>
              <w:left w:val="nil"/>
              <w:bottom w:val="single" w:sz="4" w:space="0" w:color="auto"/>
              <w:right w:val="nil"/>
            </w:tcBorders>
            <w:shd w:val="clear" w:color="000000" w:fill="FCD5B4"/>
            <w:noWrap/>
            <w:vAlign w:val="center"/>
            <w:hideMark/>
          </w:tcPr>
          <w:p w14:paraId="04807254" w14:textId="77777777" w:rsidR="00823774" w:rsidRPr="00103CDD" w:rsidRDefault="00823774" w:rsidP="006639E5">
            <w:pPr>
              <w:spacing w:after="0"/>
              <w:ind w:firstLine="0"/>
              <w:jc w:val="right"/>
              <w:rPr>
                <w:rFonts w:ascii="Arial" w:hAnsi="Arial" w:cs="Arial"/>
                <w:color w:val="000000"/>
                <w:sz w:val="18"/>
                <w:szCs w:val="18"/>
                <w:lang w:val="es-ES" w:eastAsia="es-ES"/>
              </w:rPr>
            </w:pPr>
            <w:r w:rsidRPr="00103CDD">
              <w:rPr>
                <w:rFonts w:ascii="Arial" w:hAnsi="Arial" w:cs="Arial"/>
                <w:color w:val="000000"/>
                <w:sz w:val="18"/>
                <w:szCs w:val="18"/>
                <w:lang w:val="es-ES" w:eastAsia="es-ES"/>
              </w:rPr>
              <w:t>2019</w:t>
            </w:r>
          </w:p>
        </w:tc>
        <w:tc>
          <w:tcPr>
            <w:tcW w:w="1018" w:type="dxa"/>
            <w:tcBorders>
              <w:top w:val="single" w:sz="4" w:space="0" w:color="auto"/>
              <w:left w:val="nil"/>
              <w:bottom w:val="single" w:sz="4" w:space="0" w:color="auto"/>
              <w:right w:val="nil"/>
            </w:tcBorders>
            <w:shd w:val="clear" w:color="000000" w:fill="FCD5B4"/>
            <w:noWrap/>
            <w:vAlign w:val="center"/>
            <w:hideMark/>
          </w:tcPr>
          <w:p w14:paraId="4EAEB33E" w14:textId="77777777" w:rsidR="00823774" w:rsidRPr="00103CDD" w:rsidRDefault="00823774" w:rsidP="006639E5">
            <w:pPr>
              <w:spacing w:after="0"/>
              <w:ind w:firstLine="0"/>
              <w:jc w:val="right"/>
              <w:rPr>
                <w:rFonts w:ascii="Arial" w:hAnsi="Arial" w:cs="Arial"/>
                <w:color w:val="000000"/>
                <w:sz w:val="18"/>
                <w:szCs w:val="18"/>
                <w:lang w:val="es-ES" w:eastAsia="es-ES"/>
              </w:rPr>
            </w:pPr>
            <w:r w:rsidRPr="00103CDD">
              <w:rPr>
                <w:rFonts w:ascii="Arial" w:hAnsi="Arial" w:cs="Arial"/>
                <w:color w:val="000000"/>
                <w:sz w:val="18"/>
                <w:szCs w:val="18"/>
                <w:lang w:val="es-ES" w:eastAsia="es-ES"/>
              </w:rPr>
              <w:t>2020</w:t>
            </w:r>
          </w:p>
        </w:tc>
        <w:tc>
          <w:tcPr>
            <w:tcW w:w="992" w:type="dxa"/>
            <w:tcBorders>
              <w:top w:val="single" w:sz="4" w:space="0" w:color="auto"/>
              <w:left w:val="nil"/>
              <w:bottom w:val="single" w:sz="4" w:space="0" w:color="auto"/>
              <w:right w:val="nil"/>
            </w:tcBorders>
            <w:shd w:val="clear" w:color="000000" w:fill="FCD5B4"/>
            <w:noWrap/>
            <w:vAlign w:val="center"/>
            <w:hideMark/>
          </w:tcPr>
          <w:p w14:paraId="1F1F2A3E" w14:textId="77777777" w:rsidR="00823774" w:rsidRPr="00103CDD" w:rsidRDefault="00823774" w:rsidP="006639E5">
            <w:pPr>
              <w:spacing w:after="0"/>
              <w:ind w:firstLine="0"/>
              <w:jc w:val="right"/>
              <w:rPr>
                <w:rFonts w:ascii="Arial" w:hAnsi="Arial" w:cs="Arial"/>
                <w:color w:val="000000"/>
                <w:sz w:val="18"/>
                <w:szCs w:val="18"/>
                <w:lang w:val="es-ES" w:eastAsia="es-ES"/>
              </w:rPr>
            </w:pPr>
            <w:r w:rsidRPr="00103CDD">
              <w:rPr>
                <w:rFonts w:ascii="Arial" w:hAnsi="Arial" w:cs="Arial"/>
                <w:color w:val="000000"/>
                <w:sz w:val="18"/>
                <w:szCs w:val="18"/>
                <w:lang w:val="es-ES" w:eastAsia="es-ES"/>
              </w:rPr>
              <w:t>2021</w:t>
            </w:r>
          </w:p>
        </w:tc>
      </w:tr>
      <w:tr w:rsidR="00823774" w:rsidRPr="00103CDD" w14:paraId="36C1B465" w14:textId="77777777" w:rsidTr="00A446B9">
        <w:trPr>
          <w:trHeight w:val="198"/>
        </w:trPr>
        <w:tc>
          <w:tcPr>
            <w:tcW w:w="4413" w:type="dxa"/>
            <w:tcBorders>
              <w:top w:val="single" w:sz="4" w:space="0" w:color="auto"/>
              <w:left w:val="nil"/>
              <w:bottom w:val="single" w:sz="2" w:space="0" w:color="auto"/>
              <w:right w:val="nil"/>
            </w:tcBorders>
            <w:shd w:val="clear" w:color="auto" w:fill="auto"/>
            <w:vAlign w:val="center"/>
          </w:tcPr>
          <w:p w14:paraId="7D940D88" w14:textId="77777777" w:rsidR="00823774" w:rsidRPr="00103CDD" w:rsidRDefault="00823774" w:rsidP="006639E5">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Ahorro bruto</w:t>
            </w:r>
          </w:p>
        </w:tc>
        <w:tc>
          <w:tcPr>
            <w:tcW w:w="1183" w:type="dxa"/>
            <w:tcBorders>
              <w:top w:val="single" w:sz="4" w:space="0" w:color="auto"/>
              <w:left w:val="nil"/>
              <w:bottom w:val="single" w:sz="2" w:space="0" w:color="auto"/>
              <w:right w:val="nil"/>
            </w:tcBorders>
            <w:shd w:val="clear" w:color="auto" w:fill="auto"/>
            <w:noWrap/>
            <w:vAlign w:val="center"/>
          </w:tcPr>
          <w:p w14:paraId="33D80960" w14:textId="77777777" w:rsidR="00823774" w:rsidRPr="00103CDD" w:rsidRDefault="00823774" w:rsidP="006639E5">
            <w:pPr>
              <w:spacing w:after="0"/>
              <w:ind w:firstLine="0"/>
              <w:jc w:val="right"/>
              <w:rPr>
                <w:rFonts w:ascii="Arial Narrow" w:hAnsi="Arial Narrow" w:cs="Calibri"/>
                <w:color w:val="000000"/>
                <w:sz w:val="17"/>
                <w:szCs w:val="17"/>
                <w:lang w:val="es-ES" w:eastAsia="es-ES"/>
              </w:rPr>
            </w:pPr>
            <w:r>
              <w:rPr>
                <w:rFonts w:ascii="Arial Narrow" w:hAnsi="Arial Narrow" w:cs="Calibri"/>
                <w:color w:val="000000"/>
                <w:sz w:val="17"/>
                <w:szCs w:val="17"/>
                <w:lang w:val="es-ES" w:eastAsia="es-ES"/>
              </w:rPr>
              <w:t>24.416.169</w:t>
            </w:r>
          </w:p>
        </w:tc>
        <w:tc>
          <w:tcPr>
            <w:tcW w:w="1183" w:type="dxa"/>
            <w:tcBorders>
              <w:top w:val="single" w:sz="4" w:space="0" w:color="auto"/>
              <w:left w:val="nil"/>
              <w:bottom w:val="single" w:sz="2" w:space="0" w:color="auto"/>
              <w:right w:val="nil"/>
            </w:tcBorders>
            <w:shd w:val="clear" w:color="auto" w:fill="auto"/>
            <w:noWrap/>
            <w:vAlign w:val="center"/>
          </w:tcPr>
          <w:p w14:paraId="01EC822B" w14:textId="77777777" w:rsidR="00823774" w:rsidRPr="00103CDD" w:rsidRDefault="00823774" w:rsidP="006639E5">
            <w:pPr>
              <w:spacing w:after="0"/>
              <w:ind w:firstLine="0"/>
              <w:jc w:val="right"/>
              <w:rPr>
                <w:rFonts w:ascii="Arial Narrow" w:hAnsi="Arial Narrow" w:cs="Calibri"/>
                <w:color w:val="000000"/>
                <w:sz w:val="17"/>
                <w:szCs w:val="17"/>
                <w:lang w:val="es-ES" w:eastAsia="es-ES"/>
              </w:rPr>
            </w:pPr>
            <w:r>
              <w:rPr>
                <w:rFonts w:ascii="Arial Narrow" w:hAnsi="Arial Narrow" w:cs="Calibri"/>
                <w:color w:val="000000"/>
                <w:sz w:val="17"/>
                <w:szCs w:val="17"/>
                <w:lang w:val="es-ES" w:eastAsia="es-ES"/>
              </w:rPr>
              <w:t>27.789.218</w:t>
            </w:r>
          </w:p>
        </w:tc>
        <w:tc>
          <w:tcPr>
            <w:tcW w:w="1018" w:type="dxa"/>
            <w:tcBorders>
              <w:top w:val="single" w:sz="4" w:space="0" w:color="auto"/>
              <w:left w:val="nil"/>
              <w:bottom w:val="single" w:sz="2" w:space="0" w:color="auto"/>
              <w:right w:val="nil"/>
            </w:tcBorders>
            <w:shd w:val="clear" w:color="auto" w:fill="auto"/>
            <w:noWrap/>
            <w:vAlign w:val="center"/>
          </w:tcPr>
          <w:p w14:paraId="694A5A60" w14:textId="77777777" w:rsidR="00823774" w:rsidRPr="00103CDD" w:rsidRDefault="00823774" w:rsidP="006639E5">
            <w:pPr>
              <w:spacing w:after="0"/>
              <w:ind w:firstLine="0"/>
              <w:jc w:val="right"/>
              <w:rPr>
                <w:rFonts w:ascii="Arial Narrow" w:hAnsi="Arial Narrow" w:cs="Calibri"/>
                <w:color w:val="000000"/>
                <w:sz w:val="17"/>
                <w:szCs w:val="17"/>
                <w:lang w:val="es-ES" w:eastAsia="es-ES"/>
              </w:rPr>
            </w:pPr>
            <w:r>
              <w:rPr>
                <w:rFonts w:ascii="Arial Narrow" w:hAnsi="Arial Narrow" w:cs="Calibri"/>
                <w:color w:val="000000"/>
                <w:sz w:val="17"/>
                <w:szCs w:val="17"/>
                <w:lang w:val="es-ES" w:eastAsia="es-ES"/>
              </w:rPr>
              <w:t>31.063.785</w:t>
            </w:r>
          </w:p>
        </w:tc>
        <w:tc>
          <w:tcPr>
            <w:tcW w:w="992" w:type="dxa"/>
            <w:tcBorders>
              <w:top w:val="single" w:sz="4" w:space="0" w:color="auto"/>
              <w:left w:val="nil"/>
              <w:bottom w:val="single" w:sz="2" w:space="0" w:color="auto"/>
              <w:right w:val="nil"/>
            </w:tcBorders>
            <w:shd w:val="clear" w:color="auto" w:fill="auto"/>
            <w:noWrap/>
            <w:vAlign w:val="center"/>
          </w:tcPr>
          <w:p w14:paraId="6479FBE7" w14:textId="77777777" w:rsidR="00823774" w:rsidRPr="00103CDD" w:rsidRDefault="00823774" w:rsidP="006639E5">
            <w:pPr>
              <w:spacing w:after="0"/>
              <w:ind w:firstLine="0"/>
              <w:jc w:val="right"/>
              <w:rPr>
                <w:rFonts w:ascii="Arial Narrow" w:hAnsi="Arial Narrow" w:cs="Calibri"/>
                <w:color w:val="000000"/>
                <w:sz w:val="17"/>
                <w:szCs w:val="17"/>
                <w:lang w:val="es-ES" w:eastAsia="es-ES"/>
              </w:rPr>
            </w:pPr>
            <w:r>
              <w:rPr>
                <w:rFonts w:ascii="Arial Narrow" w:hAnsi="Arial Narrow" w:cs="Calibri"/>
                <w:color w:val="000000"/>
                <w:sz w:val="17"/>
                <w:szCs w:val="17"/>
                <w:lang w:val="es-ES" w:eastAsia="es-ES"/>
              </w:rPr>
              <w:t>29.199.178</w:t>
            </w:r>
          </w:p>
        </w:tc>
      </w:tr>
      <w:tr w:rsidR="00823774" w:rsidRPr="00103CDD" w14:paraId="17C48D4E" w14:textId="77777777" w:rsidTr="00A446B9">
        <w:trPr>
          <w:trHeight w:val="198"/>
        </w:trPr>
        <w:tc>
          <w:tcPr>
            <w:tcW w:w="4413" w:type="dxa"/>
            <w:tcBorders>
              <w:top w:val="single" w:sz="2" w:space="0" w:color="auto"/>
              <w:left w:val="nil"/>
              <w:bottom w:val="single" w:sz="2" w:space="0" w:color="auto"/>
              <w:right w:val="nil"/>
            </w:tcBorders>
            <w:shd w:val="clear" w:color="auto" w:fill="auto"/>
            <w:vAlign w:val="center"/>
          </w:tcPr>
          <w:p w14:paraId="40325A9D" w14:textId="77777777" w:rsidR="00823774" w:rsidRPr="00103CDD" w:rsidRDefault="00823774" w:rsidP="006639E5">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Ahorro neto</w:t>
            </w:r>
          </w:p>
        </w:tc>
        <w:tc>
          <w:tcPr>
            <w:tcW w:w="1183" w:type="dxa"/>
            <w:tcBorders>
              <w:top w:val="single" w:sz="2" w:space="0" w:color="auto"/>
              <w:left w:val="nil"/>
              <w:bottom w:val="single" w:sz="2" w:space="0" w:color="auto"/>
              <w:right w:val="nil"/>
            </w:tcBorders>
            <w:shd w:val="clear" w:color="auto" w:fill="auto"/>
            <w:noWrap/>
            <w:vAlign w:val="center"/>
          </w:tcPr>
          <w:p w14:paraId="66CAFD4B" w14:textId="77777777" w:rsidR="00823774" w:rsidRPr="00103CDD" w:rsidRDefault="00823774" w:rsidP="006639E5">
            <w:pPr>
              <w:spacing w:after="0"/>
              <w:ind w:firstLine="0"/>
              <w:jc w:val="right"/>
              <w:rPr>
                <w:rFonts w:ascii="Arial Narrow" w:hAnsi="Arial Narrow" w:cs="Calibri"/>
                <w:color w:val="000000"/>
                <w:sz w:val="17"/>
                <w:szCs w:val="17"/>
                <w:lang w:val="es-ES" w:eastAsia="es-ES"/>
              </w:rPr>
            </w:pPr>
            <w:r>
              <w:rPr>
                <w:rFonts w:ascii="Arial Narrow" w:hAnsi="Arial Narrow" w:cs="Calibri"/>
                <w:color w:val="000000"/>
                <w:sz w:val="17"/>
                <w:szCs w:val="17"/>
                <w:lang w:val="es-ES" w:eastAsia="es-ES"/>
              </w:rPr>
              <w:t>14.958.240</w:t>
            </w:r>
          </w:p>
        </w:tc>
        <w:tc>
          <w:tcPr>
            <w:tcW w:w="1183" w:type="dxa"/>
            <w:tcBorders>
              <w:top w:val="single" w:sz="2" w:space="0" w:color="auto"/>
              <w:left w:val="nil"/>
              <w:bottom w:val="single" w:sz="2" w:space="0" w:color="auto"/>
              <w:right w:val="nil"/>
            </w:tcBorders>
            <w:shd w:val="clear" w:color="auto" w:fill="auto"/>
            <w:noWrap/>
            <w:vAlign w:val="center"/>
          </w:tcPr>
          <w:p w14:paraId="1464124C" w14:textId="77777777" w:rsidR="00823774" w:rsidRPr="00103CDD" w:rsidRDefault="00823774" w:rsidP="006639E5">
            <w:pPr>
              <w:spacing w:after="0"/>
              <w:ind w:firstLine="0"/>
              <w:jc w:val="right"/>
              <w:rPr>
                <w:rFonts w:ascii="Arial Narrow" w:hAnsi="Arial Narrow" w:cs="Calibri"/>
                <w:color w:val="000000"/>
                <w:sz w:val="17"/>
                <w:szCs w:val="17"/>
                <w:lang w:val="es-ES" w:eastAsia="es-ES"/>
              </w:rPr>
            </w:pPr>
            <w:r>
              <w:rPr>
                <w:rFonts w:ascii="Arial Narrow" w:hAnsi="Arial Narrow" w:cs="Calibri"/>
                <w:color w:val="000000"/>
                <w:sz w:val="17"/>
                <w:szCs w:val="17"/>
                <w:lang w:val="es-ES" w:eastAsia="es-ES"/>
              </w:rPr>
              <w:t>18.401.174</w:t>
            </w:r>
          </w:p>
        </w:tc>
        <w:tc>
          <w:tcPr>
            <w:tcW w:w="1018" w:type="dxa"/>
            <w:tcBorders>
              <w:top w:val="single" w:sz="2" w:space="0" w:color="auto"/>
              <w:left w:val="nil"/>
              <w:bottom w:val="single" w:sz="2" w:space="0" w:color="auto"/>
              <w:right w:val="nil"/>
            </w:tcBorders>
            <w:shd w:val="clear" w:color="auto" w:fill="auto"/>
            <w:noWrap/>
            <w:vAlign w:val="center"/>
          </w:tcPr>
          <w:p w14:paraId="5E1E9E3D" w14:textId="77777777" w:rsidR="00823774" w:rsidRPr="00103CDD" w:rsidRDefault="00823774" w:rsidP="006639E5">
            <w:pPr>
              <w:spacing w:after="0"/>
              <w:ind w:firstLine="0"/>
              <w:jc w:val="right"/>
              <w:rPr>
                <w:rFonts w:ascii="Arial Narrow" w:hAnsi="Arial Narrow" w:cs="Calibri"/>
                <w:color w:val="000000"/>
                <w:sz w:val="17"/>
                <w:szCs w:val="17"/>
                <w:lang w:val="es-ES" w:eastAsia="es-ES"/>
              </w:rPr>
            </w:pPr>
            <w:r>
              <w:rPr>
                <w:rFonts w:ascii="Arial Narrow" w:hAnsi="Arial Narrow" w:cs="Calibri"/>
                <w:color w:val="000000"/>
                <w:sz w:val="17"/>
                <w:szCs w:val="17"/>
                <w:lang w:val="es-ES" w:eastAsia="es-ES"/>
              </w:rPr>
              <w:t>21.736.446</w:t>
            </w:r>
          </w:p>
        </w:tc>
        <w:tc>
          <w:tcPr>
            <w:tcW w:w="992" w:type="dxa"/>
            <w:tcBorders>
              <w:top w:val="single" w:sz="2" w:space="0" w:color="auto"/>
              <w:left w:val="nil"/>
              <w:bottom w:val="single" w:sz="2" w:space="0" w:color="auto"/>
              <w:right w:val="nil"/>
            </w:tcBorders>
            <w:shd w:val="clear" w:color="auto" w:fill="auto"/>
            <w:noWrap/>
            <w:vAlign w:val="center"/>
          </w:tcPr>
          <w:p w14:paraId="57A95F94" w14:textId="77777777" w:rsidR="00823774" w:rsidRPr="00103CDD" w:rsidRDefault="00823774" w:rsidP="006639E5">
            <w:pPr>
              <w:spacing w:after="0"/>
              <w:ind w:firstLine="0"/>
              <w:jc w:val="right"/>
              <w:rPr>
                <w:rFonts w:ascii="Arial Narrow" w:hAnsi="Arial Narrow" w:cs="Calibri"/>
                <w:color w:val="000000"/>
                <w:sz w:val="17"/>
                <w:szCs w:val="17"/>
                <w:lang w:val="es-ES" w:eastAsia="es-ES"/>
              </w:rPr>
            </w:pPr>
            <w:r>
              <w:rPr>
                <w:rFonts w:ascii="Arial Narrow" w:hAnsi="Arial Narrow" w:cs="Calibri"/>
                <w:color w:val="000000"/>
                <w:sz w:val="17"/>
                <w:szCs w:val="17"/>
                <w:lang w:val="es-ES" w:eastAsia="es-ES"/>
              </w:rPr>
              <w:t>18.974.697</w:t>
            </w:r>
          </w:p>
        </w:tc>
      </w:tr>
      <w:tr w:rsidR="00823774" w:rsidRPr="00D40F5A" w14:paraId="041486F2" w14:textId="77777777" w:rsidTr="00A446B9">
        <w:trPr>
          <w:trHeight w:val="198"/>
        </w:trPr>
        <w:tc>
          <w:tcPr>
            <w:tcW w:w="4413" w:type="dxa"/>
            <w:tcBorders>
              <w:top w:val="single" w:sz="2" w:space="0" w:color="auto"/>
              <w:left w:val="nil"/>
              <w:bottom w:val="single" w:sz="2" w:space="0" w:color="auto"/>
              <w:right w:val="nil"/>
            </w:tcBorders>
            <w:shd w:val="clear" w:color="auto" w:fill="auto"/>
            <w:vAlign w:val="center"/>
            <w:hideMark/>
          </w:tcPr>
          <w:p w14:paraId="6A6DA953" w14:textId="77777777" w:rsidR="00823774" w:rsidRPr="00D40F5A" w:rsidRDefault="00823774" w:rsidP="006639E5">
            <w:pPr>
              <w:spacing w:after="0"/>
              <w:ind w:firstLine="0"/>
              <w:jc w:val="left"/>
              <w:rPr>
                <w:rFonts w:ascii="Arial Narrow" w:hAnsi="Arial Narrow" w:cs="Calibri"/>
                <w:lang w:val="es-ES" w:eastAsia="es-ES"/>
              </w:rPr>
            </w:pPr>
            <w:r w:rsidRPr="00D40F5A">
              <w:rPr>
                <w:rFonts w:ascii="Arial Narrow" w:hAnsi="Arial Narrow" w:cs="Calibri"/>
                <w:lang w:val="es-ES" w:eastAsia="es-ES"/>
              </w:rPr>
              <w:t>Deuda viva</w:t>
            </w:r>
          </w:p>
        </w:tc>
        <w:tc>
          <w:tcPr>
            <w:tcW w:w="1183" w:type="dxa"/>
            <w:tcBorders>
              <w:top w:val="single" w:sz="2" w:space="0" w:color="auto"/>
              <w:left w:val="nil"/>
              <w:bottom w:val="single" w:sz="2" w:space="0" w:color="auto"/>
              <w:right w:val="nil"/>
            </w:tcBorders>
            <w:shd w:val="clear" w:color="auto" w:fill="auto"/>
            <w:noWrap/>
            <w:vAlign w:val="center"/>
            <w:hideMark/>
          </w:tcPr>
          <w:p w14:paraId="0C05B3A4" w14:textId="77777777" w:rsidR="00823774" w:rsidRPr="00D40F5A" w:rsidRDefault="00823774" w:rsidP="006639E5">
            <w:pPr>
              <w:spacing w:after="0"/>
              <w:ind w:firstLine="0"/>
              <w:jc w:val="right"/>
              <w:rPr>
                <w:rFonts w:ascii="Arial Narrow" w:hAnsi="Arial Narrow" w:cs="Calibri"/>
                <w:sz w:val="17"/>
                <w:szCs w:val="17"/>
                <w:lang w:val="es-ES" w:eastAsia="es-ES"/>
              </w:rPr>
            </w:pPr>
            <w:r w:rsidRPr="00D40F5A">
              <w:rPr>
                <w:rFonts w:ascii="Arial Narrow" w:hAnsi="Arial Narrow" w:cs="Calibri"/>
                <w:sz w:val="17"/>
                <w:szCs w:val="17"/>
                <w:lang w:val="es-ES" w:eastAsia="es-ES"/>
              </w:rPr>
              <w:t>68.956.866</w:t>
            </w:r>
          </w:p>
        </w:tc>
        <w:tc>
          <w:tcPr>
            <w:tcW w:w="1183" w:type="dxa"/>
            <w:tcBorders>
              <w:top w:val="single" w:sz="2" w:space="0" w:color="auto"/>
              <w:left w:val="nil"/>
              <w:bottom w:val="single" w:sz="2" w:space="0" w:color="auto"/>
              <w:right w:val="nil"/>
            </w:tcBorders>
            <w:shd w:val="clear" w:color="auto" w:fill="auto"/>
            <w:noWrap/>
            <w:vAlign w:val="center"/>
            <w:hideMark/>
          </w:tcPr>
          <w:p w14:paraId="51C94FED" w14:textId="77777777" w:rsidR="00823774" w:rsidRPr="00D40F5A" w:rsidRDefault="00823774" w:rsidP="006639E5">
            <w:pPr>
              <w:spacing w:after="0"/>
              <w:ind w:firstLine="0"/>
              <w:jc w:val="right"/>
              <w:rPr>
                <w:rFonts w:ascii="Arial Narrow" w:hAnsi="Arial Narrow" w:cs="Calibri"/>
                <w:sz w:val="17"/>
                <w:szCs w:val="17"/>
                <w:lang w:val="es-ES" w:eastAsia="es-ES"/>
              </w:rPr>
            </w:pPr>
            <w:r w:rsidRPr="00D40F5A">
              <w:rPr>
                <w:rFonts w:ascii="Arial Narrow" w:hAnsi="Arial Narrow" w:cs="Calibri"/>
                <w:sz w:val="17"/>
                <w:szCs w:val="17"/>
                <w:lang w:val="es-ES" w:eastAsia="es-ES"/>
              </w:rPr>
              <w:t>60.156.268</w:t>
            </w:r>
          </w:p>
        </w:tc>
        <w:tc>
          <w:tcPr>
            <w:tcW w:w="1018" w:type="dxa"/>
            <w:tcBorders>
              <w:top w:val="single" w:sz="2" w:space="0" w:color="auto"/>
              <w:left w:val="nil"/>
              <w:bottom w:val="single" w:sz="2" w:space="0" w:color="auto"/>
              <w:right w:val="nil"/>
            </w:tcBorders>
            <w:shd w:val="clear" w:color="auto" w:fill="auto"/>
            <w:noWrap/>
            <w:vAlign w:val="center"/>
            <w:hideMark/>
          </w:tcPr>
          <w:p w14:paraId="330C1D87" w14:textId="77777777" w:rsidR="00823774" w:rsidRPr="00D40F5A" w:rsidRDefault="00823774" w:rsidP="006639E5">
            <w:pPr>
              <w:spacing w:after="0"/>
              <w:ind w:firstLine="0"/>
              <w:jc w:val="right"/>
              <w:rPr>
                <w:rFonts w:ascii="Arial Narrow" w:hAnsi="Arial Narrow" w:cs="Calibri"/>
                <w:sz w:val="17"/>
                <w:szCs w:val="17"/>
                <w:lang w:val="es-ES" w:eastAsia="es-ES"/>
              </w:rPr>
            </w:pPr>
            <w:r w:rsidRPr="00D40F5A">
              <w:rPr>
                <w:rFonts w:ascii="Arial Narrow" w:hAnsi="Arial Narrow" w:cs="Calibri"/>
                <w:sz w:val="17"/>
                <w:szCs w:val="17"/>
                <w:lang w:val="es-ES" w:eastAsia="es-ES"/>
              </w:rPr>
              <w:t>51.352.561</w:t>
            </w:r>
          </w:p>
        </w:tc>
        <w:tc>
          <w:tcPr>
            <w:tcW w:w="992" w:type="dxa"/>
            <w:tcBorders>
              <w:top w:val="single" w:sz="2" w:space="0" w:color="auto"/>
              <w:left w:val="nil"/>
              <w:bottom w:val="single" w:sz="2" w:space="0" w:color="auto"/>
              <w:right w:val="nil"/>
            </w:tcBorders>
            <w:shd w:val="clear" w:color="auto" w:fill="auto"/>
            <w:noWrap/>
            <w:vAlign w:val="center"/>
            <w:hideMark/>
          </w:tcPr>
          <w:p w14:paraId="72D58321" w14:textId="77777777" w:rsidR="00823774" w:rsidRPr="00D40F5A" w:rsidRDefault="00823774" w:rsidP="006639E5">
            <w:pPr>
              <w:spacing w:after="0"/>
              <w:ind w:firstLine="0"/>
              <w:jc w:val="right"/>
              <w:rPr>
                <w:rFonts w:ascii="Arial Narrow" w:hAnsi="Arial Narrow" w:cs="Calibri"/>
                <w:sz w:val="17"/>
                <w:szCs w:val="17"/>
                <w:lang w:val="es-ES" w:eastAsia="es-ES"/>
              </w:rPr>
            </w:pPr>
            <w:r w:rsidRPr="00D40F5A">
              <w:rPr>
                <w:rFonts w:ascii="Arial Narrow" w:hAnsi="Arial Narrow" w:cs="Calibri"/>
                <w:sz w:val="17"/>
                <w:szCs w:val="17"/>
                <w:lang w:val="es-ES" w:eastAsia="es-ES"/>
              </w:rPr>
              <w:t>41.571.121</w:t>
            </w:r>
          </w:p>
        </w:tc>
      </w:tr>
      <w:tr w:rsidR="00823774" w:rsidRPr="00D40F5A" w14:paraId="6FB8FC4D" w14:textId="77777777" w:rsidTr="00507F47">
        <w:trPr>
          <w:trHeight w:val="198"/>
        </w:trPr>
        <w:tc>
          <w:tcPr>
            <w:tcW w:w="4413" w:type="dxa"/>
            <w:tcBorders>
              <w:top w:val="single" w:sz="2" w:space="0" w:color="auto"/>
              <w:left w:val="nil"/>
              <w:bottom w:val="single" w:sz="4" w:space="0" w:color="auto"/>
              <w:right w:val="nil"/>
            </w:tcBorders>
            <w:shd w:val="clear" w:color="auto" w:fill="auto"/>
            <w:vAlign w:val="center"/>
            <w:hideMark/>
          </w:tcPr>
          <w:p w14:paraId="2289B26E" w14:textId="77777777" w:rsidR="00823774" w:rsidRPr="00D40F5A" w:rsidRDefault="00823774" w:rsidP="00B110F7">
            <w:pPr>
              <w:spacing w:after="0"/>
              <w:ind w:firstLine="0"/>
              <w:jc w:val="left"/>
              <w:rPr>
                <w:rFonts w:ascii="Arial Narrow" w:hAnsi="Arial Narrow" w:cs="Calibri"/>
                <w:bCs/>
                <w:lang w:val="es-ES" w:eastAsia="es-ES"/>
              </w:rPr>
            </w:pPr>
            <w:r w:rsidRPr="00D40F5A">
              <w:rPr>
                <w:rFonts w:ascii="Arial Narrow" w:hAnsi="Arial Narrow" w:cs="Calibri"/>
                <w:bCs/>
                <w:lang w:val="es-ES" w:eastAsia="es-ES"/>
              </w:rPr>
              <w:t>% Deuda viva sobre presupuesto</w:t>
            </w:r>
          </w:p>
        </w:tc>
        <w:tc>
          <w:tcPr>
            <w:tcW w:w="1183" w:type="dxa"/>
            <w:tcBorders>
              <w:top w:val="single" w:sz="2" w:space="0" w:color="auto"/>
              <w:left w:val="nil"/>
              <w:bottom w:val="single" w:sz="4" w:space="0" w:color="auto"/>
              <w:right w:val="nil"/>
            </w:tcBorders>
            <w:shd w:val="clear" w:color="auto" w:fill="auto"/>
            <w:noWrap/>
            <w:vAlign w:val="center"/>
            <w:hideMark/>
          </w:tcPr>
          <w:p w14:paraId="178EE880" w14:textId="77777777" w:rsidR="00823774" w:rsidRPr="00D40F5A" w:rsidRDefault="00823774" w:rsidP="006639E5">
            <w:pPr>
              <w:spacing w:after="0"/>
              <w:ind w:firstLine="0"/>
              <w:jc w:val="right"/>
              <w:rPr>
                <w:rFonts w:ascii="Arial Narrow" w:hAnsi="Arial Narrow" w:cs="Calibri"/>
                <w:bCs/>
                <w:sz w:val="17"/>
                <w:szCs w:val="17"/>
                <w:lang w:val="es-ES" w:eastAsia="es-ES"/>
              </w:rPr>
            </w:pPr>
            <w:r w:rsidRPr="00D40F5A">
              <w:rPr>
                <w:rFonts w:ascii="Arial Narrow" w:hAnsi="Arial Narrow" w:cs="Calibri"/>
                <w:bCs/>
                <w:sz w:val="17"/>
                <w:szCs w:val="17"/>
                <w:lang w:val="es-ES" w:eastAsia="es-ES"/>
              </w:rPr>
              <w:t>31,23%</w:t>
            </w:r>
          </w:p>
        </w:tc>
        <w:tc>
          <w:tcPr>
            <w:tcW w:w="1183" w:type="dxa"/>
            <w:tcBorders>
              <w:top w:val="single" w:sz="2" w:space="0" w:color="auto"/>
              <w:left w:val="nil"/>
              <w:bottom w:val="single" w:sz="4" w:space="0" w:color="auto"/>
              <w:right w:val="nil"/>
            </w:tcBorders>
            <w:shd w:val="clear" w:color="auto" w:fill="auto"/>
            <w:noWrap/>
            <w:vAlign w:val="center"/>
            <w:hideMark/>
          </w:tcPr>
          <w:p w14:paraId="607A355D" w14:textId="77777777" w:rsidR="00823774" w:rsidRPr="00D40F5A" w:rsidRDefault="00823774" w:rsidP="006639E5">
            <w:pPr>
              <w:spacing w:after="0"/>
              <w:ind w:firstLine="0"/>
              <w:jc w:val="right"/>
              <w:rPr>
                <w:rFonts w:ascii="Arial Narrow" w:hAnsi="Arial Narrow" w:cs="Calibri"/>
                <w:bCs/>
                <w:sz w:val="17"/>
                <w:szCs w:val="17"/>
                <w:lang w:val="es-ES" w:eastAsia="es-ES"/>
              </w:rPr>
            </w:pPr>
            <w:r w:rsidRPr="00D40F5A">
              <w:rPr>
                <w:rFonts w:ascii="Arial Narrow" w:hAnsi="Arial Narrow" w:cs="Calibri"/>
                <w:bCs/>
                <w:sz w:val="17"/>
                <w:szCs w:val="17"/>
                <w:lang w:val="es-ES" w:eastAsia="es-ES"/>
              </w:rPr>
              <w:t>27,22%</w:t>
            </w:r>
          </w:p>
        </w:tc>
        <w:tc>
          <w:tcPr>
            <w:tcW w:w="1018" w:type="dxa"/>
            <w:tcBorders>
              <w:top w:val="single" w:sz="2" w:space="0" w:color="auto"/>
              <w:left w:val="nil"/>
              <w:bottom w:val="single" w:sz="4" w:space="0" w:color="auto"/>
              <w:right w:val="nil"/>
            </w:tcBorders>
            <w:shd w:val="clear" w:color="auto" w:fill="auto"/>
            <w:noWrap/>
            <w:vAlign w:val="center"/>
            <w:hideMark/>
          </w:tcPr>
          <w:p w14:paraId="4B5E19D6" w14:textId="77777777" w:rsidR="00823774" w:rsidRPr="00D40F5A" w:rsidRDefault="00823774" w:rsidP="006639E5">
            <w:pPr>
              <w:spacing w:after="0"/>
              <w:ind w:firstLine="0"/>
              <w:jc w:val="right"/>
              <w:rPr>
                <w:rFonts w:ascii="Arial Narrow" w:hAnsi="Arial Narrow" w:cs="Calibri"/>
                <w:bCs/>
                <w:sz w:val="17"/>
                <w:szCs w:val="17"/>
                <w:lang w:val="es-ES" w:eastAsia="es-ES"/>
              </w:rPr>
            </w:pPr>
            <w:r w:rsidRPr="00D40F5A">
              <w:rPr>
                <w:rFonts w:ascii="Arial Narrow" w:hAnsi="Arial Narrow" w:cs="Calibri"/>
                <w:bCs/>
                <w:sz w:val="17"/>
                <w:szCs w:val="17"/>
                <w:lang w:val="es-ES" w:eastAsia="es-ES"/>
              </w:rPr>
              <w:t>22,71%</w:t>
            </w:r>
          </w:p>
        </w:tc>
        <w:tc>
          <w:tcPr>
            <w:tcW w:w="992" w:type="dxa"/>
            <w:tcBorders>
              <w:top w:val="single" w:sz="2" w:space="0" w:color="auto"/>
              <w:left w:val="nil"/>
              <w:bottom w:val="single" w:sz="4" w:space="0" w:color="auto"/>
              <w:right w:val="nil"/>
            </w:tcBorders>
            <w:shd w:val="clear" w:color="auto" w:fill="auto"/>
            <w:noWrap/>
            <w:vAlign w:val="center"/>
            <w:hideMark/>
          </w:tcPr>
          <w:p w14:paraId="7411F38A" w14:textId="77777777" w:rsidR="00823774" w:rsidRPr="00D40F5A" w:rsidRDefault="00823774" w:rsidP="006639E5">
            <w:pPr>
              <w:spacing w:after="0"/>
              <w:ind w:firstLine="0"/>
              <w:jc w:val="right"/>
              <w:rPr>
                <w:rFonts w:ascii="Arial Narrow" w:hAnsi="Arial Narrow" w:cs="Calibri"/>
                <w:bCs/>
                <w:sz w:val="17"/>
                <w:szCs w:val="17"/>
                <w:lang w:val="es-ES" w:eastAsia="es-ES"/>
              </w:rPr>
            </w:pPr>
            <w:r w:rsidRPr="00D40F5A">
              <w:rPr>
                <w:rFonts w:ascii="Arial Narrow" w:hAnsi="Arial Narrow" w:cs="Calibri"/>
                <w:bCs/>
                <w:sz w:val="17"/>
                <w:szCs w:val="17"/>
                <w:lang w:val="es-ES" w:eastAsia="es-ES"/>
              </w:rPr>
              <w:t>14,79%</w:t>
            </w:r>
          </w:p>
        </w:tc>
      </w:tr>
      <w:tr w:rsidR="001A6BF8" w:rsidRPr="00D40F5A" w14:paraId="17146353" w14:textId="77777777" w:rsidTr="005D2202">
        <w:trPr>
          <w:trHeight w:val="198"/>
        </w:trPr>
        <w:tc>
          <w:tcPr>
            <w:tcW w:w="4413" w:type="dxa"/>
            <w:tcBorders>
              <w:top w:val="single" w:sz="4" w:space="0" w:color="auto"/>
              <w:left w:val="nil"/>
              <w:bottom w:val="single" w:sz="4" w:space="0" w:color="auto"/>
              <w:right w:val="nil"/>
            </w:tcBorders>
            <w:shd w:val="clear" w:color="auto" w:fill="auto"/>
            <w:vAlign w:val="center"/>
          </w:tcPr>
          <w:p w14:paraId="26B409E3" w14:textId="77777777" w:rsidR="001A6BF8" w:rsidRPr="00D40F5A" w:rsidRDefault="001A6BF8" w:rsidP="00B110F7">
            <w:pPr>
              <w:spacing w:after="0"/>
              <w:ind w:firstLine="0"/>
              <w:jc w:val="left"/>
              <w:rPr>
                <w:rFonts w:ascii="Arial Narrow" w:hAnsi="Arial Narrow" w:cs="Calibri"/>
                <w:bCs/>
                <w:lang w:val="es-ES" w:eastAsia="es-ES"/>
              </w:rPr>
            </w:pPr>
            <w:r>
              <w:rPr>
                <w:rFonts w:ascii="Arial Narrow" w:hAnsi="Arial Narrow" w:cs="Calibri"/>
                <w:bCs/>
                <w:lang w:val="es-ES" w:eastAsia="es-ES"/>
              </w:rPr>
              <w:t>% Deuda viva sobre ingresos corrientes</w:t>
            </w:r>
          </w:p>
        </w:tc>
        <w:tc>
          <w:tcPr>
            <w:tcW w:w="1183" w:type="dxa"/>
            <w:tcBorders>
              <w:top w:val="single" w:sz="4" w:space="0" w:color="auto"/>
              <w:left w:val="nil"/>
              <w:bottom w:val="single" w:sz="4" w:space="0" w:color="auto"/>
              <w:right w:val="nil"/>
            </w:tcBorders>
            <w:shd w:val="clear" w:color="auto" w:fill="auto"/>
            <w:noWrap/>
            <w:vAlign w:val="center"/>
          </w:tcPr>
          <w:p w14:paraId="63EC234D" w14:textId="77777777" w:rsidR="001A6BF8" w:rsidRPr="00D40F5A" w:rsidRDefault="001A6BF8" w:rsidP="006639E5">
            <w:pPr>
              <w:spacing w:after="0"/>
              <w:ind w:firstLine="0"/>
              <w:jc w:val="right"/>
              <w:rPr>
                <w:rFonts w:ascii="Arial Narrow" w:hAnsi="Arial Narrow" w:cs="Calibri"/>
                <w:bCs/>
                <w:sz w:val="17"/>
                <w:szCs w:val="17"/>
                <w:lang w:val="es-ES" w:eastAsia="es-ES"/>
              </w:rPr>
            </w:pPr>
            <w:r>
              <w:rPr>
                <w:rFonts w:ascii="Arial Narrow" w:hAnsi="Arial Narrow" w:cs="Calibri"/>
                <w:bCs/>
                <w:sz w:val="17"/>
                <w:szCs w:val="17"/>
                <w:lang w:val="es-ES" w:eastAsia="es-ES"/>
              </w:rPr>
              <w:t>34,02%</w:t>
            </w:r>
          </w:p>
        </w:tc>
        <w:tc>
          <w:tcPr>
            <w:tcW w:w="1183" w:type="dxa"/>
            <w:tcBorders>
              <w:top w:val="single" w:sz="4" w:space="0" w:color="auto"/>
              <w:left w:val="nil"/>
              <w:bottom w:val="single" w:sz="4" w:space="0" w:color="auto"/>
              <w:right w:val="nil"/>
            </w:tcBorders>
            <w:shd w:val="clear" w:color="auto" w:fill="auto"/>
            <w:noWrap/>
            <w:vAlign w:val="center"/>
          </w:tcPr>
          <w:p w14:paraId="75133901" w14:textId="77777777" w:rsidR="001A6BF8" w:rsidRPr="00D40F5A" w:rsidRDefault="001A6BF8" w:rsidP="006639E5">
            <w:pPr>
              <w:spacing w:after="0"/>
              <w:ind w:firstLine="0"/>
              <w:jc w:val="right"/>
              <w:rPr>
                <w:rFonts w:ascii="Arial Narrow" w:hAnsi="Arial Narrow" w:cs="Calibri"/>
                <w:bCs/>
                <w:sz w:val="17"/>
                <w:szCs w:val="17"/>
                <w:lang w:val="es-ES" w:eastAsia="es-ES"/>
              </w:rPr>
            </w:pPr>
            <w:r>
              <w:rPr>
                <w:rFonts w:ascii="Arial Narrow" w:hAnsi="Arial Narrow" w:cs="Calibri"/>
                <w:bCs/>
                <w:sz w:val="17"/>
                <w:szCs w:val="17"/>
                <w:lang w:val="es-ES" w:eastAsia="es-ES"/>
              </w:rPr>
              <w:t>28,94%</w:t>
            </w:r>
          </w:p>
        </w:tc>
        <w:tc>
          <w:tcPr>
            <w:tcW w:w="1018" w:type="dxa"/>
            <w:tcBorders>
              <w:top w:val="single" w:sz="4" w:space="0" w:color="auto"/>
              <w:left w:val="nil"/>
              <w:bottom w:val="single" w:sz="4" w:space="0" w:color="auto"/>
              <w:right w:val="nil"/>
            </w:tcBorders>
            <w:shd w:val="clear" w:color="auto" w:fill="auto"/>
            <w:noWrap/>
            <w:vAlign w:val="center"/>
          </w:tcPr>
          <w:p w14:paraId="7D7EDB1D" w14:textId="77777777" w:rsidR="001A6BF8" w:rsidRPr="00D40F5A" w:rsidRDefault="001A6BF8" w:rsidP="006639E5">
            <w:pPr>
              <w:spacing w:after="0"/>
              <w:ind w:firstLine="0"/>
              <w:jc w:val="right"/>
              <w:rPr>
                <w:rFonts w:ascii="Arial Narrow" w:hAnsi="Arial Narrow" w:cs="Calibri"/>
                <w:bCs/>
                <w:sz w:val="17"/>
                <w:szCs w:val="17"/>
                <w:lang w:val="es-ES" w:eastAsia="es-ES"/>
              </w:rPr>
            </w:pPr>
            <w:r>
              <w:rPr>
                <w:rFonts w:ascii="Arial Narrow" w:hAnsi="Arial Narrow" w:cs="Calibri"/>
                <w:bCs/>
                <w:sz w:val="17"/>
                <w:szCs w:val="17"/>
                <w:lang w:val="es-ES" w:eastAsia="es-ES"/>
              </w:rPr>
              <w:t>23,65%</w:t>
            </w:r>
          </w:p>
        </w:tc>
        <w:tc>
          <w:tcPr>
            <w:tcW w:w="992" w:type="dxa"/>
            <w:tcBorders>
              <w:top w:val="single" w:sz="4" w:space="0" w:color="auto"/>
              <w:left w:val="nil"/>
              <w:bottom w:val="single" w:sz="4" w:space="0" w:color="auto"/>
              <w:right w:val="nil"/>
            </w:tcBorders>
            <w:shd w:val="clear" w:color="auto" w:fill="auto"/>
            <w:noWrap/>
            <w:vAlign w:val="center"/>
          </w:tcPr>
          <w:p w14:paraId="06A8DC34" w14:textId="77777777" w:rsidR="001A6BF8" w:rsidRPr="00D40F5A" w:rsidRDefault="001A6BF8" w:rsidP="006639E5">
            <w:pPr>
              <w:spacing w:after="0"/>
              <w:ind w:firstLine="0"/>
              <w:jc w:val="right"/>
              <w:rPr>
                <w:rFonts w:ascii="Arial Narrow" w:hAnsi="Arial Narrow" w:cs="Calibri"/>
                <w:bCs/>
                <w:sz w:val="17"/>
                <w:szCs w:val="17"/>
                <w:lang w:val="es-ES" w:eastAsia="es-ES"/>
              </w:rPr>
            </w:pPr>
            <w:r>
              <w:rPr>
                <w:rFonts w:ascii="Arial Narrow" w:hAnsi="Arial Narrow" w:cs="Calibri"/>
                <w:bCs/>
                <w:sz w:val="17"/>
                <w:szCs w:val="17"/>
                <w:lang w:val="es-ES" w:eastAsia="es-ES"/>
              </w:rPr>
              <w:t>18,67%</w:t>
            </w:r>
          </w:p>
        </w:tc>
      </w:tr>
    </w:tbl>
    <w:p w14:paraId="043335FB" w14:textId="77777777" w:rsidR="00823774" w:rsidRDefault="00823774" w:rsidP="009B70C9">
      <w:pPr>
        <w:pStyle w:val="texto"/>
      </w:pPr>
    </w:p>
    <w:p w14:paraId="3BAA94F5" w14:textId="77777777" w:rsidR="00A44D56" w:rsidRPr="00F20E58" w:rsidRDefault="002D239E" w:rsidP="002D239E">
      <w:pPr>
        <w:numPr>
          <w:ilvl w:val="0"/>
          <w:numId w:val="2"/>
        </w:numPr>
        <w:tabs>
          <w:tab w:val="clear" w:pos="502"/>
          <w:tab w:val="left" w:pos="480"/>
          <w:tab w:val="num" w:pos="720"/>
          <w:tab w:val="num" w:pos="6597"/>
        </w:tabs>
        <w:ind w:left="0" w:firstLine="289"/>
        <w:rPr>
          <w:sz w:val="26"/>
          <w:szCs w:val="26"/>
        </w:rPr>
      </w:pPr>
      <w:r w:rsidRPr="00F20E58">
        <w:rPr>
          <w:sz w:val="26"/>
          <w:szCs w:val="26"/>
        </w:rPr>
        <w:t xml:space="preserve">La información que se incluye en el informe de Intervención de la cuenta general, </w:t>
      </w:r>
      <w:r w:rsidR="00A44D56" w:rsidRPr="00F20E58">
        <w:rPr>
          <w:sz w:val="26"/>
          <w:szCs w:val="26"/>
        </w:rPr>
        <w:t xml:space="preserve">referente </w:t>
      </w:r>
      <w:r w:rsidRPr="00F20E58">
        <w:rPr>
          <w:sz w:val="26"/>
          <w:szCs w:val="26"/>
        </w:rPr>
        <w:t>a un litigio pendiente de</w:t>
      </w:r>
      <w:r w:rsidR="00F20E58">
        <w:rPr>
          <w:sz w:val="26"/>
          <w:szCs w:val="26"/>
        </w:rPr>
        <w:t xml:space="preserve"> admisión para su</w:t>
      </w:r>
      <w:r w:rsidRPr="00F20E58">
        <w:rPr>
          <w:sz w:val="26"/>
          <w:szCs w:val="26"/>
        </w:rPr>
        <w:t xml:space="preserve"> resolución por el Tribunal Supremo sobre </w:t>
      </w:r>
      <w:r w:rsidR="00A44D56" w:rsidRPr="00F20E58">
        <w:rPr>
          <w:sz w:val="26"/>
          <w:szCs w:val="26"/>
        </w:rPr>
        <w:t xml:space="preserve">un conflicto colectivo que se ha judicializado en el ámbito de lo social, y que afecta a la forma de gestión directa del servicio de atención domiciliaria con sociedad mercantil de capital íntegramente municipal, Servicio de Atención a Domicilio S.L.U. (en adelante SAD S.L.U.). En el apéndice 5.6 de nuestro informe detallamos la organización del servicio y la situación del citado conflicto colectivo. </w:t>
      </w:r>
    </w:p>
    <w:p w14:paraId="1A214C61" w14:textId="77777777" w:rsidR="002D239E" w:rsidRPr="002D239E" w:rsidRDefault="002D239E" w:rsidP="00A44D56">
      <w:pPr>
        <w:tabs>
          <w:tab w:val="left" w:pos="480"/>
          <w:tab w:val="num" w:pos="6597"/>
        </w:tabs>
        <w:ind w:left="289" w:firstLine="0"/>
        <w:rPr>
          <w:color w:val="000000" w:themeColor="text1"/>
          <w:sz w:val="26"/>
          <w:szCs w:val="26"/>
        </w:rPr>
      </w:pPr>
    </w:p>
    <w:p w14:paraId="0A7BE2C2" w14:textId="77777777" w:rsidR="004E56AA" w:rsidRDefault="004E56AA" w:rsidP="004E56AA">
      <w:pPr>
        <w:spacing w:after="0"/>
        <w:ind w:firstLine="0"/>
        <w:rPr>
          <w:rFonts w:ascii="Arial" w:hAnsi="Arial"/>
          <w:b/>
          <w:color w:val="000000"/>
          <w:kern w:val="28"/>
          <w:sz w:val="25"/>
          <w:szCs w:val="26"/>
        </w:rPr>
      </w:pPr>
    </w:p>
    <w:p w14:paraId="4DB6E4D2" w14:textId="77777777" w:rsidR="00B110F7" w:rsidRDefault="00B110F7" w:rsidP="004E56AA">
      <w:pPr>
        <w:spacing w:after="0"/>
        <w:ind w:firstLine="0"/>
        <w:rPr>
          <w:rFonts w:ascii="Arial" w:hAnsi="Arial"/>
          <w:b/>
          <w:color w:val="000000"/>
          <w:kern w:val="28"/>
          <w:sz w:val="25"/>
          <w:szCs w:val="26"/>
        </w:rPr>
      </w:pPr>
    </w:p>
    <w:p w14:paraId="7C753CE7" w14:textId="77777777" w:rsidR="00C56577" w:rsidRDefault="00C56577">
      <w:pPr>
        <w:spacing w:after="0"/>
        <w:ind w:firstLine="0"/>
        <w:jc w:val="left"/>
        <w:rPr>
          <w:rFonts w:ascii="Arial" w:hAnsi="Arial"/>
          <w:b/>
          <w:color w:val="000000"/>
          <w:kern w:val="28"/>
          <w:sz w:val="25"/>
          <w:szCs w:val="26"/>
        </w:rPr>
      </w:pPr>
      <w:r>
        <w:rPr>
          <w:rFonts w:ascii="Arial" w:hAnsi="Arial"/>
          <w:b/>
          <w:color w:val="000000"/>
          <w:kern w:val="28"/>
          <w:sz w:val="25"/>
          <w:szCs w:val="26"/>
        </w:rPr>
        <w:br w:type="page"/>
      </w:r>
    </w:p>
    <w:p w14:paraId="38AE6A59" w14:textId="77777777" w:rsidR="00807992" w:rsidRPr="00F841C0" w:rsidRDefault="00807992" w:rsidP="00F841C0">
      <w:pPr>
        <w:pStyle w:val="atitulo1"/>
      </w:pPr>
      <w:bookmarkStart w:id="63" w:name="_Toc118266016"/>
      <w:bookmarkStart w:id="64" w:name="_Toc129243479"/>
      <w:r w:rsidRPr="00F841C0">
        <w:lastRenderedPageBreak/>
        <w:t>V</w:t>
      </w:r>
      <w:r w:rsidR="00517A8A">
        <w:t>I</w:t>
      </w:r>
      <w:r w:rsidRPr="00F841C0">
        <w:t>I. Responsabilidad del Ayuntamiento de Pamplona</w:t>
      </w:r>
      <w:bookmarkEnd w:id="63"/>
      <w:bookmarkEnd w:id="64"/>
    </w:p>
    <w:p w14:paraId="163298B3" w14:textId="77777777" w:rsidR="00807992" w:rsidRPr="00BC6FA0" w:rsidRDefault="00807992" w:rsidP="00807992">
      <w:pPr>
        <w:pStyle w:val="texto"/>
      </w:pPr>
      <w:r w:rsidRPr="00F20E58">
        <w:t xml:space="preserve">La </w:t>
      </w:r>
      <w:r w:rsidR="006B38EC" w:rsidRPr="00F20E58">
        <w:t xml:space="preserve">Dirección de Hacienda del ayuntamiento </w:t>
      </w:r>
      <w:r w:rsidRPr="00F20E58">
        <w:t xml:space="preserve">es la responsable de formar la </w:t>
      </w:r>
      <w:r w:rsidR="0060744A">
        <w:t>c</w:t>
      </w:r>
      <w:r w:rsidRPr="00BC6FA0">
        <w:t xml:space="preserve">uenta </w:t>
      </w:r>
      <w:r w:rsidR="0060744A">
        <w:t>g</w:t>
      </w:r>
      <w:r>
        <w:t xml:space="preserve">eneral, </w:t>
      </w:r>
      <w:r w:rsidR="00792974">
        <w:t xml:space="preserve">y debe </w:t>
      </w:r>
      <w:r>
        <w:t>expres</w:t>
      </w:r>
      <w:r w:rsidR="00792974">
        <w:t>ar</w:t>
      </w:r>
      <w:r w:rsidRPr="00BC6FA0">
        <w:t xml:space="preserve"> la imagen fiel de la liquidación presupuestaria, del patrimonio, de la situación financiera y de los resultados de la entidad, de conformidad con el marco normativo de información financiera pública aplicable a la entidad. Igualmente debe garantizar que las actividades, operaciones presupuestarias y financieras y la información reflejada en la citada cuenta</w:t>
      </w:r>
      <w:r w:rsidR="00C75DF0">
        <w:t xml:space="preserve"> resultan</w:t>
      </w:r>
      <w:r w:rsidRPr="00BC6FA0">
        <w:t xml:space="preserve"> conforme</w:t>
      </w:r>
      <w:r w:rsidR="00C75DF0">
        <w:t>s</w:t>
      </w:r>
      <w:r w:rsidRPr="00BC6FA0">
        <w:t xml:space="preserve"> con la normativa aplicable.</w:t>
      </w:r>
    </w:p>
    <w:p w14:paraId="2E18BFA1" w14:textId="77777777" w:rsidR="00807992" w:rsidRDefault="00807992" w:rsidP="00807992">
      <w:pPr>
        <w:pStyle w:val="texto"/>
      </w:pPr>
      <w:r w:rsidRPr="00BC6FA0">
        <w:t>Así mismo</w:t>
      </w:r>
      <w:r w:rsidR="00792974">
        <w:t>,</w:t>
      </w:r>
      <w:r w:rsidRPr="00BC6FA0">
        <w:t xml:space="preserve"> </w:t>
      </w:r>
      <w:r w:rsidR="00792974">
        <w:t xml:space="preserve">el ayuntamiento </w:t>
      </w:r>
      <w:r>
        <w:t>es responsable</w:t>
      </w:r>
      <w:r w:rsidRPr="00BC6FA0">
        <w:t xml:space="preserve"> de establecer los sistemas de </w:t>
      </w:r>
      <w:r>
        <w:t>control interno que considere</w:t>
      </w:r>
      <w:r w:rsidRPr="00BC6FA0">
        <w:t xml:space="preserve"> necesarios para permitir la preparación de </w:t>
      </w:r>
      <w:r>
        <w:t xml:space="preserve">la </w:t>
      </w:r>
      <w:r w:rsidR="0060744A">
        <w:t>c</w:t>
      </w:r>
      <w:r w:rsidRPr="00BC6FA0">
        <w:t xml:space="preserve">uenta </w:t>
      </w:r>
      <w:r w:rsidR="0060744A">
        <w:t>g</w:t>
      </w:r>
      <w:r>
        <w:t>eneral libre</w:t>
      </w:r>
      <w:r w:rsidRPr="00BC6FA0">
        <w:t xml:space="preserve"> de incorrección material, debida a fraude o error, y para garantizar que la actividad realizada esté libre de incumplimientos legales</w:t>
      </w:r>
      <w:r>
        <w:t>.</w:t>
      </w:r>
    </w:p>
    <w:p w14:paraId="067C4A99" w14:textId="77777777" w:rsidR="00807992" w:rsidRPr="00C75DF0" w:rsidRDefault="00807992" w:rsidP="00807992">
      <w:pPr>
        <w:tabs>
          <w:tab w:val="center" w:pos="2835"/>
          <w:tab w:val="center" w:pos="3969"/>
          <w:tab w:val="center" w:pos="5103"/>
          <w:tab w:val="center" w:pos="6237"/>
          <w:tab w:val="center" w:pos="7371"/>
        </w:tabs>
        <w:spacing w:after="100"/>
        <w:ind w:firstLine="284"/>
        <w:rPr>
          <w:spacing w:val="6"/>
          <w:sz w:val="26"/>
          <w:szCs w:val="24"/>
        </w:rPr>
      </w:pPr>
      <w:r w:rsidRPr="00C75DF0">
        <w:rPr>
          <w:spacing w:val="6"/>
          <w:sz w:val="26"/>
          <w:szCs w:val="24"/>
        </w:rPr>
        <w:t xml:space="preserve">La </w:t>
      </w:r>
      <w:r w:rsidR="0060744A">
        <w:rPr>
          <w:spacing w:val="6"/>
          <w:sz w:val="26"/>
          <w:szCs w:val="24"/>
        </w:rPr>
        <w:t>c</w:t>
      </w:r>
      <w:r w:rsidRPr="00C75DF0">
        <w:rPr>
          <w:spacing w:val="6"/>
          <w:sz w:val="26"/>
          <w:szCs w:val="24"/>
        </w:rPr>
        <w:t xml:space="preserve">uenta </w:t>
      </w:r>
      <w:r w:rsidR="0060744A">
        <w:rPr>
          <w:spacing w:val="6"/>
          <w:sz w:val="26"/>
          <w:szCs w:val="24"/>
        </w:rPr>
        <w:t>g</w:t>
      </w:r>
      <w:r w:rsidRPr="00C75DF0">
        <w:rPr>
          <w:spacing w:val="6"/>
          <w:sz w:val="26"/>
          <w:szCs w:val="24"/>
        </w:rPr>
        <w:t>eneral fue aprobada por el Pleno del ayuntamiento el 3 de noviembre de 2022.</w:t>
      </w:r>
    </w:p>
    <w:p w14:paraId="69469184" w14:textId="77777777" w:rsidR="00807992" w:rsidRDefault="00807992" w:rsidP="00807992">
      <w:pPr>
        <w:tabs>
          <w:tab w:val="center" w:pos="2835"/>
          <w:tab w:val="center" w:pos="3969"/>
          <w:tab w:val="center" w:pos="5103"/>
          <w:tab w:val="center" w:pos="6237"/>
          <w:tab w:val="center" w:pos="7371"/>
        </w:tabs>
        <w:spacing w:after="100"/>
        <w:ind w:firstLine="284"/>
        <w:rPr>
          <w:spacing w:val="6"/>
          <w:sz w:val="26"/>
          <w:szCs w:val="24"/>
        </w:rPr>
      </w:pPr>
    </w:p>
    <w:p w14:paraId="53496F29" w14:textId="77777777" w:rsidR="00807992" w:rsidRDefault="00807992" w:rsidP="00807992">
      <w:pPr>
        <w:spacing w:after="0"/>
        <w:ind w:firstLine="0"/>
        <w:jc w:val="left"/>
        <w:rPr>
          <w:spacing w:val="6"/>
          <w:sz w:val="26"/>
          <w:szCs w:val="24"/>
        </w:rPr>
      </w:pPr>
      <w:r>
        <w:rPr>
          <w:spacing w:val="6"/>
          <w:sz w:val="26"/>
          <w:szCs w:val="24"/>
        </w:rPr>
        <w:br w:type="page"/>
      </w:r>
    </w:p>
    <w:p w14:paraId="433A5B8D" w14:textId="77777777" w:rsidR="00807992" w:rsidRPr="00F841C0" w:rsidRDefault="00807992" w:rsidP="00F841C0">
      <w:pPr>
        <w:pStyle w:val="atitulo1"/>
      </w:pPr>
      <w:bookmarkStart w:id="65" w:name="_Toc118266017"/>
      <w:bookmarkStart w:id="66" w:name="_Toc129243480"/>
      <w:r w:rsidRPr="00F841C0">
        <w:lastRenderedPageBreak/>
        <w:t>V</w:t>
      </w:r>
      <w:r w:rsidR="00517A8A">
        <w:t>I</w:t>
      </w:r>
      <w:r w:rsidRPr="00F841C0">
        <w:t>II. Responsabilidad de la Cámara de Comptos de Navarra</w:t>
      </w:r>
      <w:bookmarkEnd w:id="65"/>
      <w:bookmarkEnd w:id="66"/>
    </w:p>
    <w:p w14:paraId="30D6FA07" w14:textId="77777777" w:rsidR="00807992" w:rsidRDefault="00807992" w:rsidP="00807992">
      <w:pPr>
        <w:autoSpaceDE w:val="0"/>
        <w:autoSpaceDN w:val="0"/>
        <w:adjustRightInd w:val="0"/>
        <w:spacing w:after="0"/>
        <w:ind w:firstLine="284"/>
        <w:rPr>
          <w:spacing w:val="6"/>
          <w:sz w:val="26"/>
          <w:szCs w:val="24"/>
        </w:rPr>
      </w:pPr>
      <w:r w:rsidRPr="00FB4823">
        <w:rPr>
          <w:spacing w:val="6"/>
          <w:sz w:val="26"/>
          <w:szCs w:val="24"/>
        </w:rPr>
        <w:t xml:space="preserve">Nuestros objetivos son obtener una </w:t>
      </w:r>
      <w:r>
        <w:rPr>
          <w:spacing w:val="6"/>
          <w:sz w:val="26"/>
          <w:szCs w:val="24"/>
        </w:rPr>
        <w:t xml:space="preserve">seguridad razonable de que la </w:t>
      </w:r>
      <w:r w:rsidR="0060744A">
        <w:rPr>
          <w:spacing w:val="6"/>
          <w:sz w:val="26"/>
          <w:szCs w:val="24"/>
        </w:rPr>
        <w:t>c</w:t>
      </w:r>
      <w:r>
        <w:rPr>
          <w:spacing w:val="6"/>
          <w:sz w:val="26"/>
          <w:szCs w:val="24"/>
        </w:rPr>
        <w:t xml:space="preserve">uenta </w:t>
      </w:r>
      <w:r w:rsidR="0060744A">
        <w:rPr>
          <w:spacing w:val="6"/>
          <w:sz w:val="26"/>
          <w:szCs w:val="24"/>
        </w:rPr>
        <w:t>g</w:t>
      </w:r>
      <w:r>
        <w:rPr>
          <w:spacing w:val="6"/>
          <w:sz w:val="26"/>
          <w:szCs w:val="24"/>
        </w:rPr>
        <w:t>eneral en su conjunto está libre</w:t>
      </w:r>
      <w:r w:rsidRPr="00FB4823">
        <w:rPr>
          <w:spacing w:val="6"/>
          <w:sz w:val="26"/>
          <w:szCs w:val="24"/>
        </w:rPr>
        <w:t xml:space="preserve"> de incorrección material, debida a fraude o error, y </w:t>
      </w:r>
      <w:r>
        <w:rPr>
          <w:spacing w:val="6"/>
          <w:sz w:val="26"/>
          <w:szCs w:val="24"/>
        </w:rPr>
        <w:t>que las actividades, operaciones presupuestarias y financieras y la i</w:t>
      </w:r>
      <w:r w:rsidR="00C75DF0">
        <w:rPr>
          <w:spacing w:val="6"/>
          <w:sz w:val="26"/>
          <w:szCs w:val="24"/>
        </w:rPr>
        <w:t>nformación reflejada</w:t>
      </w:r>
      <w:r>
        <w:rPr>
          <w:spacing w:val="6"/>
          <w:sz w:val="26"/>
          <w:szCs w:val="24"/>
        </w:rPr>
        <w:t xml:space="preserve"> en la citada cuenta resulta conformes con la normativa aplicable con la finalidad de emitir un informe de fiscalización de regularidad que contenga nuestra opinión.</w:t>
      </w:r>
    </w:p>
    <w:p w14:paraId="4242B529" w14:textId="77777777" w:rsidR="00807992" w:rsidRDefault="00807992" w:rsidP="00807992">
      <w:pPr>
        <w:autoSpaceDE w:val="0"/>
        <w:autoSpaceDN w:val="0"/>
        <w:adjustRightInd w:val="0"/>
        <w:spacing w:after="0"/>
        <w:ind w:firstLine="284"/>
        <w:rPr>
          <w:spacing w:val="6"/>
          <w:sz w:val="26"/>
          <w:szCs w:val="24"/>
        </w:rPr>
      </w:pPr>
    </w:p>
    <w:p w14:paraId="142CBED6" w14:textId="77777777" w:rsidR="00807992" w:rsidRPr="00FB4823" w:rsidRDefault="00807992" w:rsidP="00807992">
      <w:pPr>
        <w:autoSpaceDE w:val="0"/>
        <w:autoSpaceDN w:val="0"/>
        <w:adjustRightInd w:val="0"/>
        <w:spacing w:after="0"/>
        <w:ind w:firstLine="284"/>
        <w:rPr>
          <w:spacing w:val="6"/>
          <w:sz w:val="26"/>
          <w:szCs w:val="24"/>
        </w:rPr>
      </w:pPr>
      <w:r w:rsidRPr="00FB4823">
        <w:rPr>
          <w:spacing w:val="6"/>
          <w:sz w:val="26"/>
          <w:szCs w:val="24"/>
        </w:rPr>
        <w:t>Seguridad razonable es un alto grado de seguridad, pero no garantiza que una fiscalización realizada de conformidad c</w:t>
      </w:r>
      <w:r>
        <w:rPr>
          <w:spacing w:val="6"/>
          <w:sz w:val="26"/>
          <w:szCs w:val="24"/>
        </w:rPr>
        <w:t xml:space="preserve">on la normativa reguladora de los órganos de control externo siempre detecte una incorrección material o un incumplimiento significativo </w:t>
      </w:r>
      <w:r w:rsidRPr="00FB4823">
        <w:rPr>
          <w:spacing w:val="6"/>
          <w:sz w:val="26"/>
          <w:szCs w:val="24"/>
        </w:rPr>
        <w:t>cuando exist</w:t>
      </w:r>
      <w:r>
        <w:rPr>
          <w:spacing w:val="6"/>
          <w:sz w:val="26"/>
          <w:szCs w:val="24"/>
        </w:rPr>
        <w:t>a</w:t>
      </w:r>
      <w:r w:rsidRPr="00FB4823">
        <w:rPr>
          <w:spacing w:val="6"/>
          <w:sz w:val="26"/>
          <w:szCs w:val="24"/>
        </w:rPr>
        <w:t xml:space="preserve">. Las incorrecciones pueden deberse a fraude o error y </w:t>
      </w:r>
      <w:r>
        <w:rPr>
          <w:spacing w:val="6"/>
          <w:sz w:val="26"/>
          <w:szCs w:val="24"/>
        </w:rPr>
        <w:t xml:space="preserve">a incumplimientos de legalidad y </w:t>
      </w:r>
      <w:r w:rsidRPr="00FB4823">
        <w:rPr>
          <w:spacing w:val="6"/>
          <w:sz w:val="26"/>
          <w:szCs w:val="24"/>
        </w:rPr>
        <w:t xml:space="preserve">se consideran materiales </w:t>
      </w:r>
      <w:r>
        <w:rPr>
          <w:spacing w:val="6"/>
          <w:sz w:val="26"/>
          <w:szCs w:val="24"/>
        </w:rPr>
        <w:t xml:space="preserve">aplicando los criterios de esta Cámara de Comptos y siempre que pueda preverse razonablemente que influyan en las </w:t>
      </w:r>
      <w:r w:rsidRPr="00FB4823">
        <w:rPr>
          <w:spacing w:val="6"/>
          <w:sz w:val="26"/>
          <w:szCs w:val="24"/>
        </w:rPr>
        <w:t xml:space="preserve">decisiones económicas </w:t>
      </w:r>
      <w:r>
        <w:rPr>
          <w:spacing w:val="6"/>
          <w:sz w:val="26"/>
          <w:szCs w:val="24"/>
        </w:rPr>
        <w:t>de las personas usuaria de los informes.</w:t>
      </w:r>
      <w:r w:rsidRPr="00FB4823">
        <w:rPr>
          <w:spacing w:val="6"/>
          <w:sz w:val="26"/>
          <w:szCs w:val="24"/>
        </w:rPr>
        <w:t xml:space="preserve"> </w:t>
      </w:r>
    </w:p>
    <w:p w14:paraId="13A1E286" w14:textId="77777777" w:rsidR="00807992" w:rsidRPr="00FB4823" w:rsidRDefault="00807992" w:rsidP="00807992">
      <w:pPr>
        <w:autoSpaceDE w:val="0"/>
        <w:autoSpaceDN w:val="0"/>
        <w:adjustRightInd w:val="0"/>
        <w:spacing w:after="0"/>
        <w:ind w:firstLine="284"/>
        <w:rPr>
          <w:spacing w:val="6"/>
          <w:sz w:val="26"/>
          <w:szCs w:val="24"/>
        </w:rPr>
      </w:pPr>
    </w:p>
    <w:p w14:paraId="447BECCC" w14:textId="77777777" w:rsidR="00807992" w:rsidRPr="00FB4823" w:rsidRDefault="00807992" w:rsidP="00807992">
      <w:pPr>
        <w:autoSpaceDE w:val="0"/>
        <w:autoSpaceDN w:val="0"/>
        <w:adjustRightInd w:val="0"/>
        <w:spacing w:after="0"/>
        <w:ind w:firstLine="284"/>
        <w:rPr>
          <w:spacing w:val="6"/>
          <w:sz w:val="26"/>
          <w:szCs w:val="24"/>
        </w:rPr>
      </w:pPr>
      <w:r w:rsidRPr="00FB4823">
        <w:rPr>
          <w:spacing w:val="6"/>
          <w:sz w:val="26"/>
          <w:szCs w:val="24"/>
        </w:rPr>
        <w:t>Como parte de una fiscalización de conformidad con la normativa reguladora de l</w:t>
      </w:r>
      <w:r>
        <w:rPr>
          <w:spacing w:val="6"/>
          <w:sz w:val="26"/>
          <w:szCs w:val="24"/>
        </w:rPr>
        <w:t xml:space="preserve">os órganos de control externo, </w:t>
      </w:r>
      <w:r w:rsidRPr="00FB4823">
        <w:rPr>
          <w:spacing w:val="6"/>
          <w:sz w:val="26"/>
          <w:szCs w:val="24"/>
        </w:rPr>
        <w:t xml:space="preserve">aplicamos nuestro juicio profesional y mantenemos una actitud de escepticismo profesional durante toda la auditoría. También: </w:t>
      </w:r>
    </w:p>
    <w:p w14:paraId="613817D6" w14:textId="77777777" w:rsidR="00807992" w:rsidRPr="00FB4823" w:rsidRDefault="00807992" w:rsidP="00807992">
      <w:pPr>
        <w:autoSpaceDE w:val="0"/>
        <w:autoSpaceDN w:val="0"/>
        <w:adjustRightInd w:val="0"/>
        <w:spacing w:after="0"/>
        <w:ind w:firstLine="284"/>
        <w:rPr>
          <w:spacing w:val="6"/>
          <w:sz w:val="26"/>
          <w:szCs w:val="24"/>
        </w:rPr>
      </w:pPr>
    </w:p>
    <w:p w14:paraId="3FF762C1" w14:textId="77777777" w:rsidR="00807992" w:rsidRPr="00FB4823" w:rsidRDefault="00807992" w:rsidP="00807992">
      <w:pPr>
        <w:numPr>
          <w:ilvl w:val="0"/>
          <w:numId w:val="2"/>
        </w:numPr>
        <w:tabs>
          <w:tab w:val="clear" w:pos="502"/>
          <w:tab w:val="left" w:pos="480"/>
          <w:tab w:val="num" w:pos="720"/>
          <w:tab w:val="num" w:pos="6597"/>
        </w:tabs>
        <w:ind w:left="0" w:firstLine="289"/>
        <w:rPr>
          <w:spacing w:val="6"/>
          <w:sz w:val="26"/>
          <w:szCs w:val="26"/>
        </w:rPr>
      </w:pPr>
      <w:r w:rsidRPr="00FB4823">
        <w:rPr>
          <w:spacing w:val="6"/>
          <w:sz w:val="26"/>
          <w:szCs w:val="26"/>
        </w:rPr>
        <w:t xml:space="preserve">Identificamos y valoramos los riesgos </w:t>
      </w:r>
      <w:r w:rsidR="00A44D56">
        <w:rPr>
          <w:spacing w:val="6"/>
          <w:sz w:val="26"/>
          <w:szCs w:val="26"/>
        </w:rPr>
        <w:t>de incorrección material en la c</w:t>
      </w:r>
      <w:r w:rsidRPr="00FB4823">
        <w:rPr>
          <w:spacing w:val="6"/>
          <w:sz w:val="26"/>
          <w:szCs w:val="26"/>
        </w:rPr>
        <w:t>uenta</w:t>
      </w:r>
      <w:r>
        <w:rPr>
          <w:spacing w:val="6"/>
          <w:sz w:val="26"/>
          <w:szCs w:val="26"/>
        </w:rPr>
        <w:t xml:space="preserve"> </w:t>
      </w:r>
      <w:r w:rsidR="00A44D56">
        <w:rPr>
          <w:spacing w:val="6"/>
          <w:sz w:val="26"/>
          <w:szCs w:val="26"/>
        </w:rPr>
        <w:t>g</w:t>
      </w:r>
      <w:r>
        <w:rPr>
          <w:spacing w:val="6"/>
          <w:sz w:val="26"/>
          <w:szCs w:val="26"/>
        </w:rPr>
        <w:t>eneral</w:t>
      </w:r>
      <w:r w:rsidRPr="00FB4823">
        <w:rPr>
          <w:spacing w:val="6"/>
          <w:sz w:val="26"/>
          <w:szCs w:val="26"/>
        </w:rPr>
        <w:t xml:space="preserve">,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14:paraId="1094632D" w14:textId="77777777" w:rsidR="00807992" w:rsidRPr="00FB4823" w:rsidRDefault="00807992" w:rsidP="00807992">
      <w:pPr>
        <w:numPr>
          <w:ilvl w:val="0"/>
          <w:numId w:val="2"/>
        </w:numPr>
        <w:tabs>
          <w:tab w:val="clear" w:pos="502"/>
          <w:tab w:val="left" w:pos="480"/>
          <w:tab w:val="num" w:pos="720"/>
          <w:tab w:val="num" w:pos="6597"/>
        </w:tabs>
        <w:ind w:left="0" w:firstLine="289"/>
        <w:rPr>
          <w:spacing w:val="6"/>
          <w:sz w:val="26"/>
          <w:szCs w:val="26"/>
        </w:rPr>
      </w:pPr>
      <w:r w:rsidRPr="00FB4823">
        <w:rPr>
          <w:spacing w:val="6"/>
          <w:sz w:val="26"/>
          <w:szCs w:val="26"/>
        </w:rPr>
        <w:t>Obtenemos conocimiento del control interno relevante para la fiscalización con el fin de di</w:t>
      </w:r>
      <w:r w:rsidR="00C75DF0">
        <w:rPr>
          <w:spacing w:val="6"/>
          <w:sz w:val="26"/>
          <w:szCs w:val="26"/>
        </w:rPr>
        <w:t>señar procedimientos de auditorí</w:t>
      </w:r>
      <w:r w:rsidRPr="00FB4823">
        <w:rPr>
          <w:spacing w:val="6"/>
          <w:sz w:val="26"/>
          <w:szCs w:val="26"/>
        </w:rPr>
        <w:t xml:space="preserve">a que sean adecuados en función de las circunstancias, y no con la finalidad de expresar una opinión sobre la eficacia del control interno de la entidad. </w:t>
      </w:r>
    </w:p>
    <w:p w14:paraId="27AD7FC1" w14:textId="77777777" w:rsidR="00807992" w:rsidRPr="00FB4823" w:rsidRDefault="00807992" w:rsidP="00807992">
      <w:pPr>
        <w:numPr>
          <w:ilvl w:val="0"/>
          <w:numId w:val="2"/>
        </w:numPr>
        <w:tabs>
          <w:tab w:val="clear" w:pos="502"/>
          <w:tab w:val="left" w:pos="480"/>
          <w:tab w:val="num" w:pos="720"/>
          <w:tab w:val="num" w:pos="6597"/>
        </w:tabs>
        <w:ind w:left="0" w:firstLine="289"/>
        <w:rPr>
          <w:spacing w:val="6"/>
          <w:sz w:val="26"/>
          <w:szCs w:val="26"/>
        </w:rPr>
      </w:pPr>
      <w:r w:rsidRPr="00FB4823">
        <w:rPr>
          <w:spacing w:val="6"/>
          <w:sz w:val="26"/>
          <w:szCs w:val="26"/>
        </w:rPr>
        <w:t xml:space="preserve">Evaluamos si las políticas contables aplicadas son adecuadas y la razonabilidad de las estimaciones contables y la correspondiente información revelada por el órgano de gestión. </w:t>
      </w:r>
    </w:p>
    <w:p w14:paraId="460AD0C0" w14:textId="77777777" w:rsidR="00807992" w:rsidRPr="00FB4823" w:rsidRDefault="00807992" w:rsidP="00807992">
      <w:pPr>
        <w:numPr>
          <w:ilvl w:val="0"/>
          <w:numId w:val="2"/>
        </w:numPr>
        <w:tabs>
          <w:tab w:val="clear" w:pos="502"/>
          <w:tab w:val="left" w:pos="480"/>
          <w:tab w:val="num" w:pos="720"/>
          <w:tab w:val="num" w:pos="6597"/>
        </w:tabs>
        <w:ind w:left="0" w:firstLine="289"/>
        <w:rPr>
          <w:spacing w:val="6"/>
          <w:sz w:val="26"/>
          <w:szCs w:val="26"/>
        </w:rPr>
      </w:pPr>
      <w:r w:rsidRPr="00FB4823">
        <w:rPr>
          <w:spacing w:val="6"/>
          <w:sz w:val="26"/>
          <w:szCs w:val="26"/>
        </w:rPr>
        <w:t>Evaluamos la presentación global, la estructura y el contenido de la</w:t>
      </w:r>
      <w:r>
        <w:rPr>
          <w:spacing w:val="6"/>
          <w:sz w:val="26"/>
          <w:szCs w:val="26"/>
        </w:rPr>
        <w:t xml:space="preserve"> </w:t>
      </w:r>
      <w:r w:rsidR="0060744A">
        <w:rPr>
          <w:spacing w:val="6"/>
          <w:sz w:val="26"/>
          <w:szCs w:val="26"/>
        </w:rPr>
        <w:t>c</w:t>
      </w:r>
      <w:r>
        <w:rPr>
          <w:spacing w:val="6"/>
          <w:sz w:val="26"/>
          <w:szCs w:val="26"/>
        </w:rPr>
        <w:t xml:space="preserve">uenta </w:t>
      </w:r>
      <w:r w:rsidR="0060744A">
        <w:rPr>
          <w:spacing w:val="6"/>
          <w:sz w:val="26"/>
          <w:szCs w:val="26"/>
        </w:rPr>
        <w:t>g</w:t>
      </w:r>
      <w:r>
        <w:rPr>
          <w:spacing w:val="6"/>
          <w:sz w:val="26"/>
          <w:szCs w:val="26"/>
        </w:rPr>
        <w:t>eneral</w:t>
      </w:r>
      <w:r w:rsidRPr="00FB4823">
        <w:rPr>
          <w:spacing w:val="6"/>
          <w:sz w:val="26"/>
          <w:szCs w:val="26"/>
        </w:rPr>
        <w:t xml:space="preserve">, incluida la información revelada, y si </w:t>
      </w:r>
      <w:r>
        <w:rPr>
          <w:spacing w:val="6"/>
          <w:sz w:val="26"/>
          <w:szCs w:val="26"/>
        </w:rPr>
        <w:t xml:space="preserve">se </w:t>
      </w:r>
      <w:r w:rsidRPr="00FB4823">
        <w:rPr>
          <w:spacing w:val="6"/>
          <w:sz w:val="26"/>
          <w:szCs w:val="26"/>
        </w:rPr>
        <w:t xml:space="preserve">representan las transacciones y hechos subyacentes de un modo que logran expresar la imagen fiel. </w:t>
      </w:r>
    </w:p>
    <w:p w14:paraId="27F73416" w14:textId="77777777" w:rsidR="00807992" w:rsidRPr="00FB4823" w:rsidRDefault="00807992" w:rsidP="00807992">
      <w:pPr>
        <w:autoSpaceDE w:val="0"/>
        <w:autoSpaceDN w:val="0"/>
        <w:adjustRightInd w:val="0"/>
        <w:spacing w:after="0"/>
        <w:ind w:firstLine="284"/>
        <w:rPr>
          <w:spacing w:val="6"/>
          <w:sz w:val="26"/>
          <w:szCs w:val="24"/>
        </w:rPr>
      </w:pPr>
      <w:r w:rsidRPr="00FB4823">
        <w:rPr>
          <w:spacing w:val="6"/>
          <w:sz w:val="26"/>
          <w:szCs w:val="24"/>
        </w:rPr>
        <w:lastRenderedPageBreak/>
        <w:t>Nos comunicamos con el órgano de gobierno de la entidad en relación con, entre otras cuestiones, el alcance y el momento de realización de las pruebas de auditoría planificadas y los hallazgos significativos de la fiscalización, así como cualquier deficiencia significativa del control interno que identificamos en el transcurso de la fiscalización. Entre las cuestiones que han sido objeto de comunicación al órgano de gobierno de la entidad, determinamos las que han sido de la mayor significati</w:t>
      </w:r>
      <w:r>
        <w:rPr>
          <w:spacing w:val="6"/>
          <w:sz w:val="26"/>
          <w:szCs w:val="24"/>
        </w:rPr>
        <w:t xml:space="preserve">vidad en la fiscalización de la </w:t>
      </w:r>
      <w:r w:rsidR="0060744A">
        <w:rPr>
          <w:spacing w:val="6"/>
          <w:sz w:val="26"/>
          <w:szCs w:val="24"/>
        </w:rPr>
        <w:t>c</w:t>
      </w:r>
      <w:r>
        <w:rPr>
          <w:spacing w:val="6"/>
          <w:sz w:val="26"/>
          <w:szCs w:val="24"/>
        </w:rPr>
        <w:t xml:space="preserve">uenta </w:t>
      </w:r>
      <w:r w:rsidR="0060744A">
        <w:rPr>
          <w:spacing w:val="6"/>
          <w:sz w:val="26"/>
          <w:szCs w:val="24"/>
        </w:rPr>
        <w:t>g</w:t>
      </w:r>
      <w:r w:rsidRPr="00FB4823">
        <w:rPr>
          <w:spacing w:val="6"/>
          <w:sz w:val="26"/>
          <w:szCs w:val="24"/>
        </w:rPr>
        <w:t>eneral y que son, en consecuencia, las cuestiones clave de la auditoría.</w:t>
      </w:r>
    </w:p>
    <w:p w14:paraId="5195FDC4" w14:textId="77777777" w:rsidR="00807992" w:rsidRDefault="00807992" w:rsidP="00807992">
      <w:pPr>
        <w:spacing w:after="0"/>
        <w:ind w:firstLine="0"/>
        <w:jc w:val="left"/>
        <w:rPr>
          <w:spacing w:val="6"/>
          <w:sz w:val="26"/>
          <w:szCs w:val="24"/>
        </w:rPr>
      </w:pPr>
      <w:r>
        <w:rPr>
          <w:spacing w:val="6"/>
          <w:sz w:val="26"/>
          <w:szCs w:val="24"/>
        </w:rPr>
        <w:br w:type="page"/>
      </w:r>
    </w:p>
    <w:p w14:paraId="023536E0" w14:textId="77777777" w:rsidR="00807992" w:rsidRPr="005053B6" w:rsidRDefault="00517A8A" w:rsidP="00807992">
      <w:pPr>
        <w:pStyle w:val="atitulo1"/>
        <w:rPr>
          <w:color w:val="auto"/>
        </w:rPr>
      </w:pPr>
      <w:bookmarkStart w:id="67" w:name="_Toc118266018"/>
      <w:bookmarkStart w:id="68" w:name="_Toc129243481"/>
      <w:r w:rsidRPr="005053B6">
        <w:rPr>
          <w:color w:val="auto"/>
        </w:rPr>
        <w:lastRenderedPageBreak/>
        <w:t>IX</w:t>
      </w:r>
      <w:r w:rsidR="00807992" w:rsidRPr="005053B6">
        <w:rPr>
          <w:color w:val="auto"/>
        </w:rPr>
        <w:t>. Seguimiento de las recomendaciones emitidas en informes anteriores</w:t>
      </w:r>
      <w:bookmarkEnd w:id="67"/>
      <w:bookmarkEnd w:id="68"/>
    </w:p>
    <w:p w14:paraId="4E86EDB7" w14:textId="77777777" w:rsidR="005053B6" w:rsidRDefault="006D41E9" w:rsidP="00807992">
      <w:pPr>
        <w:tabs>
          <w:tab w:val="center" w:pos="2835"/>
          <w:tab w:val="center" w:pos="3969"/>
          <w:tab w:val="center" w:pos="5103"/>
          <w:tab w:val="center" w:pos="6237"/>
          <w:tab w:val="center" w:pos="7371"/>
        </w:tabs>
        <w:spacing w:after="120"/>
        <w:ind w:firstLine="284"/>
        <w:rPr>
          <w:spacing w:val="6"/>
          <w:sz w:val="26"/>
          <w:szCs w:val="24"/>
        </w:rPr>
      </w:pPr>
      <w:r>
        <w:rPr>
          <w:spacing w:val="6"/>
          <w:sz w:val="26"/>
          <w:szCs w:val="24"/>
        </w:rPr>
        <w:t xml:space="preserve">El ayuntamiento ha creado en 2021 una comisión de secretarios técnicos con la finalidad de abordar las conclusiones y recomendaciones de los informes de la Cámara de Comptos, habiéndose aprobado por parte de la Gerencia </w:t>
      </w:r>
      <w:r w:rsidR="005053B6">
        <w:rPr>
          <w:spacing w:val="6"/>
          <w:sz w:val="26"/>
          <w:szCs w:val="24"/>
        </w:rPr>
        <w:t xml:space="preserve">Municipal </w:t>
      </w:r>
      <w:r>
        <w:rPr>
          <w:spacing w:val="6"/>
          <w:sz w:val="26"/>
          <w:szCs w:val="24"/>
        </w:rPr>
        <w:t>en 2021 varias instrucciones</w:t>
      </w:r>
      <w:r w:rsidR="005053B6">
        <w:rPr>
          <w:spacing w:val="6"/>
          <w:sz w:val="26"/>
          <w:szCs w:val="24"/>
        </w:rPr>
        <w:t xml:space="preserve"> sobre determinadas deficiencias puestas de manifiesto en nuestros informes</w:t>
      </w:r>
      <w:r w:rsidR="00F531F5">
        <w:rPr>
          <w:spacing w:val="6"/>
          <w:sz w:val="26"/>
          <w:szCs w:val="24"/>
        </w:rPr>
        <w:t xml:space="preserve">. La efectividad de parte de las citadas instrucciones, por su fecha de aprobación en el último trimestre de 2021, entendemos que alcanzarán sus objetivos en buena medida a lo largo de 2022. </w:t>
      </w:r>
    </w:p>
    <w:p w14:paraId="295A641E" w14:textId="77777777" w:rsidR="005053B6" w:rsidRDefault="005053B6" w:rsidP="00807992">
      <w:pPr>
        <w:tabs>
          <w:tab w:val="center" w:pos="2835"/>
          <w:tab w:val="center" w:pos="3969"/>
          <w:tab w:val="center" w:pos="5103"/>
          <w:tab w:val="center" w:pos="6237"/>
          <w:tab w:val="center" w:pos="7371"/>
        </w:tabs>
        <w:spacing w:after="120"/>
        <w:ind w:firstLine="284"/>
        <w:rPr>
          <w:spacing w:val="6"/>
          <w:sz w:val="26"/>
          <w:szCs w:val="24"/>
        </w:rPr>
      </w:pPr>
      <w:r>
        <w:rPr>
          <w:spacing w:val="6"/>
          <w:sz w:val="26"/>
          <w:szCs w:val="24"/>
        </w:rPr>
        <w:t xml:space="preserve">No obstante, destacamos a continuación las recomendaciones que </w:t>
      </w:r>
      <w:r w:rsidR="00F20E58">
        <w:rPr>
          <w:spacing w:val="6"/>
          <w:sz w:val="26"/>
          <w:szCs w:val="24"/>
        </w:rPr>
        <w:t xml:space="preserve">siguen vigentes y </w:t>
      </w:r>
      <w:r>
        <w:rPr>
          <w:spacing w:val="6"/>
          <w:sz w:val="26"/>
          <w:szCs w:val="24"/>
        </w:rPr>
        <w:t xml:space="preserve">consideramos relevantes: </w:t>
      </w:r>
    </w:p>
    <w:p w14:paraId="0BBFAD31" w14:textId="77777777" w:rsidR="00807992" w:rsidRPr="00517A8A" w:rsidRDefault="00807992" w:rsidP="00807992">
      <w:pPr>
        <w:numPr>
          <w:ilvl w:val="0"/>
          <w:numId w:val="10"/>
        </w:numPr>
        <w:tabs>
          <w:tab w:val="num" w:pos="284"/>
          <w:tab w:val="num" w:pos="600"/>
          <w:tab w:val="num" w:pos="720"/>
          <w:tab w:val="num" w:pos="1320"/>
        </w:tabs>
        <w:spacing w:after="120"/>
        <w:rPr>
          <w:rFonts w:cs="Arial"/>
          <w:i/>
          <w:spacing w:val="6"/>
          <w:sz w:val="26"/>
          <w:szCs w:val="24"/>
        </w:rPr>
      </w:pPr>
      <w:r w:rsidRPr="00517A8A">
        <w:rPr>
          <w:rFonts w:cs="Arial"/>
          <w:i/>
          <w:spacing w:val="6"/>
          <w:sz w:val="26"/>
          <w:szCs w:val="24"/>
        </w:rPr>
        <w:t xml:space="preserve">Determinar por el Pleno aquellos extremos que, por su trascendencia en el proceso de gestión, deben ser comprobados en la intervención </w:t>
      </w:r>
      <w:r w:rsidR="009838F0">
        <w:rPr>
          <w:rFonts w:cs="Arial"/>
          <w:i/>
          <w:spacing w:val="6"/>
          <w:sz w:val="26"/>
          <w:szCs w:val="24"/>
        </w:rPr>
        <w:t xml:space="preserve">limitada </w:t>
      </w:r>
      <w:r w:rsidRPr="00517A8A">
        <w:rPr>
          <w:rFonts w:cs="Arial"/>
          <w:i/>
          <w:spacing w:val="6"/>
          <w:sz w:val="26"/>
          <w:szCs w:val="24"/>
        </w:rPr>
        <w:t>previa de actos, documentos o expedientes de contenido económico.</w:t>
      </w:r>
    </w:p>
    <w:p w14:paraId="5363DF8E" w14:textId="77777777" w:rsidR="00807992" w:rsidRPr="00517A8A" w:rsidRDefault="00807992" w:rsidP="00807992">
      <w:pPr>
        <w:numPr>
          <w:ilvl w:val="0"/>
          <w:numId w:val="10"/>
        </w:numPr>
        <w:tabs>
          <w:tab w:val="num" w:pos="284"/>
          <w:tab w:val="num" w:pos="600"/>
          <w:tab w:val="num" w:pos="720"/>
          <w:tab w:val="num" w:pos="1320"/>
        </w:tabs>
        <w:spacing w:after="120"/>
        <w:rPr>
          <w:rFonts w:cs="Arial"/>
          <w:i/>
          <w:spacing w:val="6"/>
          <w:sz w:val="26"/>
          <w:szCs w:val="24"/>
        </w:rPr>
      </w:pPr>
      <w:r w:rsidRPr="00517A8A">
        <w:rPr>
          <w:rFonts w:cs="Arial"/>
          <w:i/>
          <w:spacing w:val="6"/>
          <w:sz w:val="26"/>
          <w:szCs w:val="24"/>
        </w:rPr>
        <w:t>Adecuar los procedimientos internos necesarios de forma que el área de</w:t>
      </w:r>
      <w:r w:rsidRPr="00517A8A">
        <w:rPr>
          <w:rFonts w:cs="Arial"/>
          <w:i/>
          <w:spacing w:val="6"/>
          <w:sz w:val="26"/>
          <w:szCs w:val="24"/>
        </w:rPr>
        <w:br/>
        <w:t>Intervención pueda realizar la fiscalización previa de la nómina.</w:t>
      </w:r>
    </w:p>
    <w:p w14:paraId="3984319D" w14:textId="77777777" w:rsidR="00807992" w:rsidRPr="007B4051" w:rsidRDefault="00807992" w:rsidP="0037083A">
      <w:pPr>
        <w:numPr>
          <w:ilvl w:val="0"/>
          <w:numId w:val="10"/>
        </w:numPr>
        <w:tabs>
          <w:tab w:val="num" w:pos="284"/>
          <w:tab w:val="num" w:pos="600"/>
          <w:tab w:val="num" w:pos="720"/>
          <w:tab w:val="num" w:pos="1320"/>
        </w:tabs>
        <w:spacing w:after="120"/>
        <w:rPr>
          <w:rFonts w:cstheme="minorHAnsi"/>
          <w:i/>
          <w:iCs/>
          <w:spacing w:val="6"/>
          <w:sz w:val="26"/>
          <w:szCs w:val="24"/>
        </w:rPr>
      </w:pPr>
      <w:r w:rsidRPr="007B4051">
        <w:rPr>
          <w:rFonts w:cstheme="minorHAnsi"/>
          <w:i/>
          <w:iCs/>
          <w:spacing w:val="6"/>
          <w:sz w:val="26"/>
          <w:szCs w:val="24"/>
        </w:rPr>
        <w:t>Aprobar definitivamente la Ponencia de Valoración Total que modifique los</w:t>
      </w:r>
      <w:r w:rsidRPr="007B4051">
        <w:rPr>
          <w:rFonts w:cstheme="minorHAnsi"/>
          <w:i/>
          <w:iCs/>
          <w:spacing w:val="6"/>
          <w:sz w:val="26"/>
          <w:szCs w:val="24"/>
        </w:rPr>
        <w:br/>
        <w:t>valores catastrales, actualizando los existentes.</w:t>
      </w:r>
    </w:p>
    <w:p w14:paraId="1F702483" w14:textId="77777777" w:rsidR="00807992" w:rsidRPr="007B4051" w:rsidRDefault="00807992" w:rsidP="0037083A">
      <w:pPr>
        <w:numPr>
          <w:ilvl w:val="0"/>
          <w:numId w:val="10"/>
        </w:numPr>
        <w:tabs>
          <w:tab w:val="num" w:pos="284"/>
          <w:tab w:val="num" w:pos="600"/>
          <w:tab w:val="num" w:pos="720"/>
          <w:tab w:val="num" w:pos="1320"/>
        </w:tabs>
        <w:spacing w:after="120"/>
        <w:rPr>
          <w:rFonts w:cstheme="minorHAnsi"/>
          <w:i/>
          <w:iCs/>
          <w:spacing w:val="6"/>
          <w:sz w:val="26"/>
          <w:szCs w:val="24"/>
        </w:rPr>
      </w:pPr>
      <w:r w:rsidRPr="007B4051">
        <w:rPr>
          <w:rFonts w:cstheme="minorHAnsi"/>
          <w:i/>
          <w:iCs/>
          <w:spacing w:val="6"/>
          <w:sz w:val="26"/>
          <w:szCs w:val="24"/>
        </w:rPr>
        <w:t>Realizar el cierre de los polígonos terminados y proceder a la liquidación</w:t>
      </w:r>
      <w:r w:rsidRPr="007B4051">
        <w:rPr>
          <w:rFonts w:cstheme="minorHAnsi"/>
          <w:i/>
          <w:iCs/>
          <w:spacing w:val="6"/>
          <w:sz w:val="26"/>
          <w:szCs w:val="24"/>
        </w:rPr>
        <w:br/>
        <w:t>definitiva de los mismos.</w:t>
      </w:r>
    </w:p>
    <w:p w14:paraId="2C356C37" w14:textId="77777777" w:rsidR="00792974" w:rsidRDefault="00792974" w:rsidP="00792974">
      <w:pPr>
        <w:pStyle w:val="texto"/>
        <w:spacing w:after="120"/>
      </w:pPr>
      <w:r>
        <w:t xml:space="preserve">Asimismo, señalamos que, como resultado de la fiscalización financiera y de legalidad, se incluyen otras recomendaciones en el Apéndice 5 referido a otras observaciones y hallazgos que acompaña a este informe. </w:t>
      </w:r>
    </w:p>
    <w:p w14:paraId="18853D6B" w14:textId="77777777" w:rsidR="0019673C" w:rsidRDefault="0019673C" w:rsidP="00A07F13">
      <w:pPr>
        <w:pStyle w:val="texto"/>
        <w:rPr>
          <w:szCs w:val="26"/>
        </w:rPr>
      </w:pPr>
    </w:p>
    <w:p w14:paraId="4A91F7A1" w14:textId="77777777" w:rsidR="00A07F13" w:rsidRDefault="00A07F13" w:rsidP="00A07F13">
      <w:pPr>
        <w:pStyle w:val="texto"/>
        <w:rPr>
          <w:szCs w:val="26"/>
          <w:lang w:val="es-ES" w:eastAsia="es-ES"/>
        </w:rPr>
      </w:pPr>
      <w:r w:rsidRPr="007C5356">
        <w:rPr>
          <w:szCs w:val="26"/>
        </w:rPr>
        <w:t xml:space="preserve">Informe que se emite a propuesta del auditor </w:t>
      </w:r>
      <w:r>
        <w:rPr>
          <w:szCs w:val="26"/>
        </w:rPr>
        <w:t>Miguel Angel Aurrecoechea Gutiérrez</w:t>
      </w:r>
      <w:r w:rsidRPr="007C5356">
        <w:rPr>
          <w:szCs w:val="26"/>
        </w:rPr>
        <w:t>, responsable de la realización de este trabajo, una vez cumplimentados los trámites previstos por la normativa vigente</w:t>
      </w:r>
      <w:r>
        <w:rPr>
          <w:szCs w:val="26"/>
        </w:rPr>
        <w:t>.</w:t>
      </w:r>
    </w:p>
    <w:p w14:paraId="5CD5B972" w14:textId="77777777" w:rsidR="00D542B5" w:rsidRDefault="00D542B5" w:rsidP="00D542B5">
      <w:pPr>
        <w:tabs>
          <w:tab w:val="center" w:pos="540"/>
          <w:tab w:val="center" w:pos="3969"/>
          <w:tab w:val="center" w:pos="5103"/>
          <w:tab w:val="center" w:pos="6237"/>
          <w:tab w:val="center" w:pos="7371"/>
        </w:tabs>
        <w:spacing w:before="200" w:after="200"/>
        <w:ind w:firstLine="0"/>
        <w:jc w:val="center"/>
        <w:rPr>
          <w:spacing w:val="6"/>
          <w:sz w:val="26"/>
          <w:szCs w:val="24"/>
        </w:rPr>
      </w:pPr>
      <w:r w:rsidRPr="009B3DD2">
        <w:rPr>
          <w:spacing w:val="6"/>
          <w:sz w:val="26"/>
          <w:szCs w:val="24"/>
        </w:rPr>
        <w:t xml:space="preserve">Pamplona, </w:t>
      </w:r>
      <w:r w:rsidR="00FE5D89">
        <w:rPr>
          <w:spacing w:val="6"/>
          <w:sz w:val="26"/>
          <w:szCs w:val="24"/>
        </w:rPr>
        <w:t>1</w:t>
      </w:r>
      <w:r w:rsidR="00A220F1">
        <w:rPr>
          <w:spacing w:val="6"/>
          <w:sz w:val="26"/>
          <w:szCs w:val="24"/>
        </w:rPr>
        <w:t>2</w:t>
      </w:r>
      <w:r w:rsidR="00A52BC3">
        <w:rPr>
          <w:spacing w:val="6"/>
          <w:sz w:val="26"/>
          <w:szCs w:val="24"/>
        </w:rPr>
        <w:t xml:space="preserve"> </w:t>
      </w:r>
      <w:r w:rsidR="00792974">
        <w:rPr>
          <w:spacing w:val="6"/>
          <w:sz w:val="26"/>
          <w:szCs w:val="24"/>
        </w:rPr>
        <w:t xml:space="preserve">de </w:t>
      </w:r>
      <w:r w:rsidR="0079721A">
        <w:rPr>
          <w:spacing w:val="6"/>
          <w:sz w:val="26"/>
          <w:szCs w:val="24"/>
        </w:rPr>
        <w:t>enero de 2023</w:t>
      </w:r>
    </w:p>
    <w:p w14:paraId="0E384214" w14:textId="77777777" w:rsidR="00A55B2E" w:rsidRPr="008C0200" w:rsidRDefault="00A55B2E" w:rsidP="00A55B2E">
      <w:pPr>
        <w:pStyle w:val="texto"/>
        <w:jc w:val="center"/>
      </w:pPr>
      <w:r>
        <w:t>El presidente, Ignacio Cabeza del Salvador.</w:t>
      </w:r>
    </w:p>
    <w:p w14:paraId="1F4BAFD1" w14:textId="77777777" w:rsidR="00A55B2E" w:rsidRDefault="00A55B2E" w:rsidP="00D542B5">
      <w:pPr>
        <w:tabs>
          <w:tab w:val="center" w:pos="540"/>
          <w:tab w:val="center" w:pos="3969"/>
          <w:tab w:val="center" w:pos="5103"/>
          <w:tab w:val="center" w:pos="6237"/>
          <w:tab w:val="center" w:pos="7371"/>
        </w:tabs>
        <w:spacing w:before="200" w:after="200"/>
        <w:ind w:firstLine="0"/>
        <w:jc w:val="center"/>
        <w:rPr>
          <w:spacing w:val="6"/>
          <w:sz w:val="26"/>
          <w:szCs w:val="24"/>
        </w:rPr>
      </w:pPr>
    </w:p>
    <w:p w14:paraId="35A4A165" w14:textId="77777777" w:rsidR="00A07F13" w:rsidRDefault="00A07F13">
      <w:pPr>
        <w:spacing w:after="0"/>
        <w:ind w:firstLine="0"/>
        <w:jc w:val="left"/>
        <w:rPr>
          <w:rFonts w:cs="Arial"/>
          <w:color w:val="000000"/>
          <w:spacing w:val="6"/>
          <w:sz w:val="26"/>
          <w:szCs w:val="24"/>
        </w:rPr>
      </w:pPr>
      <w:r>
        <w:rPr>
          <w:rFonts w:cs="Arial"/>
          <w:color w:val="000000"/>
          <w:spacing w:val="6"/>
          <w:sz w:val="26"/>
          <w:szCs w:val="24"/>
        </w:rPr>
        <w:br w:type="page"/>
      </w:r>
    </w:p>
    <w:p w14:paraId="07D06993" w14:textId="77777777" w:rsidR="00807992" w:rsidRPr="00F841C0" w:rsidRDefault="00807992" w:rsidP="00F841C0">
      <w:pPr>
        <w:pStyle w:val="atitulo1"/>
      </w:pPr>
      <w:bookmarkStart w:id="69" w:name="_Toc118266020"/>
      <w:bookmarkStart w:id="70" w:name="_Toc129243482"/>
      <w:r w:rsidRPr="00F841C0">
        <w:lastRenderedPageBreak/>
        <w:t>Apéndice 1. Resumen de la Cuenta General del Ayuntamiento de Pamplona, ejercicio 2021</w:t>
      </w:r>
      <w:bookmarkEnd w:id="69"/>
      <w:r w:rsidR="001E3532">
        <w:rPr>
          <w:rStyle w:val="Refdenotaalpie"/>
        </w:rPr>
        <w:footnoteReference w:id="1"/>
      </w:r>
      <w:bookmarkEnd w:id="70"/>
    </w:p>
    <w:p w14:paraId="616EE39F" w14:textId="77777777" w:rsidR="00807992" w:rsidRPr="00A10067" w:rsidRDefault="00807992" w:rsidP="00807992">
      <w:pPr>
        <w:tabs>
          <w:tab w:val="center" w:pos="2835"/>
          <w:tab w:val="center" w:pos="3969"/>
          <w:tab w:val="center" w:pos="5103"/>
          <w:tab w:val="center" w:pos="6237"/>
          <w:tab w:val="center" w:pos="7371"/>
        </w:tabs>
        <w:spacing w:after="100"/>
        <w:ind w:firstLine="284"/>
        <w:rPr>
          <w:rFonts w:ascii="Arial" w:hAnsi="Arial" w:cs="Arial"/>
          <w:spacing w:val="6"/>
          <w:sz w:val="26"/>
          <w:szCs w:val="24"/>
        </w:rPr>
      </w:pPr>
      <w:bookmarkStart w:id="71" w:name="_Toc22495436"/>
      <w:bookmarkStart w:id="72" w:name="_Toc55460321"/>
      <w:r w:rsidRPr="00A10067">
        <w:rPr>
          <w:rFonts w:ascii="Arial" w:hAnsi="Arial" w:cs="Arial"/>
          <w:spacing w:val="6"/>
          <w:sz w:val="26"/>
          <w:szCs w:val="24"/>
        </w:rPr>
        <w:t>Estado de liquidación consolidado del presupuesto del ejercicio 20</w:t>
      </w:r>
      <w:bookmarkEnd w:id="71"/>
      <w:bookmarkEnd w:id="72"/>
      <w:r w:rsidRPr="00A10067">
        <w:rPr>
          <w:rFonts w:ascii="Arial" w:hAnsi="Arial" w:cs="Arial"/>
          <w:spacing w:val="6"/>
          <w:sz w:val="26"/>
          <w:szCs w:val="24"/>
        </w:rPr>
        <w:t xml:space="preserve">21 </w:t>
      </w:r>
    </w:p>
    <w:p w14:paraId="761F45F1" w14:textId="77777777" w:rsidR="00807992" w:rsidRPr="00667DFF" w:rsidRDefault="00807992" w:rsidP="00807992">
      <w:pPr>
        <w:keepLines/>
        <w:tabs>
          <w:tab w:val="right" w:pos="2835"/>
          <w:tab w:val="right" w:pos="3969"/>
          <w:tab w:val="right" w:pos="5103"/>
          <w:tab w:val="right" w:pos="6237"/>
          <w:tab w:val="right" w:pos="7371"/>
        </w:tabs>
        <w:spacing w:after="240"/>
        <w:ind w:firstLine="0"/>
        <w:jc w:val="center"/>
        <w:rPr>
          <w:rFonts w:ascii="Arial" w:hAnsi="Arial"/>
          <w:spacing w:val="6"/>
          <w:szCs w:val="24"/>
        </w:rPr>
      </w:pPr>
      <w:r w:rsidRPr="00667DFF">
        <w:rPr>
          <w:rFonts w:ascii="Arial" w:hAnsi="Arial"/>
          <w:spacing w:val="6"/>
          <w:szCs w:val="24"/>
        </w:rPr>
        <w:t>(Ayuntamiento y OOAA)</w:t>
      </w:r>
    </w:p>
    <w:p w14:paraId="28CB2012" w14:textId="77777777" w:rsidR="00807992" w:rsidRDefault="00807992" w:rsidP="0080799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r w:rsidRPr="00667DFF">
        <w:rPr>
          <w:rFonts w:ascii="Arial" w:hAnsi="Arial"/>
          <w:spacing w:val="6"/>
          <w:szCs w:val="24"/>
        </w:rPr>
        <w:t>Ejecución del presupuesto de gastos. Clasificación económica</w:t>
      </w:r>
    </w:p>
    <w:tbl>
      <w:tblPr>
        <w:tblW w:w="9354" w:type="dxa"/>
        <w:tblCellMar>
          <w:left w:w="70" w:type="dxa"/>
          <w:right w:w="70" w:type="dxa"/>
        </w:tblCellMar>
        <w:tblLook w:val="04A0" w:firstRow="1" w:lastRow="0" w:firstColumn="1" w:lastColumn="0" w:noHBand="0" w:noVBand="1"/>
      </w:tblPr>
      <w:tblGrid>
        <w:gridCol w:w="2211"/>
        <w:gridCol w:w="1137"/>
        <w:gridCol w:w="942"/>
        <w:gridCol w:w="1127"/>
        <w:gridCol w:w="1228"/>
        <w:gridCol w:w="1030"/>
        <w:gridCol w:w="834"/>
        <w:gridCol w:w="846"/>
      </w:tblGrid>
      <w:tr w:rsidR="00807992" w:rsidRPr="00644A33" w14:paraId="048D320D" w14:textId="77777777" w:rsidTr="00D25103">
        <w:trPr>
          <w:trHeight w:val="300"/>
        </w:trPr>
        <w:tc>
          <w:tcPr>
            <w:tcW w:w="2211" w:type="dxa"/>
            <w:vMerge w:val="restart"/>
            <w:tcBorders>
              <w:top w:val="single" w:sz="4" w:space="0" w:color="auto"/>
              <w:left w:val="nil"/>
              <w:bottom w:val="single" w:sz="4" w:space="0" w:color="auto"/>
              <w:right w:val="nil"/>
            </w:tcBorders>
            <w:shd w:val="clear" w:color="000000" w:fill="FFCC99"/>
            <w:vAlign w:val="center"/>
            <w:hideMark/>
          </w:tcPr>
          <w:p w14:paraId="139A0D36" w14:textId="77777777" w:rsidR="00807992" w:rsidRPr="00644A33" w:rsidRDefault="00807992" w:rsidP="00807992">
            <w:pPr>
              <w:spacing w:after="0"/>
              <w:ind w:firstLine="0"/>
              <w:jc w:val="left"/>
              <w:rPr>
                <w:rFonts w:ascii="Arial" w:hAnsi="Arial" w:cs="Arial"/>
                <w:color w:val="000000"/>
                <w:sz w:val="16"/>
                <w:szCs w:val="16"/>
                <w:lang w:val="es-ES" w:eastAsia="es-ES"/>
              </w:rPr>
            </w:pPr>
            <w:r w:rsidRPr="00644A33">
              <w:rPr>
                <w:rFonts w:ascii="Arial" w:hAnsi="Arial" w:cs="Arial"/>
                <w:color w:val="000000"/>
                <w:sz w:val="16"/>
                <w:szCs w:val="16"/>
                <w:lang w:val="es-ES" w:eastAsia="es-ES"/>
              </w:rPr>
              <w:t>Gastos</w:t>
            </w:r>
          </w:p>
        </w:tc>
        <w:tc>
          <w:tcPr>
            <w:tcW w:w="1137" w:type="dxa"/>
            <w:vMerge w:val="restart"/>
            <w:tcBorders>
              <w:top w:val="single" w:sz="4" w:space="0" w:color="auto"/>
              <w:left w:val="nil"/>
              <w:bottom w:val="single" w:sz="4" w:space="0" w:color="auto"/>
              <w:right w:val="nil"/>
            </w:tcBorders>
            <w:shd w:val="clear" w:color="000000" w:fill="FFCC99"/>
            <w:vAlign w:val="center"/>
            <w:hideMark/>
          </w:tcPr>
          <w:p w14:paraId="17F98CB6" w14:textId="77777777" w:rsidR="00807992" w:rsidRPr="00644A33" w:rsidRDefault="00807992" w:rsidP="00807992">
            <w:pPr>
              <w:spacing w:after="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Crédito inicial</w:t>
            </w:r>
          </w:p>
        </w:tc>
        <w:tc>
          <w:tcPr>
            <w:tcW w:w="942" w:type="dxa"/>
            <w:vMerge w:val="restart"/>
            <w:tcBorders>
              <w:top w:val="single" w:sz="4" w:space="0" w:color="auto"/>
              <w:left w:val="nil"/>
              <w:bottom w:val="single" w:sz="4" w:space="0" w:color="auto"/>
              <w:right w:val="nil"/>
            </w:tcBorders>
            <w:shd w:val="clear" w:color="000000" w:fill="FFCC99"/>
            <w:vAlign w:val="center"/>
            <w:hideMark/>
          </w:tcPr>
          <w:p w14:paraId="5B97EF84" w14:textId="77777777" w:rsidR="00807992" w:rsidRPr="00644A33" w:rsidRDefault="00807992" w:rsidP="00807992">
            <w:pPr>
              <w:spacing w:after="0"/>
              <w:ind w:firstLine="0"/>
              <w:jc w:val="center"/>
              <w:rPr>
                <w:rFonts w:ascii="Arial" w:hAnsi="Arial" w:cs="Arial"/>
                <w:color w:val="000000"/>
                <w:sz w:val="16"/>
                <w:szCs w:val="16"/>
                <w:lang w:val="es-ES" w:eastAsia="es-ES"/>
              </w:rPr>
            </w:pPr>
            <w:proofErr w:type="spellStart"/>
            <w:r w:rsidRPr="00644A33">
              <w:rPr>
                <w:rFonts w:ascii="Arial" w:hAnsi="Arial" w:cs="Arial"/>
                <w:color w:val="000000"/>
                <w:sz w:val="16"/>
                <w:szCs w:val="16"/>
                <w:lang w:val="es-ES" w:eastAsia="es-ES"/>
              </w:rPr>
              <w:t>Modif</w:t>
            </w:r>
            <w:proofErr w:type="spellEnd"/>
            <w:r w:rsidRPr="00644A33">
              <w:rPr>
                <w:rFonts w:ascii="Arial" w:hAnsi="Arial" w:cs="Arial"/>
                <w:color w:val="000000"/>
                <w:sz w:val="16"/>
                <w:szCs w:val="16"/>
                <w:lang w:val="es-ES" w:eastAsia="es-ES"/>
              </w:rPr>
              <w:t>.</w:t>
            </w:r>
          </w:p>
        </w:tc>
        <w:tc>
          <w:tcPr>
            <w:tcW w:w="1127" w:type="dxa"/>
            <w:tcBorders>
              <w:top w:val="single" w:sz="4" w:space="0" w:color="auto"/>
              <w:left w:val="nil"/>
              <w:right w:val="nil"/>
            </w:tcBorders>
            <w:shd w:val="clear" w:color="000000" w:fill="FFCC99"/>
            <w:vAlign w:val="center"/>
            <w:hideMark/>
          </w:tcPr>
          <w:p w14:paraId="6ECC8D24" w14:textId="77777777" w:rsidR="00807992" w:rsidRPr="00644A33" w:rsidRDefault="00807992" w:rsidP="00507F47">
            <w:pPr>
              <w:spacing w:after="0" w:line="240" w:lineRule="exact"/>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Crédito</w:t>
            </w:r>
          </w:p>
        </w:tc>
        <w:tc>
          <w:tcPr>
            <w:tcW w:w="1228" w:type="dxa"/>
            <w:tcBorders>
              <w:top w:val="single" w:sz="4" w:space="0" w:color="auto"/>
              <w:left w:val="nil"/>
              <w:right w:val="nil"/>
            </w:tcBorders>
            <w:shd w:val="clear" w:color="000000" w:fill="FFCC99"/>
            <w:vAlign w:val="center"/>
            <w:hideMark/>
          </w:tcPr>
          <w:p w14:paraId="384F9763" w14:textId="77777777" w:rsidR="00807992" w:rsidRPr="00644A33" w:rsidRDefault="00807992" w:rsidP="00807992">
            <w:pPr>
              <w:spacing w:after="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Obligaciones</w:t>
            </w:r>
          </w:p>
        </w:tc>
        <w:tc>
          <w:tcPr>
            <w:tcW w:w="1029" w:type="dxa"/>
            <w:vMerge w:val="restart"/>
            <w:tcBorders>
              <w:top w:val="single" w:sz="4" w:space="0" w:color="auto"/>
              <w:left w:val="nil"/>
              <w:bottom w:val="single" w:sz="4" w:space="0" w:color="auto"/>
              <w:right w:val="nil"/>
            </w:tcBorders>
            <w:shd w:val="clear" w:color="000000" w:fill="FFCC99"/>
            <w:vAlign w:val="center"/>
            <w:hideMark/>
          </w:tcPr>
          <w:p w14:paraId="606F8DCD" w14:textId="77777777" w:rsidR="00807992" w:rsidRPr="00644A33" w:rsidRDefault="00807992" w:rsidP="00807992">
            <w:pPr>
              <w:spacing w:after="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 xml:space="preserve">Pagos </w:t>
            </w:r>
          </w:p>
        </w:tc>
        <w:tc>
          <w:tcPr>
            <w:tcW w:w="834" w:type="dxa"/>
            <w:vMerge w:val="restart"/>
            <w:tcBorders>
              <w:top w:val="single" w:sz="4" w:space="0" w:color="auto"/>
              <w:left w:val="nil"/>
              <w:bottom w:val="single" w:sz="4" w:space="0" w:color="auto"/>
              <w:right w:val="nil"/>
            </w:tcBorders>
            <w:shd w:val="clear" w:color="000000" w:fill="FFCC99"/>
            <w:vAlign w:val="center"/>
            <w:hideMark/>
          </w:tcPr>
          <w:p w14:paraId="329FCD56" w14:textId="77777777" w:rsidR="00807992" w:rsidRDefault="00807992" w:rsidP="00807992">
            <w:pPr>
              <w:spacing w:after="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 xml:space="preserve">% </w:t>
            </w:r>
          </w:p>
          <w:p w14:paraId="37952A3E" w14:textId="77777777" w:rsidR="00807992" w:rsidRPr="00644A33" w:rsidRDefault="00807992" w:rsidP="004473F2">
            <w:pPr>
              <w:spacing w:after="0"/>
              <w:ind w:firstLine="0"/>
              <w:jc w:val="center"/>
              <w:rPr>
                <w:rFonts w:ascii="Arial" w:hAnsi="Arial" w:cs="Arial"/>
                <w:color w:val="000000"/>
                <w:sz w:val="16"/>
                <w:szCs w:val="16"/>
                <w:lang w:val="es-ES" w:eastAsia="es-ES"/>
              </w:rPr>
            </w:pPr>
            <w:proofErr w:type="spellStart"/>
            <w:r w:rsidRPr="00644A33">
              <w:rPr>
                <w:rFonts w:ascii="Arial" w:hAnsi="Arial" w:cs="Arial"/>
                <w:color w:val="000000"/>
                <w:sz w:val="16"/>
                <w:szCs w:val="16"/>
                <w:lang w:val="es-ES" w:eastAsia="es-ES"/>
              </w:rPr>
              <w:t>Ejecu</w:t>
            </w:r>
            <w:proofErr w:type="spellEnd"/>
            <w:r w:rsidR="004473F2">
              <w:rPr>
                <w:rFonts w:ascii="Arial" w:hAnsi="Arial" w:cs="Arial"/>
                <w:color w:val="000000"/>
                <w:sz w:val="16"/>
                <w:szCs w:val="16"/>
                <w:lang w:val="es-ES" w:eastAsia="es-ES"/>
              </w:rPr>
              <w:t>.</w:t>
            </w:r>
          </w:p>
        </w:tc>
        <w:tc>
          <w:tcPr>
            <w:tcW w:w="846" w:type="dxa"/>
            <w:vMerge w:val="restart"/>
            <w:tcBorders>
              <w:top w:val="single" w:sz="4" w:space="0" w:color="auto"/>
              <w:left w:val="nil"/>
              <w:bottom w:val="single" w:sz="4" w:space="0" w:color="auto"/>
              <w:right w:val="nil"/>
            </w:tcBorders>
            <w:shd w:val="clear" w:color="000000" w:fill="FFCC99"/>
            <w:vAlign w:val="center"/>
            <w:hideMark/>
          </w:tcPr>
          <w:p w14:paraId="708269BB" w14:textId="77777777" w:rsidR="00807992" w:rsidRDefault="00807992" w:rsidP="00645629">
            <w:pPr>
              <w:spacing w:after="0"/>
              <w:ind w:firstLine="0"/>
              <w:jc w:val="right"/>
              <w:rPr>
                <w:rFonts w:ascii="Arial" w:hAnsi="Arial" w:cs="Arial"/>
                <w:color w:val="000000"/>
                <w:sz w:val="16"/>
                <w:szCs w:val="16"/>
                <w:lang w:val="es-ES" w:eastAsia="es-ES"/>
              </w:rPr>
            </w:pPr>
            <w:r w:rsidRPr="00644A33">
              <w:rPr>
                <w:rFonts w:ascii="Arial" w:hAnsi="Arial" w:cs="Arial"/>
                <w:color w:val="000000"/>
                <w:sz w:val="16"/>
                <w:szCs w:val="16"/>
                <w:lang w:val="es-ES" w:eastAsia="es-ES"/>
              </w:rPr>
              <w:t xml:space="preserve">% </w:t>
            </w:r>
          </w:p>
          <w:p w14:paraId="561F29A3" w14:textId="77777777" w:rsidR="00807992" w:rsidRPr="00644A33" w:rsidRDefault="00807992" w:rsidP="00645629">
            <w:pPr>
              <w:spacing w:after="0"/>
              <w:ind w:firstLine="0"/>
              <w:jc w:val="right"/>
              <w:rPr>
                <w:rFonts w:ascii="Arial" w:hAnsi="Arial" w:cs="Arial"/>
                <w:color w:val="000000"/>
                <w:sz w:val="16"/>
                <w:szCs w:val="16"/>
                <w:lang w:val="es-ES" w:eastAsia="es-ES"/>
              </w:rPr>
            </w:pPr>
            <w:r w:rsidRPr="00644A33">
              <w:rPr>
                <w:rFonts w:ascii="Arial" w:hAnsi="Arial" w:cs="Arial"/>
                <w:color w:val="000000"/>
                <w:sz w:val="16"/>
                <w:szCs w:val="16"/>
                <w:lang w:val="es-ES" w:eastAsia="es-ES"/>
              </w:rPr>
              <w:t>Pagos</w:t>
            </w:r>
          </w:p>
        </w:tc>
      </w:tr>
      <w:tr w:rsidR="00807992" w:rsidRPr="00644A33" w14:paraId="7AFF0D8B" w14:textId="77777777" w:rsidTr="00D25103">
        <w:trPr>
          <w:trHeight w:val="70"/>
        </w:trPr>
        <w:tc>
          <w:tcPr>
            <w:tcW w:w="2211" w:type="dxa"/>
            <w:vMerge/>
            <w:tcBorders>
              <w:top w:val="single" w:sz="4" w:space="0" w:color="auto"/>
              <w:left w:val="nil"/>
              <w:bottom w:val="single" w:sz="2" w:space="0" w:color="auto"/>
              <w:right w:val="nil"/>
            </w:tcBorders>
            <w:vAlign w:val="center"/>
            <w:hideMark/>
          </w:tcPr>
          <w:p w14:paraId="37C5DC6A" w14:textId="77777777" w:rsidR="00807992" w:rsidRPr="00644A33" w:rsidRDefault="00807992" w:rsidP="00807992">
            <w:pPr>
              <w:spacing w:after="0"/>
              <w:ind w:firstLine="0"/>
              <w:jc w:val="left"/>
              <w:rPr>
                <w:rFonts w:ascii="Arial" w:hAnsi="Arial" w:cs="Arial"/>
                <w:color w:val="000000"/>
                <w:sz w:val="16"/>
                <w:szCs w:val="16"/>
                <w:lang w:val="es-ES" w:eastAsia="es-ES"/>
              </w:rPr>
            </w:pPr>
          </w:p>
        </w:tc>
        <w:tc>
          <w:tcPr>
            <w:tcW w:w="1137" w:type="dxa"/>
            <w:vMerge/>
            <w:tcBorders>
              <w:top w:val="single" w:sz="4" w:space="0" w:color="auto"/>
              <w:left w:val="nil"/>
              <w:bottom w:val="single" w:sz="2" w:space="0" w:color="auto"/>
              <w:right w:val="nil"/>
            </w:tcBorders>
            <w:vAlign w:val="center"/>
            <w:hideMark/>
          </w:tcPr>
          <w:p w14:paraId="3CA5911F" w14:textId="77777777" w:rsidR="00807992" w:rsidRPr="00644A33" w:rsidRDefault="00807992" w:rsidP="00807992">
            <w:pPr>
              <w:spacing w:after="0"/>
              <w:ind w:firstLine="0"/>
              <w:jc w:val="left"/>
              <w:rPr>
                <w:rFonts w:ascii="Arial" w:hAnsi="Arial" w:cs="Arial"/>
                <w:color w:val="000000"/>
                <w:sz w:val="16"/>
                <w:szCs w:val="16"/>
                <w:lang w:val="es-ES" w:eastAsia="es-ES"/>
              </w:rPr>
            </w:pPr>
          </w:p>
        </w:tc>
        <w:tc>
          <w:tcPr>
            <w:tcW w:w="942" w:type="dxa"/>
            <w:vMerge/>
            <w:tcBorders>
              <w:top w:val="single" w:sz="4" w:space="0" w:color="auto"/>
              <w:left w:val="nil"/>
              <w:bottom w:val="single" w:sz="2" w:space="0" w:color="auto"/>
              <w:right w:val="nil"/>
            </w:tcBorders>
            <w:vAlign w:val="center"/>
            <w:hideMark/>
          </w:tcPr>
          <w:p w14:paraId="36BD1819" w14:textId="77777777" w:rsidR="00807992" w:rsidRPr="00644A33" w:rsidRDefault="00807992" w:rsidP="00807992">
            <w:pPr>
              <w:spacing w:after="0"/>
              <w:ind w:firstLine="0"/>
              <w:jc w:val="left"/>
              <w:rPr>
                <w:rFonts w:ascii="Arial" w:hAnsi="Arial" w:cs="Arial"/>
                <w:color w:val="000000"/>
                <w:sz w:val="16"/>
                <w:szCs w:val="16"/>
                <w:lang w:val="es-ES" w:eastAsia="es-ES"/>
              </w:rPr>
            </w:pPr>
          </w:p>
        </w:tc>
        <w:tc>
          <w:tcPr>
            <w:tcW w:w="1127" w:type="dxa"/>
            <w:tcBorders>
              <w:left w:val="nil"/>
              <w:bottom w:val="single" w:sz="4" w:space="0" w:color="auto"/>
              <w:right w:val="nil"/>
            </w:tcBorders>
            <w:shd w:val="clear" w:color="000000" w:fill="FFCC99"/>
            <w:vAlign w:val="center"/>
            <w:hideMark/>
          </w:tcPr>
          <w:p w14:paraId="0F5235A7" w14:textId="77777777" w:rsidR="00807992" w:rsidRPr="00644A33" w:rsidRDefault="00807992" w:rsidP="00507F47">
            <w:pPr>
              <w:spacing w:after="0" w:line="240" w:lineRule="exact"/>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definitivo</w:t>
            </w:r>
          </w:p>
        </w:tc>
        <w:tc>
          <w:tcPr>
            <w:tcW w:w="1228" w:type="dxa"/>
            <w:tcBorders>
              <w:left w:val="nil"/>
              <w:bottom w:val="single" w:sz="4" w:space="0" w:color="auto"/>
              <w:right w:val="nil"/>
            </w:tcBorders>
            <w:shd w:val="clear" w:color="000000" w:fill="FFCC99"/>
            <w:vAlign w:val="center"/>
            <w:hideMark/>
          </w:tcPr>
          <w:p w14:paraId="5FE0EE7B" w14:textId="77777777" w:rsidR="00807992" w:rsidRPr="00644A33" w:rsidRDefault="00807992" w:rsidP="00807992">
            <w:pPr>
              <w:spacing w:after="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reconocidas</w:t>
            </w:r>
          </w:p>
        </w:tc>
        <w:tc>
          <w:tcPr>
            <w:tcW w:w="1029" w:type="dxa"/>
            <w:vMerge/>
            <w:tcBorders>
              <w:top w:val="single" w:sz="4" w:space="0" w:color="auto"/>
              <w:left w:val="nil"/>
              <w:bottom w:val="single" w:sz="2" w:space="0" w:color="auto"/>
              <w:right w:val="nil"/>
            </w:tcBorders>
            <w:vAlign w:val="center"/>
            <w:hideMark/>
          </w:tcPr>
          <w:p w14:paraId="5329C1F8" w14:textId="77777777" w:rsidR="00807992" w:rsidRPr="00644A33" w:rsidRDefault="00807992" w:rsidP="00807992">
            <w:pPr>
              <w:spacing w:after="0"/>
              <w:ind w:firstLine="0"/>
              <w:jc w:val="left"/>
              <w:rPr>
                <w:rFonts w:ascii="Arial" w:hAnsi="Arial" w:cs="Arial"/>
                <w:color w:val="000000"/>
                <w:sz w:val="16"/>
                <w:szCs w:val="16"/>
                <w:lang w:val="es-ES" w:eastAsia="es-ES"/>
              </w:rPr>
            </w:pPr>
          </w:p>
        </w:tc>
        <w:tc>
          <w:tcPr>
            <w:tcW w:w="834" w:type="dxa"/>
            <w:vMerge/>
            <w:tcBorders>
              <w:top w:val="single" w:sz="4" w:space="0" w:color="auto"/>
              <w:left w:val="nil"/>
              <w:bottom w:val="single" w:sz="2" w:space="0" w:color="auto"/>
              <w:right w:val="nil"/>
            </w:tcBorders>
            <w:vAlign w:val="center"/>
            <w:hideMark/>
          </w:tcPr>
          <w:p w14:paraId="04032668" w14:textId="77777777" w:rsidR="00807992" w:rsidRPr="00644A33" w:rsidRDefault="00807992" w:rsidP="00807992">
            <w:pPr>
              <w:spacing w:after="0"/>
              <w:ind w:firstLine="0"/>
              <w:jc w:val="left"/>
              <w:rPr>
                <w:rFonts w:ascii="Arial" w:hAnsi="Arial" w:cs="Arial"/>
                <w:color w:val="000000"/>
                <w:sz w:val="16"/>
                <w:szCs w:val="16"/>
                <w:lang w:val="es-ES" w:eastAsia="es-ES"/>
              </w:rPr>
            </w:pPr>
          </w:p>
        </w:tc>
        <w:tc>
          <w:tcPr>
            <w:tcW w:w="846" w:type="dxa"/>
            <w:vMerge/>
            <w:tcBorders>
              <w:top w:val="single" w:sz="4" w:space="0" w:color="auto"/>
              <w:left w:val="nil"/>
              <w:bottom w:val="single" w:sz="2" w:space="0" w:color="auto"/>
              <w:right w:val="nil"/>
            </w:tcBorders>
            <w:vAlign w:val="center"/>
            <w:hideMark/>
          </w:tcPr>
          <w:p w14:paraId="07E5190F" w14:textId="77777777" w:rsidR="00807992" w:rsidRPr="00644A33" w:rsidRDefault="00807992" w:rsidP="00645629">
            <w:pPr>
              <w:spacing w:after="0"/>
              <w:ind w:firstLine="0"/>
              <w:jc w:val="right"/>
              <w:rPr>
                <w:rFonts w:ascii="Arial" w:hAnsi="Arial" w:cs="Arial"/>
                <w:color w:val="000000"/>
                <w:sz w:val="16"/>
                <w:szCs w:val="16"/>
                <w:lang w:val="es-ES" w:eastAsia="es-ES"/>
              </w:rPr>
            </w:pPr>
          </w:p>
        </w:tc>
      </w:tr>
      <w:tr w:rsidR="00807992" w:rsidRPr="00644A33" w14:paraId="03BD7FFB" w14:textId="77777777" w:rsidTr="00507F47">
        <w:trPr>
          <w:trHeight w:val="198"/>
        </w:trPr>
        <w:tc>
          <w:tcPr>
            <w:tcW w:w="2211" w:type="dxa"/>
            <w:tcBorders>
              <w:top w:val="single" w:sz="2" w:space="0" w:color="auto"/>
              <w:left w:val="nil"/>
              <w:bottom w:val="single" w:sz="2" w:space="0" w:color="auto"/>
              <w:right w:val="nil"/>
            </w:tcBorders>
            <w:shd w:val="clear" w:color="auto" w:fill="auto"/>
            <w:noWrap/>
            <w:vAlign w:val="center"/>
            <w:hideMark/>
          </w:tcPr>
          <w:p w14:paraId="25B77712"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 Personal</w:t>
            </w:r>
          </w:p>
        </w:tc>
        <w:tc>
          <w:tcPr>
            <w:tcW w:w="1137" w:type="dxa"/>
            <w:tcBorders>
              <w:top w:val="single" w:sz="2" w:space="0" w:color="auto"/>
              <w:left w:val="nil"/>
              <w:bottom w:val="single" w:sz="2" w:space="0" w:color="auto"/>
              <w:right w:val="nil"/>
            </w:tcBorders>
            <w:shd w:val="clear" w:color="auto" w:fill="auto"/>
            <w:noWrap/>
            <w:vAlign w:val="center"/>
            <w:hideMark/>
          </w:tcPr>
          <w:p w14:paraId="0A5FC4D6"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104.588.334</w:t>
            </w:r>
          </w:p>
        </w:tc>
        <w:tc>
          <w:tcPr>
            <w:tcW w:w="942" w:type="dxa"/>
            <w:tcBorders>
              <w:top w:val="single" w:sz="2" w:space="0" w:color="auto"/>
              <w:left w:val="nil"/>
              <w:bottom w:val="single" w:sz="2" w:space="0" w:color="auto"/>
              <w:right w:val="nil"/>
            </w:tcBorders>
            <w:shd w:val="clear" w:color="auto" w:fill="auto"/>
            <w:noWrap/>
            <w:vAlign w:val="center"/>
            <w:hideMark/>
          </w:tcPr>
          <w:p w14:paraId="170EEA4F"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614.924</w:t>
            </w:r>
          </w:p>
        </w:tc>
        <w:tc>
          <w:tcPr>
            <w:tcW w:w="1127" w:type="dxa"/>
            <w:tcBorders>
              <w:top w:val="single" w:sz="4" w:space="0" w:color="auto"/>
              <w:left w:val="nil"/>
              <w:bottom w:val="single" w:sz="2" w:space="0" w:color="auto"/>
              <w:right w:val="nil"/>
            </w:tcBorders>
            <w:shd w:val="clear" w:color="auto" w:fill="auto"/>
            <w:noWrap/>
            <w:vAlign w:val="center"/>
            <w:hideMark/>
          </w:tcPr>
          <w:p w14:paraId="323FA4C1"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105.203.258</w:t>
            </w:r>
          </w:p>
        </w:tc>
        <w:tc>
          <w:tcPr>
            <w:tcW w:w="1228" w:type="dxa"/>
            <w:tcBorders>
              <w:top w:val="single" w:sz="4" w:space="0" w:color="auto"/>
              <w:left w:val="nil"/>
              <w:bottom w:val="single" w:sz="2" w:space="0" w:color="auto"/>
              <w:right w:val="nil"/>
            </w:tcBorders>
            <w:shd w:val="clear" w:color="auto" w:fill="auto"/>
            <w:noWrap/>
            <w:vAlign w:val="center"/>
            <w:hideMark/>
          </w:tcPr>
          <w:p w14:paraId="4EA0419A"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104.335.183</w:t>
            </w:r>
          </w:p>
        </w:tc>
        <w:tc>
          <w:tcPr>
            <w:tcW w:w="1029" w:type="dxa"/>
            <w:tcBorders>
              <w:top w:val="single" w:sz="2" w:space="0" w:color="auto"/>
              <w:left w:val="nil"/>
              <w:bottom w:val="single" w:sz="2" w:space="0" w:color="auto"/>
              <w:right w:val="nil"/>
            </w:tcBorders>
            <w:shd w:val="clear" w:color="auto" w:fill="auto"/>
            <w:noWrap/>
            <w:vAlign w:val="center"/>
            <w:hideMark/>
          </w:tcPr>
          <w:p w14:paraId="75018157"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104.127.338</w:t>
            </w:r>
          </w:p>
        </w:tc>
        <w:tc>
          <w:tcPr>
            <w:tcW w:w="834" w:type="dxa"/>
            <w:tcBorders>
              <w:top w:val="single" w:sz="2" w:space="0" w:color="auto"/>
              <w:left w:val="nil"/>
              <w:bottom w:val="single" w:sz="2" w:space="0" w:color="auto"/>
              <w:right w:val="nil"/>
            </w:tcBorders>
            <w:shd w:val="clear" w:color="auto" w:fill="auto"/>
            <w:noWrap/>
            <w:vAlign w:val="center"/>
            <w:hideMark/>
          </w:tcPr>
          <w:p w14:paraId="55CBE2FC"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99</w:t>
            </w:r>
          </w:p>
        </w:tc>
        <w:tc>
          <w:tcPr>
            <w:tcW w:w="846" w:type="dxa"/>
            <w:tcBorders>
              <w:top w:val="single" w:sz="2" w:space="0" w:color="auto"/>
              <w:left w:val="nil"/>
              <w:bottom w:val="single" w:sz="2" w:space="0" w:color="auto"/>
              <w:right w:val="nil"/>
            </w:tcBorders>
            <w:shd w:val="clear" w:color="auto" w:fill="auto"/>
            <w:noWrap/>
            <w:vAlign w:val="center"/>
            <w:hideMark/>
          </w:tcPr>
          <w:p w14:paraId="09CFCB78"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100</w:t>
            </w:r>
          </w:p>
        </w:tc>
      </w:tr>
      <w:tr w:rsidR="00807992" w:rsidRPr="00644A33" w14:paraId="3F71A917" w14:textId="77777777" w:rsidTr="00011983">
        <w:trPr>
          <w:trHeight w:val="198"/>
        </w:trPr>
        <w:tc>
          <w:tcPr>
            <w:tcW w:w="2211" w:type="dxa"/>
            <w:tcBorders>
              <w:top w:val="single" w:sz="2" w:space="0" w:color="auto"/>
              <w:left w:val="nil"/>
              <w:bottom w:val="single" w:sz="2" w:space="0" w:color="auto"/>
              <w:right w:val="nil"/>
            </w:tcBorders>
            <w:shd w:val="clear" w:color="auto" w:fill="auto"/>
            <w:noWrap/>
            <w:vAlign w:val="center"/>
            <w:hideMark/>
          </w:tcPr>
          <w:p w14:paraId="17E37B4E"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 Bienes corrientes</w:t>
            </w:r>
          </w:p>
        </w:tc>
        <w:tc>
          <w:tcPr>
            <w:tcW w:w="1137" w:type="dxa"/>
            <w:tcBorders>
              <w:top w:val="single" w:sz="2" w:space="0" w:color="auto"/>
              <w:left w:val="nil"/>
              <w:bottom w:val="single" w:sz="2" w:space="0" w:color="auto"/>
              <w:right w:val="nil"/>
            </w:tcBorders>
            <w:shd w:val="clear" w:color="auto" w:fill="auto"/>
            <w:noWrap/>
            <w:vAlign w:val="center"/>
            <w:hideMark/>
          </w:tcPr>
          <w:p w14:paraId="0CFE1EE1"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75.491.298</w:t>
            </w:r>
          </w:p>
        </w:tc>
        <w:tc>
          <w:tcPr>
            <w:tcW w:w="942" w:type="dxa"/>
            <w:tcBorders>
              <w:top w:val="single" w:sz="2" w:space="0" w:color="auto"/>
              <w:left w:val="nil"/>
              <w:bottom w:val="single" w:sz="2" w:space="0" w:color="auto"/>
              <w:right w:val="nil"/>
            </w:tcBorders>
            <w:shd w:val="clear" w:color="auto" w:fill="auto"/>
            <w:noWrap/>
            <w:vAlign w:val="center"/>
            <w:hideMark/>
          </w:tcPr>
          <w:p w14:paraId="0BF3526B"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1.940.933</w:t>
            </w:r>
          </w:p>
        </w:tc>
        <w:tc>
          <w:tcPr>
            <w:tcW w:w="1127" w:type="dxa"/>
            <w:tcBorders>
              <w:top w:val="single" w:sz="2" w:space="0" w:color="auto"/>
              <w:left w:val="nil"/>
              <w:bottom w:val="single" w:sz="2" w:space="0" w:color="auto"/>
              <w:right w:val="nil"/>
            </w:tcBorders>
            <w:shd w:val="clear" w:color="auto" w:fill="auto"/>
            <w:noWrap/>
            <w:vAlign w:val="center"/>
            <w:hideMark/>
          </w:tcPr>
          <w:p w14:paraId="10AD7A96"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77.432.231</w:t>
            </w:r>
          </w:p>
        </w:tc>
        <w:tc>
          <w:tcPr>
            <w:tcW w:w="1228" w:type="dxa"/>
            <w:tcBorders>
              <w:top w:val="single" w:sz="2" w:space="0" w:color="auto"/>
              <w:left w:val="nil"/>
              <w:bottom w:val="single" w:sz="2" w:space="0" w:color="auto"/>
              <w:right w:val="nil"/>
            </w:tcBorders>
            <w:shd w:val="clear" w:color="auto" w:fill="auto"/>
            <w:noWrap/>
            <w:vAlign w:val="center"/>
            <w:hideMark/>
          </w:tcPr>
          <w:p w14:paraId="6A448A4E"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73.635.707</w:t>
            </w:r>
          </w:p>
        </w:tc>
        <w:tc>
          <w:tcPr>
            <w:tcW w:w="1029" w:type="dxa"/>
            <w:tcBorders>
              <w:top w:val="single" w:sz="2" w:space="0" w:color="auto"/>
              <w:left w:val="nil"/>
              <w:bottom w:val="single" w:sz="2" w:space="0" w:color="auto"/>
              <w:right w:val="nil"/>
            </w:tcBorders>
            <w:shd w:val="clear" w:color="auto" w:fill="auto"/>
            <w:noWrap/>
            <w:vAlign w:val="center"/>
            <w:hideMark/>
          </w:tcPr>
          <w:p w14:paraId="627ACCEB"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60.612.486</w:t>
            </w:r>
          </w:p>
        </w:tc>
        <w:tc>
          <w:tcPr>
            <w:tcW w:w="834" w:type="dxa"/>
            <w:tcBorders>
              <w:top w:val="single" w:sz="2" w:space="0" w:color="auto"/>
              <w:left w:val="nil"/>
              <w:bottom w:val="single" w:sz="2" w:space="0" w:color="auto"/>
              <w:right w:val="nil"/>
            </w:tcBorders>
            <w:shd w:val="clear" w:color="auto" w:fill="auto"/>
            <w:noWrap/>
            <w:vAlign w:val="center"/>
            <w:hideMark/>
          </w:tcPr>
          <w:p w14:paraId="1C143382"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95</w:t>
            </w:r>
          </w:p>
        </w:tc>
        <w:tc>
          <w:tcPr>
            <w:tcW w:w="846" w:type="dxa"/>
            <w:tcBorders>
              <w:top w:val="single" w:sz="2" w:space="0" w:color="auto"/>
              <w:left w:val="nil"/>
              <w:bottom w:val="single" w:sz="2" w:space="0" w:color="auto"/>
              <w:right w:val="nil"/>
            </w:tcBorders>
            <w:shd w:val="clear" w:color="auto" w:fill="auto"/>
            <w:noWrap/>
            <w:vAlign w:val="center"/>
            <w:hideMark/>
          </w:tcPr>
          <w:p w14:paraId="4E08B76D"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82</w:t>
            </w:r>
          </w:p>
        </w:tc>
      </w:tr>
      <w:tr w:rsidR="00807992" w:rsidRPr="00644A33" w14:paraId="372CACCF" w14:textId="77777777" w:rsidTr="00011983">
        <w:trPr>
          <w:trHeight w:val="198"/>
        </w:trPr>
        <w:tc>
          <w:tcPr>
            <w:tcW w:w="2211" w:type="dxa"/>
            <w:tcBorders>
              <w:top w:val="single" w:sz="2" w:space="0" w:color="auto"/>
              <w:left w:val="nil"/>
              <w:bottom w:val="single" w:sz="2" w:space="0" w:color="auto"/>
              <w:right w:val="nil"/>
            </w:tcBorders>
            <w:shd w:val="clear" w:color="auto" w:fill="auto"/>
            <w:noWrap/>
            <w:vAlign w:val="center"/>
            <w:hideMark/>
          </w:tcPr>
          <w:p w14:paraId="06709EB1"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 Gastos financieros</w:t>
            </w:r>
          </w:p>
        </w:tc>
        <w:tc>
          <w:tcPr>
            <w:tcW w:w="1137" w:type="dxa"/>
            <w:tcBorders>
              <w:top w:val="single" w:sz="2" w:space="0" w:color="auto"/>
              <w:left w:val="nil"/>
              <w:bottom w:val="single" w:sz="2" w:space="0" w:color="auto"/>
              <w:right w:val="nil"/>
            </w:tcBorders>
            <w:shd w:val="clear" w:color="auto" w:fill="auto"/>
            <w:noWrap/>
            <w:vAlign w:val="center"/>
            <w:hideMark/>
          </w:tcPr>
          <w:p w14:paraId="29849CC8"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655.000</w:t>
            </w:r>
          </w:p>
        </w:tc>
        <w:tc>
          <w:tcPr>
            <w:tcW w:w="942" w:type="dxa"/>
            <w:tcBorders>
              <w:top w:val="single" w:sz="2" w:space="0" w:color="auto"/>
              <w:left w:val="nil"/>
              <w:bottom w:val="single" w:sz="2" w:space="0" w:color="auto"/>
              <w:right w:val="nil"/>
            </w:tcBorders>
            <w:shd w:val="clear" w:color="auto" w:fill="auto"/>
            <w:noWrap/>
            <w:vAlign w:val="center"/>
            <w:hideMark/>
          </w:tcPr>
          <w:p w14:paraId="5F7F6C23"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0</w:t>
            </w:r>
          </w:p>
        </w:tc>
        <w:tc>
          <w:tcPr>
            <w:tcW w:w="1127" w:type="dxa"/>
            <w:tcBorders>
              <w:top w:val="single" w:sz="2" w:space="0" w:color="auto"/>
              <w:left w:val="nil"/>
              <w:bottom w:val="single" w:sz="2" w:space="0" w:color="auto"/>
              <w:right w:val="nil"/>
            </w:tcBorders>
            <w:shd w:val="clear" w:color="auto" w:fill="auto"/>
            <w:noWrap/>
            <w:vAlign w:val="center"/>
            <w:hideMark/>
          </w:tcPr>
          <w:p w14:paraId="36645F7F"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655.000</w:t>
            </w:r>
          </w:p>
        </w:tc>
        <w:tc>
          <w:tcPr>
            <w:tcW w:w="1228" w:type="dxa"/>
            <w:tcBorders>
              <w:top w:val="single" w:sz="2" w:space="0" w:color="auto"/>
              <w:left w:val="nil"/>
              <w:bottom w:val="single" w:sz="2" w:space="0" w:color="auto"/>
              <w:right w:val="nil"/>
            </w:tcBorders>
            <w:shd w:val="clear" w:color="auto" w:fill="auto"/>
            <w:noWrap/>
            <w:vAlign w:val="center"/>
            <w:hideMark/>
          </w:tcPr>
          <w:p w14:paraId="43B04A60"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436.951</w:t>
            </w:r>
          </w:p>
        </w:tc>
        <w:tc>
          <w:tcPr>
            <w:tcW w:w="1029" w:type="dxa"/>
            <w:tcBorders>
              <w:top w:val="single" w:sz="2" w:space="0" w:color="auto"/>
              <w:left w:val="nil"/>
              <w:bottom w:val="single" w:sz="2" w:space="0" w:color="auto"/>
              <w:right w:val="nil"/>
            </w:tcBorders>
            <w:shd w:val="clear" w:color="auto" w:fill="auto"/>
            <w:noWrap/>
            <w:vAlign w:val="center"/>
            <w:hideMark/>
          </w:tcPr>
          <w:p w14:paraId="5D222A67"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434.567</w:t>
            </w:r>
          </w:p>
        </w:tc>
        <w:tc>
          <w:tcPr>
            <w:tcW w:w="834" w:type="dxa"/>
            <w:tcBorders>
              <w:top w:val="single" w:sz="2" w:space="0" w:color="auto"/>
              <w:left w:val="nil"/>
              <w:bottom w:val="single" w:sz="2" w:space="0" w:color="auto"/>
              <w:right w:val="nil"/>
            </w:tcBorders>
            <w:shd w:val="clear" w:color="auto" w:fill="auto"/>
            <w:noWrap/>
            <w:vAlign w:val="center"/>
            <w:hideMark/>
          </w:tcPr>
          <w:p w14:paraId="02C18FFB"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67</w:t>
            </w:r>
          </w:p>
        </w:tc>
        <w:tc>
          <w:tcPr>
            <w:tcW w:w="846" w:type="dxa"/>
            <w:tcBorders>
              <w:top w:val="single" w:sz="2" w:space="0" w:color="auto"/>
              <w:left w:val="nil"/>
              <w:bottom w:val="single" w:sz="2" w:space="0" w:color="auto"/>
              <w:right w:val="nil"/>
            </w:tcBorders>
            <w:shd w:val="clear" w:color="auto" w:fill="auto"/>
            <w:noWrap/>
            <w:vAlign w:val="center"/>
            <w:hideMark/>
          </w:tcPr>
          <w:p w14:paraId="56BD4C80"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99</w:t>
            </w:r>
          </w:p>
        </w:tc>
      </w:tr>
      <w:tr w:rsidR="00807992" w:rsidRPr="00644A33" w14:paraId="4A2E7AB4" w14:textId="77777777" w:rsidTr="00011983">
        <w:trPr>
          <w:trHeight w:val="198"/>
        </w:trPr>
        <w:tc>
          <w:tcPr>
            <w:tcW w:w="2211" w:type="dxa"/>
            <w:tcBorders>
              <w:top w:val="single" w:sz="2" w:space="0" w:color="auto"/>
              <w:left w:val="nil"/>
              <w:bottom w:val="single" w:sz="2" w:space="0" w:color="auto"/>
              <w:right w:val="nil"/>
            </w:tcBorders>
            <w:shd w:val="clear" w:color="auto" w:fill="auto"/>
            <w:noWrap/>
            <w:vAlign w:val="center"/>
            <w:hideMark/>
          </w:tcPr>
          <w:p w14:paraId="47EE57AB"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xml:space="preserve">4. </w:t>
            </w:r>
            <w:proofErr w:type="spellStart"/>
            <w:r w:rsidRPr="00644A33">
              <w:rPr>
                <w:rFonts w:ascii="Arial Narrow" w:hAnsi="Arial Narrow" w:cs="Calibri"/>
                <w:color w:val="000000"/>
                <w:sz w:val="16"/>
                <w:szCs w:val="16"/>
                <w:lang w:val="es-ES" w:eastAsia="es-ES"/>
              </w:rPr>
              <w:t>Transf</w:t>
            </w:r>
            <w:proofErr w:type="spellEnd"/>
            <w:r w:rsidRPr="00644A33">
              <w:rPr>
                <w:rFonts w:ascii="Arial Narrow" w:hAnsi="Arial Narrow" w:cs="Calibri"/>
                <w:color w:val="000000"/>
                <w:sz w:val="16"/>
                <w:szCs w:val="16"/>
                <w:lang w:val="es-ES" w:eastAsia="es-ES"/>
              </w:rPr>
              <w:t>. Corrientes</w:t>
            </w:r>
          </w:p>
        </w:tc>
        <w:tc>
          <w:tcPr>
            <w:tcW w:w="1137" w:type="dxa"/>
            <w:tcBorders>
              <w:top w:val="single" w:sz="2" w:space="0" w:color="auto"/>
              <w:left w:val="nil"/>
              <w:bottom w:val="single" w:sz="2" w:space="0" w:color="auto"/>
              <w:right w:val="nil"/>
            </w:tcBorders>
            <w:shd w:val="clear" w:color="auto" w:fill="auto"/>
            <w:noWrap/>
            <w:vAlign w:val="center"/>
            <w:hideMark/>
          </w:tcPr>
          <w:p w14:paraId="1DA60620"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14.020.771</w:t>
            </w:r>
          </w:p>
        </w:tc>
        <w:tc>
          <w:tcPr>
            <w:tcW w:w="942" w:type="dxa"/>
            <w:tcBorders>
              <w:top w:val="single" w:sz="2" w:space="0" w:color="auto"/>
              <w:left w:val="nil"/>
              <w:bottom w:val="single" w:sz="2" w:space="0" w:color="auto"/>
              <w:right w:val="nil"/>
            </w:tcBorders>
            <w:shd w:val="clear" w:color="auto" w:fill="auto"/>
            <w:noWrap/>
            <w:vAlign w:val="center"/>
            <w:hideMark/>
          </w:tcPr>
          <w:p w14:paraId="0545CCA6"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2.606.962</w:t>
            </w:r>
          </w:p>
        </w:tc>
        <w:tc>
          <w:tcPr>
            <w:tcW w:w="1127" w:type="dxa"/>
            <w:tcBorders>
              <w:top w:val="single" w:sz="2" w:space="0" w:color="auto"/>
              <w:left w:val="nil"/>
              <w:bottom w:val="single" w:sz="2" w:space="0" w:color="auto"/>
              <w:right w:val="nil"/>
            </w:tcBorders>
            <w:shd w:val="clear" w:color="auto" w:fill="auto"/>
            <w:noWrap/>
            <w:vAlign w:val="center"/>
            <w:hideMark/>
          </w:tcPr>
          <w:p w14:paraId="61C8B9AB"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16.627.733</w:t>
            </w:r>
          </w:p>
        </w:tc>
        <w:tc>
          <w:tcPr>
            <w:tcW w:w="1228" w:type="dxa"/>
            <w:tcBorders>
              <w:top w:val="single" w:sz="2" w:space="0" w:color="auto"/>
              <w:left w:val="nil"/>
              <w:bottom w:val="single" w:sz="2" w:space="0" w:color="auto"/>
              <w:right w:val="nil"/>
            </w:tcBorders>
            <w:shd w:val="clear" w:color="auto" w:fill="auto"/>
            <w:noWrap/>
            <w:vAlign w:val="center"/>
            <w:hideMark/>
          </w:tcPr>
          <w:p w14:paraId="6C87CC41"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15.453.156</w:t>
            </w:r>
          </w:p>
        </w:tc>
        <w:tc>
          <w:tcPr>
            <w:tcW w:w="1029" w:type="dxa"/>
            <w:tcBorders>
              <w:top w:val="single" w:sz="2" w:space="0" w:color="auto"/>
              <w:left w:val="nil"/>
              <w:bottom w:val="single" w:sz="2" w:space="0" w:color="auto"/>
              <w:right w:val="nil"/>
            </w:tcBorders>
            <w:shd w:val="clear" w:color="auto" w:fill="auto"/>
            <w:noWrap/>
            <w:vAlign w:val="center"/>
            <w:hideMark/>
          </w:tcPr>
          <w:p w14:paraId="30B3D279"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13.298.677</w:t>
            </w:r>
          </w:p>
        </w:tc>
        <w:tc>
          <w:tcPr>
            <w:tcW w:w="834" w:type="dxa"/>
            <w:tcBorders>
              <w:top w:val="single" w:sz="2" w:space="0" w:color="auto"/>
              <w:left w:val="nil"/>
              <w:bottom w:val="single" w:sz="2" w:space="0" w:color="auto"/>
              <w:right w:val="nil"/>
            </w:tcBorders>
            <w:shd w:val="clear" w:color="auto" w:fill="auto"/>
            <w:noWrap/>
            <w:vAlign w:val="center"/>
            <w:hideMark/>
          </w:tcPr>
          <w:p w14:paraId="7D9E4558"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93</w:t>
            </w:r>
          </w:p>
        </w:tc>
        <w:tc>
          <w:tcPr>
            <w:tcW w:w="846" w:type="dxa"/>
            <w:tcBorders>
              <w:top w:val="single" w:sz="2" w:space="0" w:color="auto"/>
              <w:left w:val="nil"/>
              <w:bottom w:val="single" w:sz="2" w:space="0" w:color="auto"/>
              <w:right w:val="nil"/>
            </w:tcBorders>
            <w:shd w:val="clear" w:color="auto" w:fill="auto"/>
            <w:noWrap/>
            <w:vAlign w:val="center"/>
            <w:hideMark/>
          </w:tcPr>
          <w:p w14:paraId="3BD7358F"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86</w:t>
            </w:r>
          </w:p>
        </w:tc>
      </w:tr>
      <w:tr w:rsidR="00807992" w:rsidRPr="00644A33" w14:paraId="723B1090" w14:textId="77777777" w:rsidTr="00011983">
        <w:trPr>
          <w:trHeight w:val="198"/>
        </w:trPr>
        <w:tc>
          <w:tcPr>
            <w:tcW w:w="2211" w:type="dxa"/>
            <w:tcBorders>
              <w:top w:val="single" w:sz="2" w:space="0" w:color="auto"/>
              <w:left w:val="nil"/>
              <w:bottom w:val="single" w:sz="2" w:space="0" w:color="auto"/>
              <w:right w:val="nil"/>
            </w:tcBorders>
            <w:shd w:val="clear" w:color="auto" w:fill="auto"/>
            <w:noWrap/>
            <w:vAlign w:val="center"/>
            <w:hideMark/>
          </w:tcPr>
          <w:p w14:paraId="7426175D"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5. Fondo de Contingencias</w:t>
            </w:r>
          </w:p>
        </w:tc>
        <w:tc>
          <w:tcPr>
            <w:tcW w:w="1137" w:type="dxa"/>
            <w:tcBorders>
              <w:top w:val="single" w:sz="2" w:space="0" w:color="auto"/>
              <w:left w:val="nil"/>
              <w:bottom w:val="single" w:sz="2" w:space="0" w:color="auto"/>
              <w:right w:val="nil"/>
            </w:tcBorders>
            <w:shd w:val="clear" w:color="auto" w:fill="auto"/>
            <w:noWrap/>
            <w:vAlign w:val="center"/>
            <w:hideMark/>
          </w:tcPr>
          <w:p w14:paraId="745B5207"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50.000</w:t>
            </w:r>
          </w:p>
        </w:tc>
        <w:tc>
          <w:tcPr>
            <w:tcW w:w="942" w:type="dxa"/>
            <w:tcBorders>
              <w:top w:val="single" w:sz="2" w:space="0" w:color="auto"/>
              <w:left w:val="nil"/>
              <w:bottom w:val="single" w:sz="2" w:space="0" w:color="auto"/>
              <w:right w:val="nil"/>
            </w:tcBorders>
            <w:shd w:val="clear" w:color="auto" w:fill="auto"/>
            <w:noWrap/>
            <w:vAlign w:val="center"/>
            <w:hideMark/>
          </w:tcPr>
          <w:p w14:paraId="6E66D17F"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0</w:t>
            </w:r>
          </w:p>
        </w:tc>
        <w:tc>
          <w:tcPr>
            <w:tcW w:w="1127" w:type="dxa"/>
            <w:tcBorders>
              <w:top w:val="single" w:sz="2" w:space="0" w:color="auto"/>
              <w:left w:val="nil"/>
              <w:bottom w:val="single" w:sz="2" w:space="0" w:color="auto"/>
              <w:right w:val="nil"/>
            </w:tcBorders>
            <w:shd w:val="clear" w:color="auto" w:fill="auto"/>
            <w:noWrap/>
            <w:vAlign w:val="center"/>
            <w:hideMark/>
          </w:tcPr>
          <w:p w14:paraId="797FF82F"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50.000</w:t>
            </w:r>
          </w:p>
        </w:tc>
        <w:tc>
          <w:tcPr>
            <w:tcW w:w="1228" w:type="dxa"/>
            <w:tcBorders>
              <w:top w:val="single" w:sz="2" w:space="0" w:color="auto"/>
              <w:left w:val="nil"/>
              <w:bottom w:val="single" w:sz="2" w:space="0" w:color="auto"/>
              <w:right w:val="nil"/>
            </w:tcBorders>
            <w:shd w:val="clear" w:color="auto" w:fill="auto"/>
            <w:noWrap/>
            <w:vAlign w:val="center"/>
            <w:hideMark/>
          </w:tcPr>
          <w:p w14:paraId="3D611770"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0</w:t>
            </w:r>
          </w:p>
        </w:tc>
        <w:tc>
          <w:tcPr>
            <w:tcW w:w="1029" w:type="dxa"/>
            <w:tcBorders>
              <w:top w:val="single" w:sz="2" w:space="0" w:color="auto"/>
              <w:left w:val="nil"/>
              <w:bottom w:val="single" w:sz="2" w:space="0" w:color="auto"/>
              <w:right w:val="nil"/>
            </w:tcBorders>
            <w:shd w:val="clear" w:color="auto" w:fill="auto"/>
            <w:noWrap/>
            <w:vAlign w:val="center"/>
            <w:hideMark/>
          </w:tcPr>
          <w:p w14:paraId="50CD00F9"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0</w:t>
            </w:r>
          </w:p>
        </w:tc>
        <w:tc>
          <w:tcPr>
            <w:tcW w:w="834" w:type="dxa"/>
            <w:tcBorders>
              <w:top w:val="single" w:sz="2" w:space="0" w:color="auto"/>
              <w:left w:val="nil"/>
              <w:bottom w:val="single" w:sz="2" w:space="0" w:color="auto"/>
              <w:right w:val="nil"/>
            </w:tcBorders>
            <w:shd w:val="clear" w:color="auto" w:fill="auto"/>
            <w:noWrap/>
            <w:vAlign w:val="center"/>
            <w:hideMark/>
          </w:tcPr>
          <w:p w14:paraId="63AB2FC4"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0</w:t>
            </w:r>
          </w:p>
        </w:tc>
        <w:tc>
          <w:tcPr>
            <w:tcW w:w="846" w:type="dxa"/>
            <w:tcBorders>
              <w:top w:val="single" w:sz="2" w:space="0" w:color="auto"/>
              <w:left w:val="nil"/>
              <w:bottom w:val="single" w:sz="2" w:space="0" w:color="auto"/>
              <w:right w:val="nil"/>
            </w:tcBorders>
            <w:shd w:val="clear" w:color="auto" w:fill="auto"/>
            <w:noWrap/>
            <w:vAlign w:val="center"/>
            <w:hideMark/>
          </w:tcPr>
          <w:p w14:paraId="39544DD7"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0</w:t>
            </w:r>
          </w:p>
        </w:tc>
      </w:tr>
      <w:tr w:rsidR="00807992" w:rsidRPr="00644A33" w14:paraId="5FCCF17E" w14:textId="77777777" w:rsidTr="00011983">
        <w:trPr>
          <w:trHeight w:val="198"/>
        </w:trPr>
        <w:tc>
          <w:tcPr>
            <w:tcW w:w="2211" w:type="dxa"/>
            <w:tcBorders>
              <w:top w:val="single" w:sz="2" w:space="0" w:color="auto"/>
              <w:left w:val="nil"/>
              <w:bottom w:val="single" w:sz="2" w:space="0" w:color="auto"/>
              <w:right w:val="nil"/>
            </w:tcBorders>
            <w:shd w:val="clear" w:color="auto" w:fill="auto"/>
            <w:noWrap/>
            <w:vAlign w:val="center"/>
            <w:hideMark/>
          </w:tcPr>
          <w:p w14:paraId="5EF74DE3"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 Inversiones</w:t>
            </w:r>
          </w:p>
        </w:tc>
        <w:tc>
          <w:tcPr>
            <w:tcW w:w="1137" w:type="dxa"/>
            <w:tcBorders>
              <w:top w:val="single" w:sz="2" w:space="0" w:color="auto"/>
              <w:left w:val="nil"/>
              <w:bottom w:val="single" w:sz="2" w:space="0" w:color="auto"/>
              <w:right w:val="nil"/>
            </w:tcBorders>
            <w:shd w:val="clear" w:color="auto" w:fill="auto"/>
            <w:noWrap/>
            <w:vAlign w:val="center"/>
            <w:hideMark/>
          </w:tcPr>
          <w:p w14:paraId="5073D4C1"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39.928.835</w:t>
            </w:r>
          </w:p>
        </w:tc>
        <w:tc>
          <w:tcPr>
            <w:tcW w:w="942" w:type="dxa"/>
            <w:tcBorders>
              <w:top w:val="single" w:sz="2" w:space="0" w:color="auto"/>
              <w:left w:val="nil"/>
              <w:bottom w:val="single" w:sz="2" w:space="0" w:color="auto"/>
              <w:right w:val="nil"/>
            </w:tcBorders>
            <w:shd w:val="clear" w:color="auto" w:fill="auto"/>
            <w:noWrap/>
            <w:vAlign w:val="center"/>
            <w:hideMark/>
          </w:tcPr>
          <w:p w14:paraId="06B5E169"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25.620.182</w:t>
            </w:r>
          </w:p>
        </w:tc>
        <w:tc>
          <w:tcPr>
            <w:tcW w:w="1127" w:type="dxa"/>
            <w:tcBorders>
              <w:top w:val="single" w:sz="2" w:space="0" w:color="auto"/>
              <w:left w:val="nil"/>
              <w:bottom w:val="single" w:sz="2" w:space="0" w:color="auto"/>
              <w:right w:val="nil"/>
            </w:tcBorders>
            <w:shd w:val="clear" w:color="auto" w:fill="auto"/>
            <w:noWrap/>
            <w:vAlign w:val="center"/>
            <w:hideMark/>
          </w:tcPr>
          <w:p w14:paraId="0A951ED6"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65.549.017</w:t>
            </w:r>
          </w:p>
        </w:tc>
        <w:tc>
          <w:tcPr>
            <w:tcW w:w="1228" w:type="dxa"/>
            <w:tcBorders>
              <w:top w:val="single" w:sz="2" w:space="0" w:color="auto"/>
              <w:left w:val="nil"/>
              <w:bottom w:val="single" w:sz="2" w:space="0" w:color="auto"/>
              <w:right w:val="nil"/>
            </w:tcBorders>
            <w:shd w:val="clear" w:color="auto" w:fill="auto"/>
            <w:noWrap/>
            <w:vAlign w:val="center"/>
            <w:hideMark/>
          </w:tcPr>
          <w:p w14:paraId="15CCB93B"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46.826.536</w:t>
            </w:r>
          </w:p>
        </w:tc>
        <w:tc>
          <w:tcPr>
            <w:tcW w:w="1029" w:type="dxa"/>
            <w:tcBorders>
              <w:top w:val="single" w:sz="2" w:space="0" w:color="auto"/>
              <w:left w:val="nil"/>
              <w:bottom w:val="single" w:sz="2" w:space="0" w:color="auto"/>
              <w:right w:val="nil"/>
            </w:tcBorders>
            <w:shd w:val="clear" w:color="auto" w:fill="auto"/>
            <w:noWrap/>
            <w:vAlign w:val="center"/>
            <w:hideMark/>
          </w:tcPr>
          <w:p w14:paraId="69EADCD4"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20.617.484</w:t>
            </w:r>
          </w:p>
        </w:tc>
        <w:tc>
          <w:tcPr>
            <w:tcW w:w="834" w:type="dxa"/>
            <w:tcBorders>
              <w:top w:val="single" w:sz="2" w:space="0" w:color="auto"/>
              <w:left w:val="nil"/>
              <w:bottom w:val="single" w:sz="2" w:space="0" w:color="auto"/>
              <w:right w:val="nil"/>
            </w:tcBorders>
            <w:shd w:val="clear" w:color="auto" w:fill="auto"/>
            <w:noWrap/>
            <w:vAlign w:val="center"/>
            <w:hideMark/>
          </w:tcPr>
          <w:p w14:paraId="7226AD65"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71</w:t>
            </w:r>
          </w:p>
        </w:tc>
        <w:tc>
          <w:tcPr>
            <w:tcW w:w="846" w:type="dxa"/>
            <w:tcBorders>
              <w:top w:val="single" w:sz="2" w:space="0" w:color="auto"/>
              <w:left w:val="nil"/>
              <w:bottom w:val="single" w:sz="2" w:space="0" w:color="auto"/>
              <w:right w:val="nil"/>
            </w:tcBorders>
            <w:shd w:val="clear" w:color="auto" w:fill="auto"/>
            <w:noWrap/>
            <w:vAlign w:val="center"/>
            <w:hideMark/>
          </w:tcPr>
          <w:p w14:paraId="50D6E99C"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44</w:t>
            </w:r>
          </w:p>
        </w:tc>
      </w:tr>
      <w:tr w:rsidR="00807992" w:rsidRPr="00644A33" w14:paraId="15FC883A" w14:textId="77777777" w:rsidTr="00011983">
        <w:trPr>
          <w:trHeight w:val="198"/>
        </w:trPr>
        <w:tc>
          <w:tcPr>
            <w:tcW w:w="2211" w:type="dxa"/>
            <w:tcBorders>
              <w:top w:val="single" w:sz="2" w:space="0" w:color="auto"/>
              <w:left w:val="nil"/>
              <w:bottom w:val="single" w:sz="2" w:space="0" w:color="auto"/>
              <w:right w:val="nil"/>
            </w:tcBorders>
            <w:shd w:val="clear" w:color="auto" w:fill="auto"/>
            <w:noWrap/>
            <w:vAlign w:val="center"/>
            <w:hideMark/>
          </w:tcPr>
          <w:p w14:paraId="54595739"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xml:space="preserve">7. </w:t>
            </w:r>
            <w:proofErr w:type="spellStart"/>
            <w:r w:rsidRPr="00644A33">
              <w:rPr>
                <w:rFonts w:ascii="Arial Narrow" w:hAnsi="Arial Narrow" w:cs="Calibri"/>
                <w:color w:val="000000"/>
                <w:sz w:val="16"/>
                <w:szCs w:val="16"/>
                <w:lang w:val="es-ES" w:eastAsia="es-ES"/>
              </w:rPr>
              <w:t>Transf</w:t>
            </w:r>
            <w:proofErr w:type="spellEnd"/>
            <w:r w:rsidRPr="00644A33">
              <w:rPr>
                <w:rFonts w:ascii="Arial Narrow" w:hAnsi="Arial Narrow" w:cs="Calibri"/>
                <w:color w:val="000000"/>
                <w:sz w:val="16"/>
                <w:szCs w:val="16"/>
                <w:lang w:val="es-ES" w:eastAsia="es-ES"/>
              </w:rPr>
              <w:t>. Capital</w:t>
            </w:r>
          </w:p>
        </w:tc>
        <w:tc>
          <w:tcPr>
            <w:tcW w:w="1137" w:type="dxa"/>
            <w:tcBorders>
              <w:top w:val="single" w:sz="2" w:space="0" w:color="auto"/>
              <w:left w:val="nil"/>
              <w:bottom w:val="single" w:sz="2" w:space="0" w:color="auto"/>
              <w:right w:val="nil"/>
            </w:tcBorders>
            <w:shd w:val="clear" w:color="auto" w:fill="auto"/>
            <w:noWrap/>
            <w:vAlign w:val="center"/>
            <w:hideMark/>
          </w:tcPr>
          <w:p w14:paraId="0274077E"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4.211.000</w:t>
            </w:r>
          </w:p>
        </w:tc>
        <w:tc>
          <w:tcPr>
            <w:tcW w:w="942" w:type="dxa"/>
            <w:tcBorders>
              <w:top w:val="single" w:sz="2" w:space="0" w:color="auto"/>
              <w:left w:val="nil"/>
              <w:bottom w:val="single" w:sz="2" w:space="0" w:color="auto"/>
              <w:right w:val="nil"/>
            </w:tcBorders>
            <w:shd w:val="clear" w:color="auto" w:fill="auto"/>
            <w:noWrap/>
            <w:vAlign w:val="center"/>
            <w:hideMark/>
          </w:tcPr>
          <w:p w14:paraId="385021D3"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1.233.000</w:t>
            </w:r>
          </w:p>
        </w:tc>
        <w:tc>
          <w:tcPr>
            <w:tcW w:w="1127" w:type="dxa"/>
            <w:tcBorders>
              <w:top w:val="single" w:sz="2" w:space="0" w:color="auto"/>
              <w:left w:val="nil"/>
              <w:bottom w:val="single" w:sz="2" w:space="0" w:color="auto"/>
              <w:right w:val="nil"/>
            </w:tcBorders>
            <w:shd w:val="clear" w:color="auto" w:fill="auto"/>
            <w:noWrap/>
            <w:vAlign w:val="center"/>
            <w:hideMark/>
          </w:tcPr>
          <w:p w14:paraId="752E6635"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5.444.000</w:t>
            </w:r>
          </w:p>
        </w:tc>
        <w:tc>
          <w:tcPr>
            <w:tcW w:w="1228" w:type="dxa"/>
            <w:tcBorders>
              <w:top w:val="single" w:sz="2" w:space="0" w:color="auto"/>
              <w:left w:val="nil"/>
              <w:bottom w:val="single" w:sz="2" w:space="0" w:color="auto"/>
              <w:right w:val="nil"/>
            </w:tcBorders>
            <w:shd w:val="clear" w:color="auto" w:fill="auto"/>
            <w:noWrap/>
            <w:vAlign w:val="center"/>
            <w:hideMark/>
          </w:tcPr>
          <w:p w14:paraId="1013E5D6"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4.487.882</w:t>
            </w:r>
          </w:p>
        </w:tc>
        <w:tc>
          <w:tcPr>
            <w:tcW w:w="1029" w:type="dxa"/>
            <w:tcBorders>
              <w:top w:val="single" w:sz="2" w:space="0" w:color="auto"/>
              <w:left w:val="nil"/>
              <w:bottom w:val="single" w:sz="2" w:space="0" w:color="auto"/>
              <w:right w:val="nil"/>
            </w:tcBorders>
            <w:shd w:val="clear" w:color="auto" w:fill="auto"/>
            <w:noWrap/>
            <w:vAlign w:val="center"/>
            <w:hideMark/>
          </w:tcPr>
          <w:p w14:paraId="6664E97A"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2.455.999</w:t>
            </w:r>
          </w:p>
        </w:tc>
        <w:tc>
          <w:tcPr>
            <w:tcW w:w="834" w:type="dxa"/>
            <w:tcBorders>
              <w:top w:val="single" w:sz="2" w:space="0" w:color="auto"/>
              <w:left w:val="nil"/>
              <w:bottom w:val="single" w:sz="2" w:space="0" w:color="auto"/>
              <w:right w:val="nil"/>
            </w:tcBorders>
            <w:shd w:val="clear" w:color="auto" w:fill="auto"/>
            <w:noWrap/>
            <w:vAlign w:val="center"/>
            <w:hideMark/>
          </w:tcPr>
          <w:p w14:paraId="485DEA00"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82</w:t>
            </w:r>
          </w:p>
        </w:tc>
        <w:tc>
          <w:tcPr>
            <w:tcW w:w="846" w:type="dxa"/>
            <w:tcBorders>
              <w:top w:val="single" w:sz="2" w:space="0" w:color="auto"/>
              <w:left w:val="nil"/>
              <w:bottom w:val="single" w:sz="2" w:space="0" w:color="auto"/>
              <w:right w:val="nil"/>
            </w:tcBorders>
            <w:shd w:val="clear" w:color="auto" w:fill="auto"/>
            <w:noWrap/>
            <w:vAlign w:val="center"/>
            <w:hideMark/>
          </w:tcPr>
          <w:p w14:paraId="55E6E56E"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55</w:t>
            </w:r>
          </w:p>
        </w:tc>
      </w:tr>
      <w:tr w:rsidR="00807992" w:rsidRPr="00644A33" w14:paraId="01D93A0F" w14:textId="77777777" w:rsidTr="00B040A7">
        <w:trPr>
          <w:trHeight w:val="198"/>
        </w:trPr>
        <w:tc>
          <w:tcPr>
            <w:tcW w:w="2211" w:type="dxa"/>
            <w:tcBorders>
              <w:top w:val="single" w:sz="2" w:space="0" w:color="auto"/>
              <w:left w:val="nil"/>
              <w:bottom w:val="single" w:sz="2" w:space="0" w:color="auto"/>
              <w:right w:val="nil"/>
            </w:tcBorders>
            <w:shd w:val="clear" w:color="auto" w:fill="auto"/>
            <w:noWrap/>
            <w:vAlign w:val="center"/>
            <w:hideMark/>
          </w:tcPr>
          <w:p w14:paraId="1402D5B1"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8. Activos financieros</w:t>
            </w:r>
          </w:p>
        </w:tc>
        <w:tc>
          <w:tcPr>
            <w:tcW w:w="1137" w:type="dxa"/>
            <w:tcBorders>
              <w:top w:val="single" w:sz="2" w:space="0" w:color="auto"/>
              <w:left w:val="nil"/>
              <w:bottom w:val="single" w:sz="2" w:space="0" w:color="auto"/>
              <w:right w:val="nil"/>
            </w:tcBorders>
            <w:shd w:val="clear" w:color="auto" w:fill="auto"/>
            <w:noWrap/>
            <w:vAlign w:val="center"/>
            <w:hideMark/>
          </w:tcPr>
          <w:p w14:paraId="4BCC98C1"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376.000</w:t>
            </w:r>
          </w:p>
        </w:tc>
        <w:tc>
          <w:tcPr>
            <w:tcW w:w="942" w:type="dxa"/>
            <w:tcBorders>
              <w:top w:val="single" w:sz="2" w:space="0" w:color="auto"/>
              <w:left w:val="nil"/>
              <w:bottom w:val="single" w:sz="2" w:space="0" w:color="auto"/>
              <w:right w:val="nil"/>
            </w:tcBorders>
            <w:shd w:val="clear" w:color="auto" w:fill="auto"/>
            <w:noWrap/>
            <w:vAlign w:val="center"/>
            <w:hideMark/>
          </w:tcPr>
          <w:p w14:paraId="030CF976"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3.000</w:t>
            </w:r>
          </w:p>
        </w:tc>
        <w:tc>
          <w:tcPr>
            <w:tcW w:w="1127" w:type="dxa"/>
            <w:tcBorders>
              <w:top w:val="single" w:sz="2" w:space="0" w:color="auto"/>
              <w:left w:val="nil"/>
              <w:bottom w:val="single" w:sz="2" w:space="0" w:color="auto"/>
              <w:right w:val="nil"/>
            </w:tcBorders>
            <w:shd w:val="clear" w:color="auto" w:fill="auto"/>
            <w:noWrap/>
            <w:vAlign w:val="center"/>
            <w:hideMark/>
          </w:tcPr>
          <w:p w14:paraId="23CAD313"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379.000</w:t>
            </w:r>
          </w:p>
        </w:tc>
        <w:tc>
          <w:tcPr>
            <w:tcW w:w="1228" w:type="dxa"/>
            <w:tcBorders>
              <w:top w:val="single" w:sz="2" w:space="0" w:color="auto"/>
              <w:left w:val="nil"/>
              <w:bottom w:val="single" w:sz="2" w:space="0" w:color="auto"/>
              <w:right w:val="nil"/>
            </w:tcBorders>
            <w:shd w:val="clear" w:color="auto" w:fill="auto"/>
            <w:noWrap/>
            <w:vAlign w:val="center"/>
            <w:hideMark/>
          </w:tcPr>
          <w:p w14:paraId="37104404"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147.816</w:t>
            </w:r>
          </w:p>
        </w:tc>
        <w:tc>
          <w:tcPr>
            <w:tcW w:w="1029" w:type="dxa"/>
            <w:tcBorders>
              <w:top w:val="single" w:sz="2" w:space="0" w:color="auto"/>
              <w:left w:val="nil"/>
              <w:bottom w:val="single" w:sz="2" w:space="0" w:color="auto"/>
              <w:right w:val="nil"/>
            </w:tcBorders>
            <w:shd w:val="clear" w:color="auto" w:fill="auto"/>
            <w:noWrap/>
            <w:vAlign w:val="center"/>
            <w:hideMark/>
          </w:tcPr>
          <w:p w14:paraId="060E1C35"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121.720</w:t>
            </w:r>
          </w:p>
        </w:tc>
        <w:tc>
          <w:tcPr>
            <w:tcW w:w="834" w:type="dxa"/>
            <w:tcBorders>
              <w:top w:val="single" w:sz="2" w:space="0" w:color="auto"/>
              <w:left w:val="nil"/>
              <w:bottom w:val="single" w:sz="2" w:space="0" w:color="auto"/>
              <w:right w:val="nil"/>
            </w:tcBorders>
            <w:shd w:val="clear" w:color="auto" w:fill="auto"/>
            <w:noWrap/>
            <w:vAlign w:val="center"/>
            <w:hideMark/>
          </w:tcPr>
          <w:p w14:paraId="665CCD0E"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39</w:t>
            </w:r>
          </w:p>
        </w:tc>
        <w:tc>
          <w:tcPr>
            <w:tcW w:w="846" w:type="dxa"/>
            <w:tcBorders>
              <w:top w:val="single" w:sz="2" w:space="0" w:color="auto"/>
              <w:left w:val="nil"/>
              <w:bottom w:val="single" w:sz="2" w:space="0" w:color="auto"/>
              <w:right w:val="nil"/>
            </w:tcBorders>
            <w:shd w:val="clear" w:color="auto" w:fill="auto"/>
            <w:noWrap/>
            <w:vAlign w:val="center"/>
            <w:hideMark/>
          </w:tcPr>
          <w:p w14:paraId="11338DF2"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82</w:t>
            </w:r>
          </w:p>
        </w:tc>
      </w:tr>
      <w:tr w:rsidR="00807992" w:rsidRPr="00644A33" w14:paraId="14E67D8D" w14:textId="77777777" w:rsidTr="005D104E">
        <w:trPr>
          <w:trHeight w:val="198"/>
        </w:trPr>
        <w:tc>
          <w:tcPr>
            <w:tcW w:w="2211" w:type="dxa"/>
            <w:tcBorders>
              <w:top w:val="single" w:sz="2" w:space="0" w:color="auto"/>
              <w:left w:val="nil"/>
              <w:bottom w:val="single" w:sz="4" w:space="0" w:color="auto"/>
              <w:right w:val="nil"/>
            </w:tcBorders>
            <w:shd w:val="clear" w:color="auto" w:fill="auto"/>
            <w:noWrap/>
            <w:vAlign w:val="center"/>
            <w:hideMark/>
          </w:tcPr>
          <w:p w14:paraId="05950D52"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 Pasivos financieros</w:t>
            </w:r>
          </w:p>
        </w:tc>
        <w:tc>
          <w:tcPr>
            <w:tcW w:w="1137" w:type="dxa"/>
            <w:tcBorders>
              <w:top w:val="single" w:sz="2" w:space="0" w:color="auto"/>
              <w:left w:val="nil"/>
              <w:bottom w:val="single" w:sz="4" w:space="0" w:color="auto"/>
              <w:right w:val="nil"/>
            </w:tcBorders>
            <w:shd w:val="clear" w:color="auto" w:fill="auto"/>
            <w:noWrap/>
            <w:vAlign w:val="center"/>
            <w:hideMark/>
          </w:tcPr>
          <w:p w14:paraId="422CBB4A"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8.754.000</w:t>
            </w:r>
          </w:p>
        </w:tc>
        <w:tc>
          <w:tcPr>
            <w:tcW w:w="942" w:type="dxa"/>
            <w:tcBorders>
              <w:top w:val="single" w:sz="2" w:space="0" w:color="auto"/>
              <w:left w:val="nil"/>
              <w:bottom w:val="single" w:sz="4" w:space="0" w:color="auto"/>
              <w:right w:val="nil"/>
            </w:tcBorders>
            <w:shd w:val="clear" w:color="auto" w:fill="auto"/>
            <w:noWrap/>
            <w:vAlign w:val="center"/>
            <w:hideMark/>
          </w:tcPr>
          <w:p w14:paraId="4919CEB4"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1.041.000</w:t>
            </w:r>
          </w:p>
        </w:tc>
        <w:tc>
          <w:tcPr>
            <w:tcW w:w="1127" w:type="dxa"/>
            <w:tcBorders>
              <w:top w:val="single" w:sz="2" w:space="0" w:color="auto"/>
              <w:left w:val="nil"/>
              <w:bottom w:val="single" w:sz="4" w:space="0" w:color="auto"/>
              <w:right w:val="nil"/>
            </w:tcBorders>
            <w:shd w:val="clear" w:color="auto" w:fill="auto"/>
            <w:noWrap/>
            <w:vAlign w:val="center"/>
            <w:hideMark/>
          </w:tcPr>
          <w:p w14:paraId="7E1BAF38"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9.795.000</w:t>
            </w:r>
          </w:p>
        </w:tc>
        <w:tc>
          <w:tcPr>
            <w:tcW w:w="1228" w:type="dxa"/>
            <w:tcBorders>
              <w:top w:val="single" w:sz="2" w:space="0" w:color="auto"/>
              <w:left w:val="nil"/>
              <w:bottom w:val="single" w:sz="4" w:space="0" w:color="auto"/>
              <w:right w:val="nil"/>
            </w:tcBorders>
            <w:shd w:val="clear" w:color="auto" w:fill="auto"/>
            <w:noWrap/>
            <w:vAlign w:val="center"/>
            <w:hideMark/>
          </w:tcPr>
          <w:p w14:paraId="071E03C3"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9.787.531</w:t>
            </w:r>
          </w:p>
        </w:tc>
        <w:tc>
          <w:tcPr>
            <w:tcW w:w="1029" w:type="dxa"/>
            <w:tcBorders>
              <w:top w:val="single" w:sz="2" w:space="0" w:color="auto"/>
              <w:left w:val="nil"/>
              <w:bottom w:val="single" w:sz="4" w:space="0" w:color="auto"/>
              <w:right w:val="nil"/>
            </w:tcBorders>
            <w:shd w:val="clear" w:color="auto" w:fill="auto"/>
            <w:noWrap/>
            <w:vAlign w:val="center"/>
            <w:hideMark/>
          </w:tcPr>
          <w:p w14:paraId="2583129A"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9.675.025</w:t>
            </w:r>
          </w:p>
        </w:tc>
        <w:tc>
          <w:tcPr>
            <w:tcW w:w="834" w:type="dxa"/>
            <w:tcBorders>
              <w:top w:val="single" w:sz="2" w:space="0" w:color="auto"/>
              <w:left w:val="nil"/>
              <w:bottom w:val="single" w:sz="4" w:space="0" w:color="auto"/>
              <w:right w:val="nil"/>
            </w:tcBorders>
            <w:shd w:val="clear" w:color="auto" w:fill="auto"/>
            <w:noWrap/>
            <w:vAlign w:val="center"/>
            <w:hideMark/>
          </w:tcPr>
          <w:p w14:paraId="306D71B7"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100</w:t>
            </w:r>
          </w:p>
        </w:tc>
        <w:tc>
          <w:tcPr>
            <w:tcW w:w="846" w:type="dxa"/>
            <w:tcBorders>
              <w:top w:val="single" w:sz="2" w:space="0" w:color="auto"/>
              <w:left w:val="nil"/>
              <w:bottom w:val="single" w:sz="4" w:space="0" w:color="auto"/>
              <w:right w:val="nil"/>
            </w:tcBorders>
            <w:shd w:val="clear" w:color="auto" w:fill="auto"/>
            <w:noWrap/>
            <w:vAlign w:val="center"/>
            <w:hideMark/>
          </w:tcPr>
          <w:p w14:paraId="71B0562A"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99</w:t>
            </w:r>
          </w:p>
        </w:tc>
      </w:tr>
      <w:tr w:rsidR="00807992" w:rsidRPr="00644A33" w14:paraId="21E8577C" w14:textId="77777777" w:rsidTr="005D104E">
        <w:trPr>
          <w:trHeight w:val="255"/>
        </w:trPr>
        <w:tc>
          <w:tcPr>
            <w:tcW w:w="2211" w:type="dxa"/>
            <w:tcBorders>
              <w:top w:val="single" w:sz="4" w:space="0" w:color="auto"/>
              <w:left w:val="nil"/>
              <w:bottom w:val="single" w:sz="4" w:space="0" w:color="auto"/>
              <w:right w:val="nil"/>
            </w:tcBorders>
            <w:shd w:val="clear" w:color="000000" w:fill="FFCC99"/>
            <w:vAlign w:val="center"/>
            <w:hideMark/>
          </w:tcPr>
          <w:p w14:paraId="696B3A1A" w14:textId="77777777" w:rsidR="00807992" w:rsidRPr="00644A33" w:rsidRDefault="00807992" w:rsidP="00807992">
            <w:pPr>
              <w:spacing w:after="0"/>
              <w:ind w:firstLine="0"/>
              <w:jc w:val="left"/>
              <w:rPr>
                <w:rFonts w:ascii="Arial" w:hAnsi="Arial" w:cs="Arial"/>
                <w:color w:val="000000"/>
                <w:sz w:val="16"/>
                <w:szCs w:val="16"/>
                <w:lang w:val="es-ES" w:eastAsia="es-ES"/>
              </w:rPr>
            </w:pPr>
            <w:r w:rsidRPr="00644A33">
              <w:rPr>
                <w:rFonts w:ascii="Arial" w:hAnsi="Arial" w:cs="Arial"/>
                <w:color w:val="000000"/>
                <w:sz w:val="16"/>
                <w:szCs w:val="16"/>
                <w:lang w:val="es-ES" w:eastAsia="es-ES"/>
              </w:rPr>
              <w:t>Total</w:t>
            </w:r>
          </w:p>
        </w:tc>
        <w:tc>
          <w:tcPr>
            <w:tcW w:w="1137" w:type="dxa"/>
            <w:tcBorders>
              <w:top w:val="single" w:sz="4" w:space="0" w:color="auto"/>
              <w:left w:val="nil"/>
              <w:bottom w:val="single" w:sz="4" w:space="0" w:color="auto"/>
              <w:right w:val="nil"/>
            </w:tcBorders>
            <w:shd w:val="clear" w:color="000000" w:fill="FFCC99"/>
            <w:vAlign w:val="center"/>
            <w:hideMark/>
          </w:tcPr>
          <w:p w14:paraId="51A0D3E8" w14:textId="77777777" w:rsidR="00807992" w:rsidRPr="00644A33" w:rsidRDefault="00807992" w:rsidP="00807992">
            <w:pPr>
              <w:spacing w:after="0"/>
              <w:ind w:firstLine="0"/>
              <w:jc w:val="right"/>
              <w:rPr>
                <w:rFonts w:ascii="Arial" w:hAnsi="Arial" w:cs="Arial"/>
                <w:color w:val="000000"/>
                <w:sz w:val="16"/>
                <w:szCs w:val="16"/>
                <w:lang w:val="es-ES" w:eastAsia="es-ES"/>
              </w:rPr>
            </w:pPr>
            <w:r w:rsidRPr="00644A33">
              <w:rPr>
                <w:rFonts w:ascii="Arial" w:hAnsi="Arial" w:cs="Arial"/>
                <w:color w:val="000000"/>
                <w:sz w:val="16"/>
                <w:szCs w:val="16"/>
                <w:lang w:val="es-ES" w:eastAsia="es-ES"/>
              </w:rPr>
              <w:t>248.075.238</w:t>
            </w:r>
          </w:p>
        </w:tc>
        <w:tc>
          <w:tcPr>
            <w:tcW w:w="942" w:type="dxa"/>
            <w:tcBorders>
              <w:top w:val="single" w:sz="4" w:space="0" w:color="auto"/>
              <w:left w:val="nil"/>
              <w:bottom w:val="single" w:sz="4" w:space="0" w:color="auto"/>
              <w:right w:val="nil"/>
            </w:tcBorders>
            <w:shd w:val="clear" w:color="000000" w:fill="FFCC99"/>
            <w:vAlign w:val="center"/>
            <w:hideMark/>
          </w:tcPr>
          <w:p w14:paraId="21EE4AAB" w14:textId="77777777" w:rsidR="00807992" w:rsidRPr="00644A33" w:rsidRDefault="00807992" w:rsidP="00807992">
            <w:pPr>
              <w:spacing w:after="0"/>
              <w:ind w:firstLine="0"/>
              <w:jc w:val="right"/>
              <w:rPr>
                <w:rFonts w:ascii="Arial" w:hAnsi="Arial" w:cs="Arial"/>
                <w:color w:val="000000"/>
                <w:sz w:val="16"/>
                <w:szCs w:val="16"/>
                <w:lang w:val="es-ES" w:eastAsia="es-ES"/>
              </w:rPr>
            </w:pPr>
            <w:r w:rsidRPr="00644A33">
              <w:rPr>
                <w:rFonts w:ascii="Arial" w:hAnsi="Arial" w:cs="Arial"/>
                <w:color w:val="000000"/>
                <w:sz w:val="16"/>
                <w:szCs w:val="16"/>
                <w:lang w:val="es-ES" w:eastAsia="es-ES"/>
              </w:rPr>
              <w:t>33.060.001</w:t>
            </w:r>
          </w:p>
        </w:tc>
        <w:tc>
          <w:tcPr>
            <w:tcW w:w="1127" w:type="dxa"/>
            <w:tcBorders>
              <w:top w:val="single" w:sz="4" w:space="0" w:color="auto"/>
              <w:left w:val="nil"/>
              <w:bottom w:val="single" w:sz="4" w:space="0" w:color="auto"/>
              <w:right w:val="nil"/>
            </w:tcBorders>
            <w:shd w:val="clear" w:color="000000" w:fill="FFCC99"/>
            <w:vAlign w:val="center"/>
            <w:hideMark/>
          </w:tcPr>
          <w:p w14:paraId="4DB33E5D" w14:textId="77777777" w:rsidR="00807992" w:rsidRPr="00644A33" w:rsidRDefault="00807992" w:rsidP="00807992">
            <w:pPr>
              <w:spacing w:after="0"/>
              <w:ind w:firstLine="0"/>
              <w:jc w:val="right"/>
              <w:rPr>
                <w:rFonts w:ascii="Arial" w:hAnsi="Arial" w:cs="Arial"/>
                <w:color w:val="000000"/>
                <w:sz w:val="16"/>
                <w:szCs w:val="16"/>
                <w:lang w:val="es-ES" w:eastAsia="es-ES"/>
              </w:rPr>
            </w:pPr>
            <w:r w:rsidRPr="00644A33">
              <w:rPr>
                <w:rFonts w:ascii="Arial" w:hAnsi="Arial" w:cs="Arial"/>
                <w:color w:val="000000"/>
                <w:sz w:val="16"/>
                <w:szCs w:val="16"/>
                <w:lang w:val="es-ES" w:eastAsia="es-ES"/>
              </w:rPr>
              <w:t>281.135.239</w:t>
            </w:r>
          </w:p>
        </w:tc>
        <w:tc>
          <w:tcPr>
            <w:tcW w:w="1228" w:type="dxa"/>
            <w:tcBorders>
              <w:top w:val="single" w:sz="4" w:space="0" w:color="auto"/>
              <w:left w:val="nil"/>
              <w:bottom w:val="single" w:sz="4" w:space="0" w:color="auto"/>
              <w:right w:val="nil"/>
            </w:tcBorders>
            <w:shd w:val="clear" w:color="000000" w:fill="FFCC99"/>
            <w:vAlign w:val="center"/>
            <w:hideMark/>
          </w:tcPr>
          <w:p w14:paraId="706C511F" w14:textId="77777777" w:rsidR="00807992" w:rsidRPr="00644A33" w:rsidRDefault="00807992" w:rsidP="00807992">
            <w:pPr>
              <w:spacing w:after="0"/>
              <w:ind w:firstLine="0"/>
              <w:jc w:val="right"/>
              <w:rPr>
                <w:rFonts w:ascii="Arial" w:hAnsi="Arial" w:cs="Arial"/>
                <w:color w:val="000000"/>
                <w:sz w:val="16"/>
                <w:szCs w:val="16"/>
                <w:lang w:val="es-ES" w:eastAsia="es-ES"/>
              </w:rPr>
            </w:pPr>
            <w:r w:rsidRPr="00644A33">
              <w:rPr>
                <w:rFonts w:ascii="Arial" w:hAnsi="Arial" w:cs="Arial"/>
                <w:color w:val="000000"/>
                <w:sz w:val="16"/>
                <w:szCs w:val="16"/>
                <w:lang w:val="es-ES" w:eastAsia="es-ES"/>
              </w:rPr>
              <w:t>255.110.762</w:t>
            </w:r>
          </w:p>
        </w:tc>
        <w:tc>
          <w:tcPr>
            <w:tcW w:w="1029" w:type="dxa"/>
            <w:tcBorders>
              <w:top w:val="single" w:sz="4" w:space="0" w:color="auto"/>
              <w:left w:val="nil"/>
              <w:bottom w:val="single" w:sz="4" w:space="0" w:color="auto"/>
              <w:right w:val="nil"/>
            </w:tcBorders>
            <w:shd w:val="clear" w:color="000000" w:fill="FFCC99"/>
            <w:vAlign w:val="center"/>
            <w:hideMark/>
          </w:tcPr>
          <w:p w14:paraId="0670FC37" w14:textId="77777777" w:rsidR="00807992" w:rsidRPr="00644A33" w:rsidRDefault="00807992" w:rsidP="00807992">
            <w:pPr>
              <w:spacing w:after="0"/>
              <w:ind w:firstLine="0"/>
              <w:jc w:val="right"/>
              <w:rPr>
                <w:rFonts w:ascii="Arial" w:hAnsi="Arial" w:cs="Arial"/>
                <w:color w:val="000000"/>
                <w:sz w:val="16"/>
                <w:szCs w:val="16"/>
                <w:lang w:val="es-ES" w:eastAsia="es-ES"/>
              </w:rPr>
            </w:pPr>
            <w:r w:rsidRPr="00644A33">
              <w:rPr>
                <w:rFonts w:ascii="Arial" w:hAnsi="Arial" w:cs="Arial"/>
                <w:color w:val="000000"/>
                <w:sz w:val="16"/>
                <w:szCs w:val="16"/>
                <w:lang w:val="es-ES" w:eastAsia="es-ES"/>
              </w:rPr>
              <w:t>211.343.296</w:t>
            </w:r>
          </w:p>
        </w:tc>
        <w:tc>
          <w:tcPr>
            <w:tcW w:w="834" w:type="dxa"/>
            <w:tcBorders>
              <w:top w:val="single" w:sz="4" w:space="0" w:color="auto"/>
              <w:left w:val="nil"/>
              <w:bottom w:val="single" w:sz="4" w:space="0" w:color="auto"/>
              <w:right w:val="nil"/>
            </w:tcBorders>
            <w:shd w:val="clear" w:color="000000" w:fill="FFCC99"/>
            <w:vAlign w:val="center"/>
            <w:hideMark/>
          </w:tcPr>
          <w:p w14:paraId="37887776" w14:textId="77777777" w:rsidR="00807992" w:rsidRPr="00644A33" w:rsidRDefault="00807992" w:rsidP="00807992">
            <w:pPr>
              <w:spacing w:after="0"/>
              <w:ind w:firstLine="0"/>
              <w:jc w:val="right"/>
              <w:rPr>
                <w:rFonts w:ascii="Arial" w:hAnsi="Arial" w:cs="Arial"/>
                <w:color w:val="000000"/>
                <w:sz w:val="16"/>
                <w:szCs w:val="16"/>
                <w:lang w:val="es-ES" w:eastAsia="es-ES"/>
              </w:rPr>
            </w:pPr>
            <w:r w:rsidRPr="00644A33">
              <w:rPr>
                <w:rFonts w:ascii="Arial" w:hAnsi="Arial" w:cs="Arial"/>
                <w:color w:val="000000"/>
                <w:sz w:val="16"/>
                <w:szCs w:val="16"/>
                <w:lang w:val="es-ES" w:eastAsia="es-ES"/>
              </w:rPr>
              <w:t>91</w:t>
            </w:r>
          </w:p>
        </w:tc>
        <w:tc>
          <w:tcPr>
            <w:tcW w:w="846" w:type="dxa"/>
            <w:tcBorders>
              <w:top w:val="single" w:sz="4" w:space="0" w:color="auto"/>
              <w:left w:val="nil"/>
              <w:bottom w:val="single" w:sz="4" w:space="0" w:color="auto"/>
              <w:right w:val="nil"/>
            </w:tcBorders>
            <w:shd w:val="clear" w:color="000000" w:fill="FFCC99"/>
            <w:vAlign w:val="center"/>
            <w:hideMark/>
          </w:tcPr>
          <w:p w14:paraId="095BCD87" w14:textId="77777777" w:rsidR="00807992" w:rsidRPr="00644A33" w:rsidRDefault="00807992" w:rsidP="00807992">
            <w:pPr>
              <w:spacing w:after="0"/>
              <w:ind w:firstLine="0"/>
              <w:jc w:val="right"/>
              <w:rPr>
                <w:rFonts w:ascii="Arial" w:hAnsi="Arial" w:cs="Arial"/>
                <w:color w:val="000000"/>
                <w:sz w:val="16"/>
                <w:szCs w:val="16"/>
                <w:lang w:val="es-ES" w:eastAsia="es-ES"/>
              </w:rPr>
            </w:pPr>
            <w:r w:rsidRPr="00644A33">
              <w:rPr>
                <w:rFonts w:ascii="Arial" w:hAnsi="Arial" w:cs="Arial"/>
                <w:color w:val="000000"/>
                <w:sz w:val="16"/>
                <w:szCs w:val="16"/>
                <w:lang w:val="es-ES" w:eastAsia="es-ES"/>
              </w:rPr>
              <w:t>83</w:t>
            </w:r>
          </w:p>
        </w:tc>
      </w:tr>
    </w:tbl>
    <w:p w14:paraId="697106A9" w14:textId="77777777" w:rsidR="00807992" w:rsidRPr="00667DFF" w:rsidRDefault="00807992" w:rsidP="00807992">
      <w:pPr>
        <w:keepLines/>
        <w:tabs>
          <w:tab w:val="right" w:pos="2835"/>
          <w:tab w:val="right" w:pos="3969"/>
          <w:tab w:val="right" w:pos="5103"/>
          <w:tab w:val="right" w:pos="6237"/>
          <w:tab w:val="right" w:pos="7371"/>
        </w:tabs>
        <w:spacing w:before="200" w:after="60"/>
        <w:ind w:firstLine="0"/>
        <w:jc w:val="right"/>
        <w:rPr>
          <w:rFonts w:ascii="Arial" w:hAnsi="Arial"/>
          <w:i/>
          <w:spacing w:val="6"/>
          <w:szCs w:val="24"/>
        </w:rPr>
      </w:pPr>
      <w:r w:rsidRPr="00667DFF">
        <w:rPr>
          <w:rFonts w:ascii="Arial" w:hAnsi="Arial"/>
          <w:spacing w:val="6"/>
          <w:szCs w:val="24"/>
        </w:rPr>
        <w:tab/>
      </w:r>
    </w:p>
    <w:p w14:paraId="301980B3" w14:textId="77777777" w:rsidR="00807992" w:rsidRDefault="00807992" w:rsidP="0080799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r w:rsidRPr="00667DFF">
        <w:rPr>
          <w:rFonts w:ascii="Arial" w:hAnsi="Arial"/>
          <w:spacing w:val="6"/>
          <w:szCs w:val="24"/>
        </w:rPr>
        <w:t>Ejecución del presupuesto de ingresos. Clasificación económica</w:t>
      </w:r>
    </w:p>
    <w:tbl>
      <w:tblPr>
        <w:tblW w:w="9435" w:type="dxa"/>
        <w:tblCellMar>
          <w:left w:w="70" w:type="dxa"/>
          <w:right w:w="70" w:type="dxa"/>
        </w:tblCellMar>
        <w:tblLook w:val="04A0" w:firstRow="1" w:lastRow="0" w:firstColumn="1" w:lastColumn="0" w:noHBand="0" w:noVBand="1"/>
      </w:tblPr>
      <w:tblGrid>
        <w:gridCol w:w="2620"/>
        <w:gridCol w:w="1120"/>
        <w:gridCol w:w="954"/>
        <w:gridCol w:w="1082"/>
        <w:gridCol w:w="1157"/>
        <w:gridCol w:w="1083"/>
        <w:gridCol w:w="693"/>
        <w:gridCol w:w="726"/>
      </w:tblGrid>
      <w:tr w:rsidR="004473F2" w:rsidRPr="00644A33" w14:paraId="0AF69E90" w14:textId="77777777" w:rsidTr="00D25103">
        <w:trPr>
          <w:trHeight w:val="300"/>
        </w:trPr>
        <w:tc>
          <w:tcPr>
            <w:tcW w:w="0" w:type="auto"/>
            <w:vMerge w:val="restart"/>
            <w:tcBorders>
              <w:top w:val="single" w:sz="4" w:space="0" w:color="auto"/>
              <w:left w:val="nil"/>
              <w:bottom w:val="single" w:sz="4" w:space="0" w:color="auto"/>
              <w:right w:val="nil"/>
            </w:tcBorders>
            <w:shd w:val="clear" w:color="000000" w:fill="FFCC99"/>
            <w:vAlign w:val="center"/>
            <w:hideMark/>
          </w:tcPr>
          <w:p w14:paraId="5D6B1DCE" w14:textId="77777777" w:rsidR="00807992" w:rsidRPr="00644A33" w:rsidRDefault="00807992" w:rsidP="00807992">
            <w:pPr>
              <w:spacing w:after="0"/>
              <w:ind w:firstLine="0"/>
              <w:jc w:val="left"/>
              <w:rPr>
                <w:rFonts w:ascii="Arial" w:hAnsi="Arial" w:cs="Arial"/>
                <w:color w:val="000000"/>
                <w:sz w:val="16"/>
                <w:szCs w:val="16"/>
                <w:lang w:val="es-ES" w:eastAsia="es-ES"/>
              </w:rPr>
            </w:pPr>
            <w:r w:rsidRPr="00644A33">
              <w:rPr>
                <w:rFonts w:ascii="Arial" w:hAnsi="Arial" w:cs="Arial"/>
                <w:color w:val="000000"/>
                <w:sz w:val="16"/>
                <w:szCs w:val="16"/>
                <w:lang w:val="es-ES" w:eastAsia="es-ES"/>
              </w:rPr>
              <w:t>Ingresos</w:t>
            </w:r>
          </w:p>
        </w:tc>
        <w:tc>
          <w:tcPr>
            <w:tcW w:w="1120" w:type="dxa"/>
            <w:vMerge w:val="restart"/>
            <w:tcBorders>
              <w:top w:val="single" w:sz="4" w:space="0" w:color="auto"/>
              <w:left w:val="nil"/>
              <w:bottom w:val="single" w:sz="4" w:space="0" w:color="auto"/>
              <w:right w:val="nil"/>
            </w:tcBorders>
            <w:shd w:val="clear" w:color="000000" w:fill="FFCC99"/>
            <w:vAlign w:val="center"/>
            <w:hideMark/>
          </w:tcPr>
          <w:p w14:paraId="71634C50" w14:textId="77777777" w:rsidR="004473F2" w:rsidRDefault="00807992" w:rsidP="005D104E">
            <w:pPr>
              <w:spacing w:after="40"/>
              <w:ind w:firstLine="0"/>
              <w:jc w:val="center"/>
              <w:rPr>
                <w:rFonts w:ascii="Arial" w:hAnsi="Arial" w:cs="Arial"/>
                <w:color w:val="000000"/>
                <w:sz w:val="16"/>
                <w:szCs w:val="16"/>
                <w:lang w:val="es-ES" w:eastAsia="es-ES"/>
              </w:rPr>
            </w:pPr>
            <w:proofErr w:type="spellStart"/>
            <w:r w:rsidRPr="00644A33">
              <w:rPr>
                <w:rFonts w:ascii="Arial" w:hAnsi="Arial" w:cs="Arial"/>
                <w:color w:val="000000"/>
                <w:sz w:val="16"/>
                <w:szCs w:val="16"/>
                <w:lang w:val="es-ES" w:eastAsia="es-ES"/>
              </w:rPr>
              <w:t>Prevision</w:t>
            </w:r>
            <w:proofErr w:type="spellEnd"/>
            <w:r w:rsidRPr="00644A33">
              <w:rPr>
                <w:rFonts w:ascii="Arial" w:hAnsi="Arial" w:cs="Arial"/>
                <w:color w:val="000000"/>
                <w:sz w:val="16"/>
                <w:szCs w:val="16"/>
                <w:lang w:val="es-ES" w:eastAsia="es-ES"/>
              </w:rPr>
              <w:t xml:space="preserve"> </w:t>
            </w:r>
          </w:p>
          <w:p w14:paraId="09738929" w14:textId="77777777" w:rsidR="00807992" w:rsidRPr="00644A33" w:rsidRDefault="00807992" w:rsidP="00807992">
            <w:pPr>
              <w:spacing w:after="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Inicial</w:t>
            </w:r>
          </w:p>
        </w:tc>
        <w:tc>
          <w:tcPr>
            <w:tcW w:w="954" w:type="dxa"/>
            <w:vMerge w:val="restart"/>
            <w:tcBorders>
              <w:top w:val="single" w:sz="4" w:space="0" w:color="auto"/>
              <w:left w:val="nil"/>
              <w:bottom w:val="single" w:sz="4" w:space="0" w:color="auto"/>
              <w:right w:val="nil"/>
            </w:tcBorders>
            <w:shd w:val="clear" w:color="000000" w:fill="FFCC99"/>
            <w:vAlign w:val="center"/>
            <w:hideMark/>
          </w:tcPr>
          <w:p w14:paraId="3061932E" w14:textId="77777777" w:rsidR="00807992" w:rsidRPr="00644A33" w:rsidRDefault="00807992" w:rsidP="00807992">
            <w:pPr>
              <w:spacing w:after="0"/>
              <w:ind w:firstLine="0"/>
              <w:jc w:val="center"/>
              <w:rPr>
                <w:rFonts w:ascii="Arial" w:hAnsi="Arial" w:cs="Arial"/>
                <w:color w:val="000000"/>
                <w:sz w:val="16"/>
                <w:szCs w:val="16"/>
                <w:lang w:val="es-ES" w:eastAsia="es-ES"/>
              </w:rPr>
            </w:pPr>
            <w:proofErr w:type="spellStart"/>
            <w:r w:rsidRPr="00644A33">
              <w:rPr>
                <w:rFonts w:ascii="Arial" w:hAnsi="Arial" w:cs="Arial"/>
                <w:color w:val="000000"/>
                <w:sz w:val="16"/>
                <w:szCs w:val="16"/>
                <w:lang w:val="es-ES" w:eastAsia="es-ES"/>
              </w:rPr>
              <w:t>Modif</w:t>
            </w:r>
            <w:proofErr w:type="spellEnd"/>
            <w:r w:rsidRPr="00644A33">
              <w:rPr>
                <w:rFonts w:ascii="Arial" w:hAnsi="Arial" w:cs="Arial"/>
                <w:color w:val="000000"/>
                <w:sz w:val="16"/>
                <w:szCs w:val="16"/>
                <w:lang w:val="es-ES" w:eastAsia="es-ES"/>
              </w:rPr>
              <w:t>.</w:t>
            </w:r>
          </w:p>
        </w:tc>
        <w:tc>
          <w:tcPr>
            <w:tcW w:w="1082" w:type="dxa"/>
            <w:vMerge w:val="restart"/>
            <w:tcBorders>
              <w:top w:val="single" w:sz="4" w:space="0" w:color="auto"/>
              <w:left w:val="nil"/>
              <w:bottom w:val="single" w:sz="4" w:space="0" w:color="auto"/>
              <w:right w:val="nil"/>
            </w:tcBorders>
            <w:shd w:val="clear" w:color="000000" w:fill="FFCC99"/>
            <w:vAlign w:val="center"/>
            <w:hideMark/>
          </w:tcPr>
          <w:p w14:paraId="2A5828C6" w14:textId="77777777" w:rsidR="004473F2" w:rsidRDefault="00807992" w:rsidP="005D104E">
            <w:pPr>
              <w:spacing w:after="4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 xml:space="preserve">Previsión </w:t>
            </w:r>
          </w:p>
          <w:p w14:paraId="1320FE56" w14:textId="77777777" w:rsidR="00807992" w:rsidRPr="00644A33" w:rsidRDefault="00807992" w:rsidP="00807992">
            <w:pPr>
              <w:spacing w:after="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definitiva</w:t>
            </w:r>
          </w:p>
        </w:tc>
        <w:tc>
          <w:tcPr>
            <w:tcW w:w="1157" w:type="dxa"/>
            <w:tcBorders>
              <w:top w:val="single" w:sz="4" w:space="0" w:color="auto"/>
              <w:left w:val="nil"/>
              <w:right w:val="nil"/>
            </w:tcBorders>
            <w:shd w:val="clear" w:color="000000" w:fill="FFCC99"/>
            <w:vAlign w:val="center"/>
            <w:hideMark/>
          </w:tcPr>
          <w:p w14:paraId="73C9EAE0" w14:textId="77777777" w:rsidR="00807992" w:rsidRPr="00644A33" w:rsidRDefault="00807992" w:rsidP="00807992">
            <w:pPr>
              <w:spacing w:after="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Derechos</w:t>
            </w:r>
          </w:p>
        </w:tc>
        <w:tc>
          <w:tcPr>
            <w:tcW w:w="1083" w:type="dxa"/>
            <w:vMerge w:val="restart"/>
            <w:tcBorders>
              <w:top w:val="single" w:sz="4" w:space="0" w:color="auto"/>
              <w:left w:val="nil"/>
              <w:bottom w:val="single" w:sz="4" w:space="0" w:color="auto"/>
              <w:right w:val="nil"/>
            </w:tcBorders>
            <w:shd w:val="clear" w:color="000000" w:fill="FFCC99"/>
            <w:vAlign w:val="center"/>
            <w:hideMark/>
          </w:tcPr>
          <w:p w14:paraId="24449813" w14:textId="77777777" w:rsidR="00807992" w:rsidRPr="00644A33" w:rsidRDefault="00807992" w:rsidP="00807992">
            <w:pPr>
              <w:spacing w:after="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Cobros</w:t>
            </w:r>
          </w:p>
        </w:tc>
        <w:tc>
          <w:tcPr>
            <w:tcW w:w="693" w:type="dxa"/>
            <w:vMerge w:val="restart"/>
            <w:tcBorders>
              <w:top w:val="single" w:sz="4" w:space="0" w:color="auto"/>
              <w:left w:val="nil"/>
              <w:bottom w:val="single" w:sz="4" w:space="0" w:color="auto"/>
              <w:right w:val="nil"/>
            </w:tcBorders>
            <w:shd w:val="clear" w:color="000000" w:fill="FFCC99"/>
            <w:vAlign w:val="center"/>
            <w:hideMark/>
          </w:tcPr>
          <w:p w14:paraId="768ADEC0" w14:textId="77777777" w:rsidR="004473F2" w:rsidRDefault="00807992" w:rsidP="00807992">
            <w:pPr>
              <w:spacing w:after="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 xml:space="preserve">% </w:t>
            </w:r>
          </w:p>
          <w:p w14:paraId="48906163" w14:textId="77777777" w:rsidR="00807992" w:rsidRPr="00644A33" w:rsidRDefault="00807992" w:rsidP="00807992">
            <w:pPr>
              <w:spacing w:after="0"/>
              <w:ind w:firstLine="0"/>
              <w:jc w:val="center"/>
              <w:rPr>
                <w:rFonts w:ascii="Arial" w:hAnsi="Arial" w:cs="Arial"/>
                <w:color w:val="000000"/>
                <w:sz w:val="16"/>
                <w:szCs w:val="16"/>
                <w:lang w:val="es-ES" w:eastAsia="es-ES"/>
              </w:rPr>
            </w:pPr>
            <w:proofErr w:type="spellStart"/>
            <w:proofErr w:type="gramStart"/>
            <w:r w:rsidRPr="00644A33">
              <w:rPr>
                <w:rFonts w:ascii="Arial" w:hAnsi="Arial" w:cs="Arial"/>
                <w:color w:val="000000"/>
                <w:sz w:val="16"/>
                <w:szCs w:val="16"/>
                <w:lang w:val="es-ES" w:eastAsia="es-ES"/>
              </w:rPr>
              <w:t>Ejec</w:t>
            </w:r>
            <w:r w:rsidR="004473F2">
              <w:rPr>
                <w:rFonts w:ascii="Arial" w:hAnsi="Arial" w:cs="Arial"/>
                <w:color w:val="000000"/>
                <w:sz w:val="16"/>
                <w:szCs w:val="16"/>
                <w:lang w:val="es-ES" w:eastAsia="es-ES"/>
              </w:rPr>
              <w:t>u</w:t>
            </w:r>
            <w:proofErr w:type="spellEnd"/>
            <w:r w:rsidR="004473F2">
              <w:rPr>
                <w:rFonts w:ascii="Arial" w:hAnsi="Arial" w:cs="Arial"/>
                <w:color w:val="000000"/>
                <w:sz w:val="16"/>
                <w:szCs w:val="16"/>
                <w:lang w:val="es-ES" w:eastAsia="es-ES"/>
              </w:rPr>
              <w:t>.</w:t>
            </w:r>
            <w:r w:rsidRPr="00644A33">
              <w:rPr>
                <w:rFonts w:ascii="Arial" w:hAnsi="Arial" w:cs="Arial"/>
                <w:color w:val="000000"/>
                <w:sz w:val="16"/>
                <w:szCs w:val="16"/>
                <w:lang w:val="es-ES" w:eastAsia="es-ES"/>
              </w:rPr>
              <w:t>.</w:t>
            </w:r>
            <w:proofErr w:type="gramEnd"/>
          </w:p>
        </w:tc>
        <w:tc>
          <w:tcPr>
            <w:tcW w:w="726" w:type="dxa"/>
            <w:vMerge w:val="restart"/>
            <w:tcBorders>
              <w:top w:val="single" w:sz="4" w:space="0" w:color="auto"/>
              <w:left w:val="nil"/>
              <w:bottom w:val="single" w:sz="4" w:space="0" w:color="auto"/>
              <w:right w:val="nil"/>
            </w:tcBorders>
            <w:shd w:val="clear" w:color="000000" w:fill="FFCC99"/>
            <w:vAlign w:val="center"/>
            <w:hideMark/>
          </w:tcPr>
          <w:p w14:paraId="65F4F3B2" w14:textId="77777777" w:rsidR="00807992" w:rsidRDefault="00807992" w:rsidP="005D104E">
            <w:pPr>
              <w:spacing w:after="0"/>
              <w:ind w:firstLine="0"/>
              <w:jc w:val="right"/>
              <w:rPr>
                <w:rFonts w:ascii="Arial" w:hAnsi="Arial" w:cs="Arial"/>
                <w:color w:val="000000"/>
                <w:sz w:val="16"/>
                <w:szCs w:val="16"/>
                <w:lang w:val="es-ES" w:eastAsia="es-ES"/>
              </w:rPr>
            </w:pPr>
            <w:r w:rsidRPr="00644A33">
              <w:rPr>
                <w:rFonts w:ascii="Arial" w:hAnsi="Arial" w:cs="Arial"/>
                <w:color w:val="000000"/>
                <w:sz w:val="16"/>
                <w:szCs w:val="16"/>
                <w:lang w:val="es-ES" w:eastAsia="es-ES"/>
              </w:rPr>
              <w:t xml:space="preserve">% </w:t>
            </w:r>
          </w:p>
          <w:p w14:paraId="0135E09D" w14:textId="77777777" w:rsidR="00807992" w:rsidRPr="00644A33" w:rsidRDefault="00807992" w:rsidP="005D104E">
            <w:pPr>
              <w:spacing w:after="0"/>
              <w:ind w:firstLine="0"/>
              <w:jc w:val="right"/>
              <w:rPr>
                <w:rFonts w:ascii="Arial" w:hAnsi="Arial" w:cs="Arial"/>
                <w:color w:val="000000"/>
                <w:sz w:val="16"/>
                <w:szCs w:val="16"/>
                <w:lang w:val="es-ES" w:eastAsia="es-ES"/>
              </w:rPr>
            </w:pPr>
            <w:r w:rsidRPr="00644A33">
              <w:rPr>
                <w:rFonts w:ascii="Arial" w:hAnsi="Arial" w:cs="Arial"/>
                <w:color w:val="000000"/>
                <w:sz w:val="16"/>
                <w:szCs w:val="16"/>
                <w:lang w:val="es-ES" w:eastAsia="es-ES"/>
              </w:rPr>
              <w:t>Cobros</w:t>
            </w:r>
          </w:p>
        </w:tc>
      </w:tr>
      <w:tr w:rsidR="004473F2" w:rsidRPr="00644A33" w14:paraId="7ABA4BB1" w14:textId="77777777" w:rsidTr="00D25103">
        <w:trPr>
          <w:trHeight w:val="137"/>
        </w:trPr>
        <w:tc>
          <w:tcPr>
            <w:tcW w:w="0" w:type="auto"/>
            <w:vMerge/>
            <w:tcBorders>
              <w:top w:val="single" w:sz="4" w:space="0" w:color="auto"/>
              <w:left w:val="nil"/>
              <w:bottom w:val="single" w:sz="2" w:space="0" w:color="auto"/>
              <w:right w:val="nil"/>
            </w:tcBorders>
            <w:vAlign w:val="center"/>
            <w:hideMark/>
          </w:tcPr>
          <w:p w14:paraId="322D9E48" w14:textId="77777777" w:rsidR="00807992" w:rsidRPr="00644A33" w:rsidRDefault="00807992" w:rsidP="00807992">
            <w:pPr>
              <w:spacing w:after="0"/>
              <w:ind w:firstLine="0"/>
              <w:jc w:val="left"/>
              <w:rPr>
                <w:rFonts w:ascii="Arial" w:hAnsi="Arial" w:cs="Arial"/>
                <w:color w:val="000000"/>
                <w:sz w:val="16"/>
                <w:szCs w:val="16"/>
                <w:lang w:val="es-ES" w:eastAsia="es-ES"/>
              </w:rPr>
            </w:pPr>
          </w:p>
        </w:tc>
        <w:tc>
          <w:tcPr>
            <w:tcW w:w="1120" w:type="dxa"/>
            <w:vMerge/>
            <w:tcBorders>
              <w:top w:val="single" w:sz="4" w:space="0" w:color="auto"/>
              <w:left w:val="nil"/>
              <w:bottom w:val="single" w:sz="2" w:space="0" w:color="auto"/>
              <w:right w:val="nil"/>
            </w:tcBorders>
            <w:vAlign w:val="center"/>
            <w:hideMark/>
          </w:tcPr>
          <w:p w14:paraId="1B1DF654" w14:textId="77777777" w:rsidR="00807992" w:rsidRPr="00644A33" w:rsidRDefault="00807992" w:rsidP="00807992">
            <w:pPr>
              <w:spacing w:after="0"/>
              <w:ind w:firstLine="0"/>
              <w:jc w:val="left"/>
              <w:rPr>
                <w:rFonts w:ascii="Arial" w:hAnsi="Arial" w:cs="Arial"/>
                <w:color w:val="000000"/>
                <w:sz w:val="16"/>
                <w:szCs w:val="16"/>
                <w:lang w:val="es-ES" w:eastAsia="es-ES"/>
              </w:rPr>
            </w:pPr>
          </w:p>
        </w:tc>
        <w:tc>
          <w:tcPr>
            <w:tcW w:w="954" w:type="dxa"/>
            <w:vMerge/>
            <w:tcBorders>
              <w:top w:val="single" w:sz="4" w:space="0" w:color="auto"/>
              <w:left w:val="nil"/>
              <w:bottom w:val="single" w:sz="2" w:space="0" w:color="auto"/>
              <w:right w:val="nil"/>
            </w:tcBorders>
            <w:vAlign w:val="center"/>
            <w:hideMark/>
          </w:tcPr>
          <w:p w14:paraId="677FBF41" w14:textId="77777777" w:rsidR="00807992" w:rsidRPr="00644A33" w:rsidRDefault="00807992" w:rsidP="00807992">
            <w:pPr>
              <w:spacing w:after="0"/>
              <w:ind w:firstLine="0"/>
              <w:jc w:val="left"/>
              <w:rPr>
                <w:rFonts w:ascii="Arial" w:hAnsi="Arial" w:cs="Arial"/>
                <w:color w:val="000000"/>
                <w:sz w:val="16"/>
                <w:szCs w:val="16"/>
                <w:lang w:val="es-ES" w:eastAsia="es-ES"/>
              </w:rPr>
            </w:pPr>
          </w:p>
        </w:tc>
        <w:tc>
          <w:tcPr>
            <w:tcW w:w="1082" w:type="dxa"/>
            <w:vMerge/>
            <w:tcBorders>
              <w:top w:val="single" w:sz="4" w:space="0" w:color="auto"/>
              <w:left w:val="nil"/>
              <w:bottom w:val="single" w:sz="2" w:space="0" w:color="auto"/>
              <w:right w:val="nil"/>
            </w:tcBorders>
            <w:vAlign w:val="center"/>
            <w:hideMark/>
          </w:tcPr>
          <w:p w14:paraId="2AD914CB" w14:textId="77777777" w:rsidR="00807992" w:rsidRPr="00644A33" w:rsidRDefault="00807992" w:rsidP="00807992">
            <w:pPr>
              <w:spacing w:after="0"/>
              <w:ind w:firstLine="0"/>
              <w:jc w:val="left"/>
              <w:rPr>
                <w:rFonts w:ascii="Arial" w:hAnsi="Arial" w:cs="Arial"/>
                <w:color w:val="000000"/>
                <w:sz w:val="16"/>
                <w:szCs w:val="16"/>
                <w:lang w:val="es-ES" w:eastAsia="es-ES"/>
              </w:rPr>
            </w:pPr>
          </w:p>
        </w:tc>
        <w:tc>
          <w:tcPr>
            <w:tcW w:w="1157" w:type="dxa"/>
            <w:tcBorders>
              <w:left w:val="nil"/>
              <w:bottom w:val="single" w:sz="4" w:space="0" w:color="auto"/>
              <w:right w:val="nil"/>
            </w:tcBorders>
            <w:shd w:val="clear" w:color="000000" w:fill="FFCC99"/>
            <w:vAlign w:val="center"/>
            <w:hideMark/>
          </w:tcPr>
          <w:p w14:paraId="64FF6864" w14:textId="77777777" w:rsidR="00807992" w:rsidRPr="00644A33" w:rsidRDefault="00807992" w:rsidP="00807992">
            <w:pPr>
              <w:spacing w:after="0"/>
              <w:ind w:firstLine="0"/>
              <w:jc w:val="center"/>
              <w:rPr>
                <w:rFonts w:ascii="Arial" w:hAnsi="Arial" w:cs="Arial"/>
                <w:color w:val="000000"/>
                <w:sz w:val="16"/>
                <w:szCs w:val="16"/>
                <w:lang w:val="es-ES" w:eastAsia="es-ES"/>
              </w:rPr>
            </w:pPr>
            <w:r w:rsidRPr="00644A33">
              <w:rPr>
                <w:rFonts w:ascii="Arial" w:hAnsi="Arial" w:cs="Arial"/>
                <w:color w:val="000000"/>
                <w:sz w:val="16"/>
                <w:szCs w:val="16"/>
                <w:lang w:val="es-ES" w:eastAsia="es-ES"/>
              </w:rPr>
              <w:t>reconocidos</w:t>
            </w:r>
          </w:p>
        </w:tc>
        <w:tc>
          <w:tcPr>
            <w:tcW w:w="1083" w:type="dxa"/>
            <w:vMerge/>
            <w:tcBorders>
              <w:top w:val="single" w:sz="4" w:space="0" w:color="auto"/>
              <w:left w:val="nil"/>
              <w:bottom w:val="single" w:sz="2" w:space="0" w:color="auto"/>
              <w:right w:val="nil"/>
            </w:tcBorders>
            <w:vAlign w:val="center"/>
            <w:hideMark/>
          </w:tcPr>
          <w:p w14:paraId="3554AA75" w14:textId="77777777" w:rsidR="00807992" w:rsidRPr="00644A33" w:rsidRDefault="00807992" w:rsidP="00807992">
            <w:pPr>
              <w:spacing w:after="0"/>
              <w:ind w:firstLine="0"/>
              <w:jc w:val="left"/>
              <w:rPr>
                <w:rFonts w:ascii="Arial" w:hAnsi="Arial" w:cs="Arial"/>
                <w:color w:val="000000"/>
                <w:sz w:val="16"/>
                <w:szCs w:val="16"/>
                <w:lang w:val="es-ES" w:eastAsia="es-ES"/>
              </w:rPr>
            </w:pPr>
          </w:p>
        </w:tc>
        <w:tc>
          <w:tcPr>
            <w:tcW w:w="693" w:type="dxa"/>
            <w:vMerge/>
            <w:tcBorders>
              <w:top w:val="single" w:sz="4" w:space="0" w:color="auto"/>
              <w:left w:val="nil"/>
              <w:bottom w:val="single" w:sz="2" w:space="0" w:color="auto"/>
              <w:right w:val="nil"/>
            </w:tcBorders>
            <w:vAlign w:val="center"/>
            <w:hideMark/>
          </w:tcPr>
          <w:p w14:paraId="0C1C1416" w14:textId="77777777" w:rsidR="00807992" w:rsidRPr="00644A33" w:rsidRDefault="00807992" w:rsidP="00807992">
            <w:pPr>
              <w:spacing w:after="0"/>
              <w:ind w:firstLine="0"/>
              <w:jc w:val="left"/>
              <w:rPr>
                <w:rFonts w:ascii="Arial" w:hAnsi="Arial" w:cs="Arial"/>
                <w:color w:val="000000"/>
                <w:sz w:val="16"/>
                <w:szCs w:val="16"/>
                <w:lang w:val="es-ES" w:eastAsia="es-ES"/>
              </w:rPr>
            </w:pPr>
          </w:p>
        </w:tc>
        <w:tc>
          <w:tcPr>
            <w:tcW w:w="726" w:type="dxa"/>
            <w:vMerge/>
            <w:tcBorders>
              <w:top w:val="single" w:sz="4" w:space="0" w:color="auto"/>
              <w:left w:val="nil"/>
              <w:bottom w:val="single" w:sz="2" w:space="0" w:color="auto"/>
              <w:right w:val="nil"/>
            </w:tcBorders>
            <w:vAlign w:val="center"/>
            <w:hideMark/>
          </w:tcPr>
          <w:p w14:paraId="2C3B51B5" w14:textId="77777777" w:rsidR="00807992" w:rsidRPr="00644A33" w:rsidRDefault="00807992" w:rsidP="00807992">
            <w:pPr>
              <w:spacing w:after="0"/>
              <w:ind w:firstLine="0"/>
              <w:jc w:val="left"/>
              <w:rPr>
                <w:rFonts w:ascii="Arial" w:hAnsi="Arial" w:cs="Arial"/>
                <w:color w:val="000000"/>
                <w:sz w:val="16"/>
                <w:szCs w:val="16"/>
                <w:lang w:val="es-ES" w:eastAsia="es-ES"/>
              </w:rPr>
            </w:pPr>
          </w:p>
        </w:tc>
      </w:tr>
      <w:tr w:rsidR="004473F2" w:rsidRPr="00644A33" w14:paraId="030C5264" w14:textId="77777777" w:rsidTr="00D25103">
        <w:trPr>
          <w:trHeight w:val="198"/>
        </w:trPr>
        <w:tc>
          <w:tcPr>
            <w:tcW w:w="0" w:type="auto"/>
            <w:tcBorders>
              <w:top w:val="single" w:sz="2" w:space="0" w:color="auto"/>
              <w:left w:val="nil"/>
              <w:bottom w:val="single" w:sz="2" w:space="0" w:color="auto"/>
              <w:right w:val="nil"/>
            </w:tcBorders>
            <w:shd w:val="clear" w:color="auto" w:fill="auto"/>
            <w:noWrap/>
            <w:vAlign w:val="center"/>
            <w:hideMark/>
          </w:tcPr>
          <w:p w14:paraId="57F6B551"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 Impuestos directos</w:t>
            </w:r>
          </w:p>
        </w:tc>
        <w:tc>
          <w:tcPr>
            <w:tcW w:w="1120" w:type="dxa"/>
            <w:tcBorders>
              <w:top w:val="single" w:sz="2" w:space="0" w:color="auto"/>
              <w:left w:val="nil"/>
              <w:bottom w:val="single" w:sz="2" w:space="0" w:color="auto"/>
              <w:right w:val="nil"/>
            </w:tcBorders>
            <w:shd w:val="clear" w:color="auto" w:fill="auto"/>
            <w:noWrap/>
            <w:vAlign w:val="center"/>
            <w:hideMark/>
          </w:tcPr>
          <w:p w14:paraId="2E96D38C"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54.518.000</w:t>
            </w:r>
          </w:p>
        </w:tc>
        <w:tc>
          <w:tcPr>
            <w:tcW w:w="954" w:type="dxa"/>
            <w:tcBorders>
              <w:top w:val="single" w:sz="2" w:space="0" w:color="auto"/>
              <w:left w:val="nil"/>
              <w:bottom w:val="single" w:sz="2" w:space="0" w:color="auto"/>
              <w:right w:val="nil"/>
            </w:tcBorders>
            <w:shd w:val="clear" w:color="auto" w:fill="auto"/>
            <w:noWrap/>
            <w:vAlign w:val="center"/>
            <w:hideMark/>
          </w:tcPr>
          <w:p w14:paraId="6B3E63A5"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w:t>
            </w:r>
          </w:p>
        </w:tc>
        <w:tc>
          <w:tcPr>
            <w:tcW w:w="1082" w:type="dxa"/>
            <w:tcBorders>
              <w:top w:val="single" w:sz="2" w:space="0" w:color="auto"/>
              <w:left w:val="nil"/>
              <w:bottom w:val="single" w:sz="2" w:space="0" w:color="auto"/>
              <w:right w:val="nil"/>
            </w:tcBorders>
            <w:shd w:val="clear" w:color="auto" w:fill="auto"/>
            <w:noWrap/>
            <w:vAlign w:val="center"/>
            <w:hideMark/>
          </w:tcPr>
          <w:p w14:paraId="53819D36" w14:textId="77777777" w:rsidR="00807992" w:rsidRPr="00644A33" w:rsidRDefault="00962B2B" w:rsidP="00807992">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54.518</w:t>
            </w:r>
            <w:r w:rsidR="00807992" w:rsidRPr="00644A33">
              <w:rPr>
                <w:rFonts w:ascii="Arial Narrow" w:hAnsi="Arial Narrow" w:cs="Calibri"/>
                <w:color w:val="000000"/>
                <w:sz w:val="16"/>
                <w:szCs w:val="16"/>
                <w:lang w:val="es-ES" w:eastAsia="es-ES"/>
              </w:rPr>
              <w:t>.000</w:t>
            </w:r>
          </w:p>
        </w:tc>
        <w:tc>
          <w:tcPr>
            <w:tcW w:w="1157" w:type="dxa"/>
            <w:tcBorders>
              <w:top w:val="single" w:sz="4" w:space="0" w:color="auto"/>
              <w:left w:val="nil"/>
              <w:bottom w:val="single" w:sz="2" w:space="0" w:color="auto"/>
              <w:right w:val="nil"/>
            </w:tcBorders>
            <w:shd w:val="clear" w:color="auto" w:fill="auto"/>
            <w:noWrap/>
            <w:vAlign w:val="center"/>
            <w:hideMark/>
          </w:tcPr>
          <w:p w14:paraId="2E790C97"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54.259.567</w:t>
            </w:r>
          </w:p>
        </w:tc>
        <w:tc>
          <w:tcPr>
            <w:tcW w:w="1083" w:type="dxa"/>
            <w:tcBorders>
              <w:top w:val="single" w:sz="2" w:space="0" w:color="auto"/>
              <w:left w:val="nil"/>
              <w:bottom w:val="single" w:sz="2" w:space="0" w:color="auto"/>
              <w:right w:val="nil"/>
            </w:tcBorders>
            <w:shd w:val="clear" w:color="auto" w:fill="auto"/>
            <w:noWrap/>
            <w:vAlign w:val="center"/>
            <w:hideMark/>
          </w:tcPr>
          <w:p w14:paraId="74E4CCE0"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52.267.740</w:t>
            </w:r>
          </w:p>
        </w:tc>
        <w:tc>
          <w:tcPr>
            <w:tcW w:w="693" w:type="dxa"/>
            <w:tcBorders>
              <w:top w:val="single" w:sz="2" w:space="0" w:color="auto"/>
              <w:left w:val="nil"/>
              <w:bottom w:val="single" w:sz="2" w:space="0" w:color="auto"/>
              <w:right w:val="nil"/>
            </w:tcBorders>
            <w:shd w:val="clear" w:color="auto" w:fill="auto"/>
            <w:noWrap/>
            <w:vAlign w:val="center"/>
            <w:hideMark/>
          </w:tcPr>
          <w:p w14:paraId="0894AD48"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100</w:t>
            </w:r>
          </w:p>
        </w:tc>
        <w:tc>
          <w:tcPr>
            <w:tcW w:w="726" w:type="dxa"/>
            <w:tcBorders>
              <w:top w:val="single" w:sz="2" w:space="0" w:color="auto"/>
              <w:left w:val="nil"/>
              <w:bottom w:val="single" w:sz="2" w:space="0" w:color="auto"/>
              <w:right w:val="nil"/>
            </w:tcBorders>
            <w:shd w:val="clear" w:color="auto" w:fill="auto"/>
            <w:noWrap/>
            <w:vAlign w:val="center"/>
            <w:hideMark/>
          </w:tcPr>
          <w:p w14:paraId="4AC85908"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96</w:t>
            </w:r>
          </w:p>
        </w:tc>
      </w:tr>
      <w:tr w:rsidR="004473F2" w:rsidRPr="00644A33" w14:paraId="2DA2EF07" w14:textId="77777777" w:rsidTr="00D25103">
        <w:trPr>
          <w:trHeight w:val="198"/>
        </w:trPr>
        <w:tc>
          <w:tcPr>
            <w:tcW w:w="0" w:type="auto"/>
            <w:tcBorders>
              <w:top w:val="single" w:sz="2" w:space="0" w:color="auto"/>
              <w:left w:val="nil"/>
              <w:bottom w:val="single" w:sz="2" w:space="0" w:color="auto"/>
              <w:right w:val="nil"/>
            </w:tcBorders>
            <w:shd w:val="clear" w:color="auto" w:fill="auto"/>
            <w:noWrap/>
            <w:vAlign w:val="center"/>
            <w:hideMark/>
          </w:tcPr>
          <w:p w14:paraId="0AC16893"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 Impuestos indirectos</w:t>
            </w:r>
          </w:p>
        </w:tc>
        <w:tc>
          <w:tcPr>
            <w:tcW w:w="1120" w:type="dxa"/>
            <w:tcBorders>
              <w:top w:val="single" w:sz="2" w:space="0" w:color="auto"/>
              <w:left w:val="nil"/>
              <w:bottom w:val="single" w:sz="2" w:space="0" w:color="auto"/>
              <w:right w:val="nil"/>
            </w:tcBorders>
            <w:shd w:val="clear" w:color="auto" w:fill="auto"/>
            <w:noWrap/>
            <w:vAlign w:val="center"/>
            <w:hideMark/>
          </w:tcPr>
          <w:p w14:paraId="38D58341"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6.560.103</w:t>
            </w:r>
          </w:p>
        </w:tc>
        <w:tc>
          <w:tcPr>
            <w:tcW w:w="954" w:type="dxa"/>
            <w:tcBorders>
              <w:top w:val="single" w:sz="2" w:space="0" w:color="auto"/>
              <w:left w:val="nil"/>
              <w:bottom w:val="single" w:sz="2" w:space="0" w:color="auto"/>
              <w:right w:val="nil"/>
            </w:tcBorders>
            <w:shd w:val="clear" w:color="auto" w:fill="auto"/>
            <w:noWrap/>
            <w:vAlign w:val="center"/>
            <w:hideMark/>
          </w:tcPr>
          <w:p w14:paraId="721939C1"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w:t>
            </w:r>
          </w:p>
        </w:tc>
        <w:tc>
          <w:tcPr>
            <w:tcW w:w="1082" w:type="dxa"/>
            <w:tcBorders>
              <w:top w:val="single" w:sz="2" w:space="0" w:color="auto"/>
              <w:left w:val="nil"/>
              <w:bottom w:val="single" w:sz="2" w:space="0" w:color="auto"/>
              <w:right w:val="nil"/>
            </w:tcBorders>
            <w:shd w:val="clear" w:color="auto" w:fill="auto"/>
            <w:noWrap/>
            <w:vAlign w:val="center"/>
            <w:hideMark/>
          </w:tcPr>
          <w:p w14:paraId="4CC99A46"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6.560.103</w:t>
            </w:r>
          </w:p>
        </w:tc>
        <w:tc>
          <w:tcPr>
            <w:tcW w:w="1157" w:type="dxa"/>
            <w:tcBorders>
              <w:top w:val="single" w:sz="2" w:space="0" w:color="auto"/>
              <w:left w:val="nil"/>
              <w:bottom w:val="single" w:sz="2" w:space="0" w:color="auto"/>
              <w:right w:val="nil"/>
            </w:tcBorders>
            <w:shd w:val="clear" w:color="auto" w:fill="auto"/>
            <w:noWrap/>
            <w:vAlign w:val="center"/>
            <w:hideMark/>
          </w:tcPr>
          <w:p w14:paraId="6D303E54"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13.386.626</w:t>
            </w:r>
          </w:p>
        </w:tc>
        <w:tc>
          <w:tcPr>
            <w:tcW w:w="1083" w:type="dxa"/>
            <w:tcBorders>
              <w:top w:val="single" w:sz="2" w:space="0" w:color="auto"/>
              <w:left w:val="nil"/>
              <w:bottom w:val="single" w:sz="2" w:space="0" w:color="auto"/>
              <w:right w:val="nil"/>
            </w:tcBorders>
            <w:shd w:val="clear" w:color="auto" w:fill="auto"/>
            <w:noWrap/>
            <w:vAlign w:val="center"/>
            <w:hideMark/>
          </w:tcPr>
          <w:p w14:paraId="6ED4009E"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13.240.886</w:t>
            </w:r>
          </w:p>
        </w:tc>
        <w:tc>
          <w:tcPr>
            <w:tcW w:w="693" w:type="dxa"/>
            <w:tcBorders>
              <w:top w:val="single" w:sz="2" w:space="0" w:color="auto"/>
              <w:left w:val="nil"/>
              <w:bottom w:val="single" w:sz="2" w:space="0" w:color="auto"/>
              <w:right w:val="nil"/>
            </w:tcBorders>
            <w:shd w:val="clear" w:color="auto" w:fill="auto"/>
            <w:noWrap/>
            <w:vAlign w:val="center"/>
            <w:hideMark/>
          </w:tcPr>
          <w:p w14:paraId="5628A103"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204</w:t>
            </w:r>
          </w:p>
        </w:tc>
        <w:tc>
          <w:tcPr>
            <w:tcW w:w="726" w:type="dxa"/>
            <w:tcBorders>
              <w:top w:val="single" w:sz="2" w:space="0" w:color="auto"/>
              <w:left w:val="nil"/>
              <w:bottom w:val="single" w:sz="2" w:space="0" w:color="auto"/>
              <w:right w:val="nil"/>
            </w:tcBorders>
            <w:shd w:val="clear" w:color="auto" w:fill="auto"/>
            <w:noWrap/>
            <w:vAlign w:val="center"/>
            <w:hideMark/>
          </w:tcPr>
          <w:p w14:paraId="6FB5D46B"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99</w:t>
            </w:r>
          </w:p>
        </w:tc>
      </w:tr>
      <w:tr w:rsidR="004473F2" w:rsidRPr="00644A33" w14:paraId="34059A30" w14:textId="77777777" w:rsidTr="00D25103">
        <w:trPr>
          <w:trHeight w:val="198"/>
        </w:trPr>
        <w:tc>
          <w:tcPr>
            <w:tcW w:w="0" w:type="auto"/>
            <w:tcBorders>
              <w:top w:val="single" w:sz="2" w:space="0" w:color="auto"/>
              <w:left w:val="nil"/>
              <w:bottom w:val="single" w:sz="2" w:space="0" w:color="auto"/>
              <w:right w:val="nil"/>
            </w:tcBorders>
            <w:shd w:val="clear" w:color="auto" w:fill="auto"/>
            <w:noWrap/>
            <w:vAlign w:val="center"/>
            <w:hideMark/>
          </w:tcPr>
          <w:p w14:paraId="5EB8B795"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 Tasas, precios públicos y otros ingresos</w:t>
            </w:r>
          </w:p>
        </w:tc>
        <w:tc>
          <w:tcPr>
            <w:tcW w:w="1120" w:type="dxa"/>
            <w:tcBorders>
              <w:top w:val="single" w:sz="2" w:space="0" w:color="auto"/>
              <w:left w:val="nil"/>
              <w:bottom w:val="single" w:sz="2" w:space="0" w:color="auto"/>
              <w:right w:val="nil"/>
            </w:tcBorders>
            <w:shd w:val="clear" w:color="auto" w:fill="auto"/>
            <w:noWrap/>
            <w:vAlign w:val="center"/>
            <w:hideMark/>
          </w:tcPr>
          <w:p w14:paraId="6F67B960"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29.713.100</w:t>
            </w:r>
          </w:p>
        </w:tc>
        <w:tc>
          <w:tcPr>
            <w:tcW w:w="954" w:type="dxa"/>
            <w:tcBorders>
              <w:top w:val="single" w:sz="2" w:space="0" w:color="auto"/>
              <w:left w:val="nil"/>
              <w:bottom w:val="single" w:sz="2" w:space="0" w:color="auto"/>
              <w:right w:val="nil"/>
            </w:tcBorders>
            <w:shd w:val="clear" w:color="auto" w:fill="auto"/>
            <w:noWrap/>
            <w:vAlign w:val="center"/>
            <w:hideMark/>
          </w:tcPr>
          <w:p w14:paraId="793F8771"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w:t>
            </w:r>
          </w:p>
        </w:tc>
        <w:tc>
          <w:tcPr>
            <w:tcW w:w="1082" w:type="dxa"/>
            <w:tcBorders>
              <w:top w:val="single" w:sz="2" w:space="0" w:color="auto"/>
              <w:left w:val="nil"/>
              <w:bottom w:val="single" w:sz="2" w:space="0" w:color="auto"/>
              <w:right w:val="nil"/>
            </w:tcBorders>
            <w:shd w:val="clear" w:color="auto" w:fill="auto"/>
            <w:noWrap/>
            <w:vAlign w:val="center"/>
            <w:hideMark/>
          </w:tcPr>
          <w:p w14:paraId="153BE5BA"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29.713.100</w:t>
            </w:r>
          </w:p>
        </w:tc>
        <w:tc>
          <w:tcPr>
            <w:tcW w:w="1157" w:type="dxa"/>
            <w:tcBorders>
              <w:top w:val="single" w:sz="2" w:space="0" w:color="auto"/>
              <w:left w:val="nil"/>
              <w:bottom w:val="single" w:sz="2" w:space="0" w:color="auto"/>
              <w:right w:val="nil"/>
            </w:tcBorders>
            <w:shd w:val="clear" w:color="auto" w:fill="auto"/>
            <w:noWrap/>
            <w:vAlign w:val="center"/>
            <w:hideMark/>
          </w:tcPr>
          <w:p w14:paraId="35E8C4CC"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41.658.956</w:t>
            </w:r>
          </w:p>
        </w:tc>
        <w:tc>
          <w:tcPr>
            <w:tcW w:w="1083" w:type="dxa"/>
            <w:tcBorders>
              <w:top w:val="single" w:sz="2" w:space="0" w:color="auto"/>
              <w:left w:val="nil"/>
              <w:bottom w:val="single" w:sz="2" w:space="0" w:color="auto"/>
              <w:right w:val="nil"/>
            </w:tcBorders>
            <w:shd w:val="clear" w:color="auto" w:fill="auto"/>
            <w:noWrap/>
            <w:vAlign w:val="center"/>
            <w:hideMark/>
          </w:tcPr>
          <w:p w14:paraId="3DD290BD"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31.973.169</w:t>
            </w:r>
          </w:p>
        </w:tc>
        <w:tc>
          <w:tcPr>
            <w:tcW w:w="693" w:type="dxa"/>
            <w:tcBorders>
              <w:top w:val="single" w:sz="2" w:space="0" w:color="auto"/>
              <w:left w:val="nil"/>
              <w:bottom w:val="single" w:sz="2" w:space="0" w:color="auto"/>
              <w:right w:val="nil"/>
            </w:tcBorders>
            <w:shd w:val="clear" w:color="auto" w:fill="auto"/>
            <w:noWrap/>
            <w:vAlign w:val="center"/>
            <w:hideMark/>
          </w:tcPr>
          <w:p w14:paraId="52077934"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140</w:t>
            </w:r>
          </w:p>
        </w:tc>
        <w:tc>
          <w:tcPr>
            <w:tcW w:w="726" w:type="dxa"/>
            <w:tcBorders>
              <w:top w:val="single" w:sz="2" w:space="0" w:color="auto"/>
              <w:left w:val="nil"/>
              <w:bottom w:val="single" w:sz="2" w:space="0" w:color="auto"/>
              <w:right w:val="nil"/>
            </w:tcBorders>
            <w:shd w:val="clear" w:color="auto" w:fill="auto"/>
            <w:noWrap/>
            <w:vAlign w:val="center"/>
            <w:hideMark/>
          </w:tcPr>
          <w:p w14:paraId="03C191DE"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77</w:t>
            </w:r>
          </w:p>
        </w:tc>
      </w:tr>
      <w:tr w:rsidR="004473F2" w:rsidRPr="00644A33" w14:paraId="12940F22" w14:textId="77777777" w:rsidTr="00D25103">
        <w:trPr>
          <w:trHeight w:val="198"/>
        </w:trPr>
        <w:tc>
          <w:tcPr>
            <w:tcW w:w="0" w:type="auto"/>
            <w:tcBorders>
              <w:top w:val="single" w:sz="2" w:space="0" w:color="auto"/>
              <w:left w:val="nil"/>
              <w:bottom w:val="single" w:sz="2" w:space="0" w:color="auto"/>
              <w:right w:val="nil"/>
            </w:tcBorders>
            <w:shd w:val="clear" w:color="auto" w:fill="auto"/>
            <w:noWrap/>
            <w:vAlign w:val="center"/>
            <w:hideMark/>
          </w:tcPr>
          <w:p w14:paraId="55F8E12D"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4. Transferencia corrientes</w:t>
            </w:r>
          </w:p>
        </w:tc>
        <w:tc>
          <w:tcPr>
            <w:tcW w:w="1120" w:type="dxa"/>
            <w:tcBorders>
              <w:top w:val="single" w:sz="2" w:space="0" w:color="auto"/>
              <w:left w:val="nil"/>
              <w:bottom w:val="single" w:sz="2" w:space="0" w:color="auto"/>
              <w:right w:val="nil"/>
            </w:tcBorders>
            <w:shd w:val="clear" w:color="auto" w:fill="auto"/>
            <w:noWrap/>
            <w:vAlign w:val="center"/>
            <w:hideMark/>
          </w:tcPr>
          <w:p w14:paraId="47E36EF6"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109.955.625</w:t>
            </w:r>
          </w:p>
        </w:tc>
        <w:tc>
          <w:tcPr>
            <w:tcW w:w="954" w:type="dxa"/>
            <w:tcBorders>
              <w:top w:val="single" w:sz="2" w:space="0" w:color="auto"/>
              <w:left w:val="nil"/>
              <w:bottom w:val="single" w:sz="2" w:space="0" w:color="auto"/>
              <w:right w:val="nil"/>
            </w:tcBorders>
            <w:shd w:val="clear" w:color="auto" w:fill="auto"/>
            <w:noWrap/>
            <w:vAlign w:val="center"/>
            <w:hideMark/>
          </w:tcPr>
          <w:p w14:paraId="7B24B79E"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w:t>
            </w:r>
          </w:p>
        </w:tc>
        <w:tc>
          <w:tcPr>
            <w:tcW w:w="1082" w:type="dxa"/>
            <w:tcBorders>
              <w:top w:val="single" w:sz="2" w:space="0" w:color="auto"/>
              <w:left w:val="nil"/>
              <w:bottom w:val="single" w:sz="2" w:space="0" w:color="auto"/>
              <w:right w:val="nil"/>
            </w:tcBorders>
            <w:shd w:val="clear" w:color="auto" w:fill="auto"/>
            <w:noWrap/>
            <w:vAlign w:val="center"/>
            <w:hideMark/>
          </w:tcPr>
          <w:p w14:paraId="4AA529F3"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109.955.625</w:t>
            </w:r>
          </w:p>
        </w:tc>
        <w:tc>
          <w:tcPr>
            <w:tcW w:w="1157" w:type="dxa"/>
            <w:tcBorders>
              <w:top w:val="single" w:sz="2" w:space="0" w:color="auto"/>
              <w:left w:val="nil"/>
              <w:bottom w:val="single" w:sz="2" w:space="0" w:color="auto"/>
              <w:right w:val="nil"/>
            </w:tcBorders>
            <w:shd w:val="clear" w:color="auto" w:fill="auto"/>
            <w:noWrap/>
            <w:vAlign w:val="center"/>
            <w:hideMark/>
          </w:tcPr>
          <w:p w14:paraId="3D472B5D"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110.721.974</w:t>
            </w:r>
          </w:p>
        </w:tc>
        <w:tc>
          <w:tcPr>
            <w:tcW w:w="1083" w:type="dxa"/>
            <w:tcBorders>
              <w:top w:val="single" w:sz="2" w:space="0" w:color="auto"/>
              <w:left w:val="nil"/>
              <w:bottom w:val="single" w:sz="2" w:space="0" w:color="auto"/>
              <w:right w:val="nil"/>
            </w:tcBorders>
            <w:shd w:val="clear" w:color="auto" w:fill="auto"/>
            <w:noWrap/>
            <w:vAlign w:val="center"/>
            <w:hideMark/>
          </w:tcPr>
          <w:p w14:paraId="6E5771B0"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110.696.953</w:t>
            </w:r>
          </w:p>
        </w:tc>
        <w:tc>
          <w:tcPr>
            <w:tcW w:w="693" w:type="dxa"/>
            <w:tcBorders>
              <w:top w:val="single" w:sz="2" w:space="0" w:color="auto"/>
              <w:left w:val="nil"/>
              <w:bottom w:val="single" w:sz="2" w:space="0" w:color="auto"/>
              <w:right w:val="nil"/>
            </w:tcBorders>
            <w:shd w:val="clear" w:color="auto" w:fill="auto"/>
            <w:noWrap/>
            <w:vAlign w:val="center"/>
            <w:hideMark/>
          </w:tcPr>
          <w:p w14:paraId="2BB16426"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101</w:t>
            </w:r>
          </w:p>
        </w:tc>
        <w:tc>
          <w:tcPr>
            <w:tcW w:w="726" w:type="dxa"/>
            <w:tcBorders>
              <w:top w:val="single" w:sz="2" w:space="0" w:color="auto"/>
              <w:left w:val="nil"/>
              <w:bottom w:val="single" w:sz="2" w:space="0" w:color="auto"/>
              <w:right w:val="nil"/>
            </w:tcBorders>
            <w:shd w:val="clear" w:color="auto" w:fill="auto"/>
            <w:noWrap/>
            <w:vAlign w:val="center"/>
            <w:hideMark/>
          </w:tcPr>
          <w:p w14:paraId="4F5BDF58"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100</w:t>
            </w:r>
          </w:p>
        </w:tc>
      </w:tr>
      <w:tr w:rsidR="004473F2" w:rsidRPr="00644A33" w14:paraId="3EC6407D" w14:textId="77777777" w:rsidTr="00D25103">
        <w:trPr>
          <w:trHeight w:val="198"/>
        </w:trPr>
        <w:tc>
          <w:tcPr>
            <w:tcW w:w="0" w:type="auto"/>
            <w:tcBorders>
              <w:top w:val="single" w:sz="2" w:space="0" w:color="auto"/>
              <w:left w:val="nil"/>
              <w:bottom w:val="single" w:sz="2" w:space="0" w:color="auto"/>
              <w:right w:val="nil"/>
            </w:tcBorders>
            <w:shd w:val="clear" w:color="auto" w:fill="auto"/>
            <w:noWrap/>
            <w:vAlign w:val="center"/>
            <w:hideMark/>
          </w:tcPr>
          <w:p w14:paraId="55154EDC" w14:textId="77777777" w:rsidR="00807992" w:rsidRPr="00644A33" w:rsidRDefault="00807992" w:rsidP="004473F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xml:space="preserve">5. Ingresos </w:t>
            </w:r>
            <w:proofErr w:type="spellStart"/>
            <w:r w:rsidRPr="00644A33">
              <w:rPr>
                <w:rFonts w:ascii="Arial Narrow" w:hAnsi="Arial Narrow" w:cs="Calibri"/>
                <w:color w:val="000000"/>
                <w:sz w:val="16"/>
                <w:szCs w:val="16"/>
                <w:lang w:val="es-ES" w:eastAsia="es-ES"/>
              </w:rPr>
              <w:t>patrimo</w:t>
            </w:r>
            <w:proofErr w:type="spellEnd"/>
            <w:r w:rsidR="004473F2">
              <w:rPr>
                <w:rFonts w:ascii="Arial Narrow" w:hAnsi="Arial Narrow" w:cs="Calibri"/>
                <w:color w:val="000000"/>
                <w:sz w:val="16"/>
                <w:szCs w:val="16"/>
                <w:lang w:val="es-ES" w:eastAsia="es-ES"/>
              </w:rPr>
              <w:t>.</w:t>
            </w:r>
            <w:r w:rsidRPr="00644A33">
              <w:rPr>
                <w:rFonts w:ascii="Arial Narrow" w:hAnsi="Arial Narrow" w:cs="Calibri"/>
                <w:color w:val="000000"/>
                <w:sz w:val="16"/>
                <w:szCs w:val="16"/>
                <w:lang w:val="es-ES" w:eastAsia="es-ES"/>
              </w:rPr>
              <w:t xml:space="preserve"> y </w:t>
            </w:r>
            <w:proofErr w:type="spellStart"/>
            <w:r w:rsidRPr="00644A33">
              <w:rPr>
                <w:rFonts w:ascii="Arial Narrow" w:hAnsi="Arial Narrow" w:cs="Calibri"/>
                <w:color w:val="000000"/>
                <w:sz w:val="16"/>
                <w:szCs w:val="16"/>
                <w:lang w:val="es-ES" w:eastAsia="es-ES"/>
              </w:rPr>
              <w:t>aprov</w:t>
            </w:r>
            <w:proofErr w:type="spellEnd"/>
            <w:r w:rsidR="004473F2">
              <w:rPr>
                <w:rFonts w:ascii="Arial Narrow" w:hAnsi="Arial Narrow" w:cs="Calibri"/>
                <w:color w:val="000000"/>
                <w:sz w:val="16"/>
                <w:szCs w:val="16"/>
                <w:lang w:val="es-ES" w:eastAsia="es-ES"/>
              </w:rPr>
              <w:t xml:space="preserve"> comunales</w:t>
            </w:r>
          </w:p>
        </w:tc>
        <w:tc>
          <w:tcPr>
            <w:tcW w:w="1120" w:type="dxa"/>
            <w:tcBorders>
              <w:top w:val="single" w:sz="2" w:space="0" w:color="auto"/>
              <w:left w:val="nil"/>
              <w:bottom w:val="single" w:sz="2" w:space="0" w:color="auto"/>
              <w:right w:val="nil"/>
            </w:tcBorders>
            <w:shd w:val="clear" w:color="auto" w:fill="auto"/>
            <w:noWrap/>
            <w:vAlign w:val="center"/>
            <w:hideMark/>
          </w:tcPr>
          <w:p w14:paraId="2D7F4103"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2.980.600</w:t>
            </w:r>
          </w:p>
        </w:tc>
        <w:tc>
          <w:tcPr>
            <w:tcW w:w="954" w:type="dxa"/>
            <w:tcBorders>
              <w:top w:val="single" w:sz="2" w:space="0" w:color="auto"/>
              <w:left w:val="nil"/>
              <w:bottom w:val="single" w:sz="2" w:space="0" w:color="auto"/>
              <w:right w:val="nil"/>
            </w:tcBorders>
            <w:shd w:val="clear" w:color="auto" w:fill="auto"/>
            <w:noWrap/>
            <w:vAlign w:val="center"/>
            <w:hideMark/>
          </w:tcPr>
          <w:p w14:paraId="05EDE9EF"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w:t>
            </w:r>
          </w:p>
        </w:tc>
        <w:tc>
          <w:tcPr>
            <w:tcW w:w="1082" w:type="dxa"/>
            <w:tcBorders>
              <w:top w:val="single" w:sz="2" w:space="0" w:color="auto"/>
              <w:left w:val="nil"/>
              <w:bottom w:val="single" w:sz="2" w:space="0" w:color="auto"/>
              <w:right w:val="nil"/>
            </w:tcBorders>
            <w:shd w:val="clear" w:color="auto" w:fill="auto"/>
            <w:noWrap/>
            <w:vAlign w:val="center"/>
            <w:hideMark/>
          </w:tcPr>
          <w:p w14:paraId="13342123"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2.980.600</w:t>
            </w:r>
          </w:p>
        </w:tc>
        <w:tc>
          <w:tcPr>
            <w:tcW w:w="1157" w:type="dxa"/>
            <w:tcBorders>
              <w:top w:val="single" w:sz="2" w:space="0" w:color="auto"/>
              <w:left w:val="nil"/>
              <w:bottom w:val="single" w:sz="2" w:space="0" w:color="auto"/>
              <w:right w:val="nil"/>
            </w:tcBorders>
            <w:shd w:val="clear" w:color="auto" w:fill="auto"/>
            <w:noWrap/>
            <w:vAlign w:val="center"/>
            <w:hideMark/>
          </w:tcPr>
          <w:p w14:paraId="51E7EEBE"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2.596.103</w:t>
            </w:r>
          </w:p>
        </w:tc>
        <w:tc>
          <w:tcPr>
            <w:tcW w:w="1083" w:type="dxa"/>
            <w:tcBorders>
              <w:top w:val="single" w:sz="2" w:space="0" w:color="auto"/>
              <w:left w:val="nil"/>
              <w:bottom w:val="single" w:sz="2" w:space="0" w:color="auto"/>
              <w:right w:val="nil"/>
            </w:tcBorders>
            <w:shd w:val="clear" w:color="auto" w:fill="auto"/>
            <w:noWrap/>
            <w:vAlign w:val="center"/>
            <w:hideMark/>
          </w:tcPr>
          <w:p w14:paraId="49BEBD40"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2.077.638</w:t>
            </w:r>
          </w:p>
        </w:tc>
        <w:tc>
          <w:tcPr>
            <w:tcW w:w="693" w:type="dxa"/>
            <w:tcBorders>
              <w:top w:val="single" w:sz="2" w:space="0" w:color="auto"/>
              <w:left w:val="nil"/>
              <w:bottom w:val="single" w:sz="2" w:space="0" w:color="auto"/>
              <w:right w:val="nil"/>
            </w:tcBorders>
            <w:shd w:val="clear" w:color="auto" w:fill="auto"/>
            <w:noWrap/>
            <w:vAlign w:val="center"/>
            <w:hideMark/>
          </w:tcPr>
          <w:p w14:paraId="356F0C01"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87</w:t>
            </w:r>
          </w:p>
        </w:tc>
        <w:tc>
          <w:tcPr>
            <w:tcW w:w="726" w:type="dxa"/>
            <w:tcBorders>
              <w:top w:val="single" w:sz="2" w:space="0" w:color="auto"/>
              <w:left w:val="nil"/>
              <w:bottom w:val="single" w:sz="2" w:space="0" w:color="auto"/>
              <w:right w:val="nil"/>
            </w:tcBorders>
            <w:shd w:val="clear" w:color="auto" w:fill="auto"/>
            <w:noWrap/>
            <w:vAlign w:val="center"/>
            <w:hideMark/>
          </w:tcPr>
          <w:p w14:paraId="002C4E58"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80</w:t>
            </w:r>
          </w:p>
        </w:tc>
      </w:tr>
      <w:tr w:rsidR="004473F2" w:rsidRPr="00644A33" w14:paraId="6CE0D743" w14:textId="77777777" w:rsidTr="00D25103">
        <w:trPr>
          <w:trHeight w:val="198"/>
        </w:trPr>
        <w:tc>
          <w:tcPr>
            <w:tcW w:w="0" w:type="auto"/>
            <w:tcBorders>
              <w:top w:val="single" w:sz="2" w:space="0" w:color="auto"/>
              <w:left w:val="nil"/>
              <w:bottom w:val="single" w:sz="2" w:space="0" w:color="auto"/>
              <w:right w:val="nil"/>
            </w:tcBorders>
            <w:shd w:val="clear" w:color="auto" w:fill="auto"/>
            <w:noWrap/>
            <w:vAlign w:val="center"/>
            <w:hideMark/>
          </w:tcPr>
          <w:p w14:paraId="56A4CFEE"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 Enajenación de inversiones reales</w:t>
            </w:r>
          </w:p>
        </w:tc>
        <w:tc>
          <w:tcPr>
            <w:tcW w:w="1120" w:type="dxa"/>
            <w:tcBorders>
              <w:top w:val="single" w:sz="2" w:space="0" w:color="auto"/>
              <w:left w:val="nil"/>
              <w:bottom w:val="single" w:sz="2" w:space="0" w:color="auto"/>
              <w:right w:val="nil"/>
            </w:tcBorders>
            <w:shd w:val="clear" w:color="auto" w:fill="auto"/>
            <w:noWrap/>
            <w:vAlign w:val="center"/>
            <w:hideMark/>
          </w:tcPr>
          <w:p w14:paraId="0BC9C17E"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9.700.000</w:t>
            </w:r>
          </w:p>
        </w:tc>
        <w:tc>
          <w:tcPr>
            <w:tcW w:w="954" w:type="dxa"/>
            <w:tcBorders>
              <w:top w:val="single" w:sz="2" w:space="0" w:color="auto"/>
              <w:left w:val="nil"/>
              <w:bottom w:val="single" w:sz="2" w:space="0" w:color="auto"/>
              <w:right w:val="nil"/>
            </w:tcBorders>
            <w:shd w:val="clear" w:color="auto" w:fill="auto"/>
            <w:noWrap/>
            <w:vAlign w:val="center"/>
            <w:hideMark/>
          </w:tcPr>
          <w:p w14:paraId="5610C50E"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w:t>
            </w:r>
          </w:p>
        </w:tc>
        <w:tc>
          <w:tcPr>
            <w:tcW w:w="1082" w:type="dxa"/>
            <w:tcBorders>
              <w:top w:val="single" w:sz="2" w:space="0" w:color="auto"/>
              <w:left w:val="nil"/>
              <w:bottom w:val="single" w:sz="2" w:space="0" w:color="auto"/>
              <w:right w:val="nil"/>
            </w:tcBorders>
            <w:shd w:val="clear" w:color="auto" w:fill="auto"/>
            <w:noWrap/>
            <w:vAlign w:val="center"/>
            <w:hideMark/>
          </w:tcPr>
          <w:p w14:paraId="5C649276"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9.700.000</w:t>
            </w:r>
          </w:p>
        </w:tc>
        <w:tc>
          <w:tcPr>
            <w:tcW w:w="1157" w:type="dxa"/>
            <w:tcBorders>
              <w:top w:val="single" w:sz="2" w:space="0" w:color="auto"/>
              <w:left w:val="nil"/>
              <w:bottom w:val="single" w:sz="2" w:space="0" w:color="auto"/>
              <w:right w:val="nil"/>
            </w:tcBorders>
            <w:shd w:val="clear" w:color="auto" w:fill="auto"/>
            <w:noWrap/>
            <w:vAlign w:val="center"/>
            <w:hideMark/>
          </w:tcPr>
          <w:p w14:paraId="195393AF"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5.820.059</w:t>
            </w:r>
          </w:p>
        </w:tc>
        <w:tc>
          <w:tcPr>
            <w:tcW w:w="1083" w:type="dxa"/>
            <w:tcBorders>
              <w:top w:val="single" w:sz="2" w:space="0" w:color="auto"/>
              <w:left w:val="nil"/>
              <w:bottom w:val="single" w:sz="2" w:space="0" w:color="auto"/>
              <w:right w:val="nil"/>
            </w:tcBorders>
            <w:shd w:val="clear" w:color="auto" w:fill="auto"/>
            <w:noWrap/>
            <w:vAlign w:val="center"/>
            <w:hideMark/>
          </w:tcPr>
          <w:p w14:paraId="365559BF"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5.820.059</w:t>
            </w:r>
          </w:p>
        </w:tc>
        <w:tc>
          <w:tcPr>
            <w:tcW w:w="693" w:type="dxa"/>
            <w:tcBorders>
              <w:top w:val="single" w:sz="2" w:space="0" w:color="auto"/>
              <w:left w:val="nil"/>
              <w:bottom w:val="single" w:sz="2" w:space="0" w:color="auto"/>
              <w:right w:val="nil"/>
            </w:tcBorders>
            <w:shd w:val="clear" w:color="auto" w:fill="auto"/>
            <w:noWrap/>
            <w:vAlign w:val="center"/>
            <w:hideMark/>
          </w:tcPr>
          <w:p w14:paraId="0360BE92"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60</w:t>
            </w:r>
          </w:p>
        </w:tc>
        <w:tc>
          <w:tcPr>
            <w:tcW w:w="726" w:type="dxa"/>
            <w:tcBorders>
              <w:top w:val="single" w:sz="2" w:space="0" w:color="auto"/>
              <w:left w:val="nil"/>
              <w:bottom w:val="single" w:sz="2" w:space="0" w:color="auto"/>
              <w:right w:val="nil"/>
            </w:tcBorders>
            <w:shd w:val="clear" w:color="auto" w:fill="auto"/>
            <w:noWrap/>
            <w:vAlign w:val="center"/>
            <w:hideMark/>
          </w:tcPr>
          <w:p w14:paraId="317B93C6"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100</w:t>
            </w:r>
          </w:p>
        </w:tc>
      </w:tr>
      <w:tr w:rsidR="004473F2" w:rsidRPr="00644A33" w14:paraId="1963595A" w14:textId="77777777" w:rsidTr="00D25103">
        <w:trPr>
          <w:trHeight w:val="198"/>
        </w:trPr>
        <w:tc>
          <w:tcPr>
            <w:tcW w:w="0" w:type="auto"/>
            <w:tcBorders>
              <w:top w:val="single" w:sz="2" w:space="0" w:color="auto"/>
              <w:left w:val="nil"/>
              <w:bottom w:val="single" w:sz="2" w:space="0" w:color="auto"/>
              <w:right w:val="nil"/>
            </w:tcBorders>
            <w:shd w:val="clear" w:color="auto" w:fill="auto"/>
            <w:noWrap/>
            <w:vAlign w:val="center"/>
            <w:hideMark/>
          </w:tcPr>
          <w:p w14:paraId="08AF185C"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7. Transferencias de capital</w:t>
            </w:r>
          </w:p>
        </w:tc>
        <w:tc>
          <w:tcPr>
            <w:tcW w:w="1120" w:type="dxa"/>
            <w:tcBorders>
              <w:top w:val="single" w:sz="2" w:space="0" w:color="auto"/>
              <w:left w:val="nil"/>
              <w:bottom w:val="single" w:sz="2" w:space="0" w:color="auto"/>
              <w:right w:val="nil"/>
            </w:tcBorders>
            <w:shd w:val="clear" w:color="auto" w:fill="auto"/>
            <w:noWrap/>
            <w:vAlign w:val="center"/>
            <w:hideMark/>
          </w:tcPr>
          <w:p w14:paraId="40462E01"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11.591.810</w:t>
            </w:r>
          </w:p>
        </w:tc>
        <w:tc>
          <w:tcPr>
            <w:tcW w:w="954" w:type="dxa"/>
            <w:tcBorders>
              <w:top w:val="single" w:sz="2" w:space="0" w:color="auto"/>
              <w:left w:val="nil"/>
              <w:bottom w:val="single" w:sz="2" w:space="0" w:color="auto"/>
              <w:right w:val="nil"/>
            </w:tcBorders>
            <w:shd w:val="clear" w:color="auto" w:fill="auto"/>
            <w:noWrap/>
            <w:vAlign w:val="center"/>
            <w:hideMark/>
          </w:tcPr>
          <w:p w14:paraId="5F5FB91F"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664.120</w:t>
            </w:r>
          </w:p>
        </w:tc>
        <w:tc>
          <w:tcPr>
            <w:tcW w:w="1082" w:type="dxa"/>
            <w:tcBorders>
              <w:top w:val="single" w:sz="2" w:space="0" w:color="auto"/>
              <w:left w:val="nil"/>
              <w:bottom w:val="single" w:sz="2" w:space="0" w:color="auto"/>
              <w:right w:val="nil"/>
            </w:tcBorders>
            <w:shd w:val="clear" w:color="auto" w:fill="auto"/>
            <w:noWrap/>
            <w:vAlign w:val="center"/>
            <w:hideMark/>
          </w:tcPr>
          <w:p w14:paraId="764DD584"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12.255.930</w:t>
            </w:r>
          </w:p>
        </w:tc>
        <w:tc>
          <w:tcPr>
            <w:tcW w:w="1157" w:type="dxa"/>
            <w:tcBorders>
              <w:top w:val="single" w:sz="2" w:space="0" w:color="auto"/>
              <w:left w:val="nil"/>
              <w:bottom w:val="single" w:sz="2" w:space="0" w:color="auto"/>
              <w:right w:val="nil"/>
            </w:tcBorders>
            <w:shd w:val="clear" w:color="auto" w:fill="auto"/>
            <w:noWrap/>
            <w:vAlign w:val="center"/>
            <w:hideMark/>
          </w:tcPr>
          <w:p w14:paraId="23052171"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13.085.874</w:t>
            </w:r>
          </w:p>
        </w:tc>
        <w:tc>
          <w:tcPr>
            <w:tcW w:w="1083" w:type="dxa"/>
            <w:tcBorders>
              <w:top w:val="single" w:sz="2" w:space="0" w:color="auto"/>
              <w:left w:val="nil"/>
              <w:bottom w:val="single" w:sz="2" w:space="0" w:color="auto"/>
              <w:right w:val="nil"/>
            </w:tcBorders>
            <w:shd w:val="clear" w:color="auto" w:fill="auto"/>
            <w:noWrap/>
            <w:vAlign w:val="center"/>
            <w:hideMark/>
          </w:tcPr>
          <w:p w14:paraId="16E0A287"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10.050.330</w:t>
            </w:r>
          </w:p>
        </w:tc>
        <w:tc>
          <w:tcPr>
            <w:tcW w:w="693" w:type="dxa"/>
            <w:tcBorders>
              <w:top w:val="single" w:sz="2" w:space="0" w:color="auto"/>
              <w:left w:val="nil"/>
              <w:bottom w:val="single" w:sz="2" w:space="0" w:color="auto"/>
              <w:right w:val="nil"/>
            </w:tcBorders>
            <w:shd w:val="clear" w:color="auto" w:fill="auto"/>
            <w:noWrap/>
            <w:vAlign w:val="center"/>
            <w:hideMark/>
          </w:tcPr>
          <w:p w14:paraId="42C7CA8B"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107</w:t>
            </w:r>
          </w:p>
        </w:tc>
        <w:tc>
          <w:tcPr>
            <w:tcW w:w="726" w:type="dxa"/>
            <w:tcBorders>
              <w:top w:val="single" w:sz="2" w:space="0" w:color="auto"/>
              <w:left w:val="nil"/>
              <w:bottom w:val="single" w:sz="2" w:space="0" w:color="auto"/>
              <w:right w:val="nil"/>
            </w:tcBorders>
            <w:shd w:val="clear" w:color="auto" w:fill="auto"/>
            <w:noWrap/>
            <w:vAlign w:val="center"/>
            <w:hideMark/>
          </w:tcPr>
          <w:p w14:paraId="05B20480"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77</w:t>
            </w:r>
          </w:p>
        </w:tc>
      </w:tr>
      <w:tr w:rsidR="004473F2" w:rsidRPr="00644A33" w14:paraId="101984ED" w14:textId="77777777" w:rsidTr="00D25103">
        <w:trPr>
          <w:trHeight w:val="198"/>
        </w:trPr>
        <w:tc>
          <w:tcPr>
            <w:tcW w:w="0" w:type="auto"/>
            <w:tcBorders>
              <w:top w:val="single" w:sz="2" w:space="0" w:color="auto"/>
              <w:left w:val="nil"/>
              <w:bottom w:val="single" w:sz="2" w:space="0" w:color="auto"/>
              <w:right w:val="nil"/>
            </w:tcBorders>
            <w:shd w:val="clear" w:color="auto" w:fill="auto"/>
            <w:noWrap/>
            <w:vAlign w:val="center"/>
            <w:hideMark/>
          </w:tcPr>
          <w:p w14:paraId="136783AD"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8. Activos financieros</w:t>
            </w:r>
          </w:p>
        </w:tc>
        <w:tc>
          <w:tcPr>
            <w:tcW w:w="1120" w:type="dxa"/>
            <w:tcBorders>
              <w:top w:val="single" w:sz="2" w:space="0" w:color="auto"/>
              <w:left w:val="nil"/>
              <w:bottom w:val="single" w:sz="2" w:space="0" w:color="auto"/>
              <w:right w:val="nil"/>
            </w:tcBorders>
            <w:shd w:val="clear" w:color="auto" w:fill="auto"/>
            <w:noWrap/>
            <w:vAlign w:val="center"/>
            <w:hideMark/>
          </w:tcPr>
          <w:p w14:paraId="05333D3F"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376.000</w:t>
            </w:r>
          </w:p>
        </w:tc>
        <w:tc>
          <w:tcPr>
            <w:tcW w:w="954" w:type="dxa"/>
            <w:tcBorders>
              <w:top w:val="single" w:sz="2" w:space="0" w:color="auto"/>
              <w:left w:val="nil"/>
              <w:bottom w:val="single" w:sz="2" w:space="0" w:color="auto"/>
              <w:right w:val="nil"/>
            </w:tcBorders>
            <w:shd w:val="clear" w:color="auto" w:fill="auto"/>
            <w:noWrap/>
            <w:vAlign w:val="center"/>
            <w:hideMark/>
          </w:tcPr>
          <w:p w14:paraId="19C1529C"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32.395.881</w:t>
            </w:r>
          </w:p>
        </w:tc>
        <w:tc>
          <w:tcPr>
            <w:tcW w:w="1082" w:type="dxa"/>
            <w:tcBorders>
              <w:top w:val="single" w:sz="2" w:space="0" w:color="auto"/>
              <w:left w:val="nil"/>
              <w:bottom w:val="single" w:sz="2" w:space="0" w:color="auto"/>
              <w:right w:val="nil"/>
            </w:tcBorders>
            <w:shd w:val="clear" w:color="auto" w:fill="auto"/>
            <w:noWrap/>
            <w:vAlign w:val="center"/>
            <w:hideMark/>
          </w:tcPr>
          <w:p w14:paraId="288AF168"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32.771.881</w:t>
            </w:r>
          </w:p>
        </w:tc>
        <w:tc>
          <w:tcPr>
            <w:tcW w:w="1157" w:type="dxa"/>
            <w:tcBorders>
              <w:top w:val="single" w:sz="2" w:space="0" w:color="auto"/>
              <w:left w:val="nil"/>
              <w:bottom w:val="single" w:sz="2" w:space="0" w:color="auto"/>
              <w:right w:val="nil"/>
            </w:tcBorders>
            <w:shd w:val="clear" w:color="auto" w:fill="auto"/>
            <w:noWrap/>
            <w:vAlign w:val="center"/>
            <w:hideMark/>
          </w:tcPr>
          <w:p w14:paraId="755BE83D"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130.893</w:t>
            </w:r>
          </w:p>
        </w:tc>
        <w:tc>
          <w:tcPr>
            <w:tcW w:w="1083" w:type="dxa"/>
            <w:tcBorders>
              <w:top w:val="single" w:sz="2" w:space="0" w:color="auto"/>
              <w:left w:val="nil"/>
              <w:bottom w:val="single" w:sz="2" w:space="0" w:color="auto"/>
              <w:right w:val="nil"/>
            </w:tcBorders>
            <w:shd w:val="clear" w:color="auto" w:fill="auto"/>
            <w:noWrap/>
            <w:vAlign w:val="center"/>
            <w:hideMark/>
          </w:tcPr>
          <w:p w14:paraId="61E9549C"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35.827</w:t>
            </w:r>
          </w:p>
        </w:tc>
        <w:tc>
          <w:tcPr>
            <w:tcW w:w="693" w:type="dxa"/>
            <w:tcBorders>
              <w:top w:val="single" w:sz="2" w:space="0" w:color="auto"/>
              <w:left w:val="nil"/>
              <w:bottom w:val="single" w:sz="2" w:space="0" w:color="auto"/>
              <w:right w:val="nil"/>
            </w:tcBorders>
            <w:shd w:val="clear" w:color="auto" w:fill="auto"/>
            <w:noWrap/>
            <w:vAlign w:val="center"/>
            <w:hideMark/>
          </w:tcPr>
          <w:p w14:paraId="4F5FC69A"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0,4</w:t>
            </w:r>
          </w:p>
        </w:tc>
        <w:tc>
          <w:tcPr>
            <w:tcW w:w="726" w:type="dxa"/>
            <w:tcBorders>
              <w:top w:val="single" w:sz="2" w:space="0" w:color="auto"/>
              <w:left w:val="nil"/>
              <w:bottom w:val="single" w:sz="2" w:space="0" w:color="auto"/>
              <w:right w:val="nil"/>
            </w:tcBorders>
            <w:shd w:val="clear" w:color="auto" w:fill="auto"/>
            <w:noWrap/>
            <w:vAlign w:val="center"/>
            <w:hideMark/>
          </w:tcPr>
          <w:p w14:paraId="2852EB4C"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27</w:t>
            </w:r>
          </w:p>
        </w:tc>
      </w:tr>
      <w:tr w:rsidR="004473F2" w:rsidRPr="00644A33" w14:paraId="332E1E5B" w14:textId="77777777" w:rsidTr="00D25103">
        <w:trPr>
          <w:trHeight w:val="198"/>
        </w:trPr>
        <w:tc>
          <w:tcPr>
            <w:tcW w:w="0" w:type="auto"/>
            <w:tcBorders>
              <w:top w:val="single" w:sz="2" w:space="0" w:color="auto"/>
              <w:left w:val="nil"/>
              <w:bottom w:val="single" w:sz="4" w:space="0" w:color="auto"/>
              <w:right w:val="nil"/>
            </w:tcBorders>
            <w:shd w:val="clear" w:color="auto" w:fill="auto"/>
            <w:noWrap/>
            <w:vAlign w:val="center"/>
            <w:hideMark/>
          </w:tcPr>
          <w:p w14:paraId="3E0D220F" w14:textId="77777777" w:rsidR="00807992" w:rsidRPr="00644A33" w:rsidRDefault="00807992" w:rsidP="00807992">
            <w:pPr>
              <w:spacing w:after="0"/>
              <w:ind w:firstLine="0"/>
              <w:jc w:val="lef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9. Pasivos financieros</w:t>
            </w:r>
          </w:p>
        </w:tc>
        <w:tc>
          <w:tcPr>
            <w:tcW w:w="1120" w:type="dxa"/>
            <w:tcBorders>
              <w:top w:val="single" w:sz="2" w:space="0" w:color="auto"/>
              <w:left w:val="nil"/>
              <w:bottom w:val="single" w:sz="4" w:space="0" w:color="auto"/>
              <w:right w:val="nil"/>
            </w:tcBorders>
            <w:shd w:val="clear" w:color="auto" w:fill="auto"/>
            <w:noWrap/>
            <w:vAlign w:val="center"/>
            <w:hideMark/>
          </w:tcPr>
          <w:p w14:paraId="18E06880"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22.680.000</w:t>
            </w:r>
          </w:p>
        </w:tc>
        <w:tc>
          <w:tcPr>
            <w:tcW w:w="954" w:type="dxa"/>
            <w:tcBorders>
              <w:top w:val="single" w:sz="2" w:space="0" w:color="auto"/>
              <w:left w:val="nil"/>
              <w:bottom w:val="single" w:sz="4" w:space="0" w:color="auto"/>
              <w:right w:val="nil"/>
            </w:tcBorders>
            <w:shd w:val="clear" w:color="auto" w:fill="auto"/>
            <w:noWrap/>
            <w:vAlign w:val="center"/>
            <w:hideMark/>
          </w:tcPr>
          <w:p w14:paraId="7415C22D"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w:t>
            </w:r>
          </w:p>
        </w:tc>
        <w:tc>
          <w:tcPr>
            <w:tcW w:w="1082" w:type="dxa"/>
            <w:tcBorders>
              <w:top w:val="single" w:sz="2" w:space="0" w:color="auto"/>
              <w:left w:val="nil"/>
              <w:bottom w:val="single" w:sz="4" w:space="0" w:color="auto"/>
              <w:right w:val="nil"/>
            </w:tcBorders>
            <w:shd w:val="clear" w:color="auto" w:fill="auto"/>
            <w:noWrap/>
            <w:vAlign w:val="center"/>
            <w:hideMark/>
          </w:tcPr>
          <w:p w14:paraId="01C723B9"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22.680.000</w:t>
            </w:r>
          </w:p>
        </w:tc>
        <w:tc>
          <w:tcPr>
            <w:tcW w:w="1157" w:type="dxa"/>
            <w:tcBorders>
              <w:top w:val="single" w:sz="2" w:space="0" w:color="auto"/>
              <w:left w:val="nil"/>
              <w:bottom w:val="single" w:sz="4" w:space="0" w:color="auto"/>
              <w:right w:val="nil"/>
            </w:tcBorders>
            <w:shd w:val="clear" w:color="auto" w:fill="auto"/>
            <w:noWrap/>
            <w:vAlign w:val="center"/>
            <w:hideMark/>
          </w:tcPr>
          <w:p w14:paraId="4FB22EEC"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w:t>
            </w:r>
          </w:p>
        </w:tc>
        <w:tc>
          <w:tcPr>
            <w:tcW w:w="1083" w:type="dxa"/>
            <w:tcBorders>
              <w:top w:val="single" w:sz="2" w:space="0" w:color="auto"/>
              <w:left w:val="nil"/>
              <w:bottom w:val="single" w:sz="4" w:space="0" w:color="auto"/>
              <w:right w:val="nil"/>
            </w:tcBorders>
            <w:shd w:val="clear" w:color="auto" w:fill="auto"/>
            <w:noWrap/>
            <w:vAlign w:val="center"/>
            <w:hideMark/>
          </w:tcPr>
          <w:p w14:paraId="01BEEEDB"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w:t>
            </w:r>
          </w:p>
        </w:tc>
        <w:tc>
          <w:tcPr>
            <w:tcW w:w="693" w:type="dxa"/>
            <w:tcBorders>
              <w:top w:val="single" w:sz="2" w:space="0" w:color="auto"/>
              <w:left w:val="nil"/>
              <w:bottom w:val="single" w:sz="4" w:space="0" w:color="auto"/>
              <w:right w:val="nil"/>
            </w:tcBorders>
            <w:shd w:val="clear" w:color="auto" w:fill="auto"/>
            <w:noWrap/>
            <w:vAlign w:val="center"/>
            <w:hideMark/>
          </w:tcPr>
          <w:p w14:paraId="14DDE6E2"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w:t>
            </w:r>
          </w:p>
        </w:tc>
        <w:tc>
          <w:tcPr>
            <w:tcW w:w="726" w:type="dxa"/>
            <w:tcBorders>
              <w:top w:val="single" w:sz="2" w:space="0" w:color="auto"/>
              <w:left w:val="nil"/>
              <w:bottom w:val="single" w:sz="4" w:space="0" w:color="auto"/>
              <w:right w:val="nil"/>
            </w:tcBorders>
            <w:shd w:val="clear" w:color="auto" w:fill="auto"/>
            <w:noWrap/>
            <w:vAlign w:val="center"/>
            <w:hideMark/>
          </w:tcPr>
          <w:p w14:paraId="1FEF1CBC" w14:textId="77777777" w:rsidR="00807992" w:rsidRPr="00644A33" w:rsidRDefault="00807992" w:rsidP="00807992">
            <w:pPr>
              <w:spacing w:after="0"/>
              <w:ind w:firstLine="0"/>
              <w:jc w:val="right"/>
              <w:rPr>
                <w:rFonts w:ascii="Arial Narrow" w:hAnsi="Arial Narrow" w:cs="Calibri"/>
                <w:color w:val="000000"/>
                <w:sz w:val="16"/>
                <w:szCs w:val="16"/>
                <w:lang w:val="es-ES" w:eastAsia="es-ES"/>
              </w:rPr>
            </w:pPr>
            <w:r w:rsidRPr="00644A33">
              <w:rPr>
                <w:rFonts w:ascii="Arial Narrow" w:hAnsi="Arial Narrow" w:cs="Calibri"/>
                <w:color w:val="000000"/>
                <w:sz w:val="16"/>
                <w:szCs w:val="16"/>
                <w:lang w:val="es-ES" w:eastAsia="es-ES"/>
              </w:rPr>
              <w:t> </w:t>
            </w:r>
          </w:p>
        </w:tc>
      </w:tr>
      <w:tr w:rsidR="004473F2" w:rsidRPr="004473F2" w14:paraId="0EB5656A" w14:textId="77777777" w:rsidTr="00D25103">
        <w:trPr>
          <w:trHeight w:val="255"/>
        </w:trPr>
        <w:tc>
          <w:tcPr>
            <w:tcW w:w="0" w:type="auto"/>
            <w:tcBorders>
              <w:top w:val="single" w:sz="4" w:space="0" w:color="auto"/>
              <w:left w:val="nil"/>
              <w:bottom w:val="single" w:sz="4" w:space="0" w:color="auto"/>
              <w:right w:val="nil"/>
            </w:tcBorders>
            <w:shd w:val="clear" w:color="000000" w:fill="FFCC99"/>
            <w:vAlign w:val="center"/>
            <w:hideMark/>
          </w:tcPr>
          <w:p w14:paraId="0B4F5C88" w14:textId="77777777" w:rsidR="00807992" w:rsidRPr="004473F2" w:rsidRDefault="00807992" w:rsidP="00807992">
            <w:pPr>
              <w:spacing w:after="0"/>
              <w:ind w:firstLine="0"/>
              <w:jc w:val="left"/>
              <w:rPr>
                <w:rFonts w:ascii="Arial" w:hAnsi="Arial" w:cs="Arial"/>
                <w:color w:val="000000"/>
                <w:sz w:val="16"/>
                <w:szCs w:val="16"/>
                <w:lang w:val="es-ES" w:eastAsia="es-ES"/>
              </w:rPr>
            </w:pPr>
            <w:r w:rsidRPr="004473F2">
              <w:rPr>
                <w:rFonts w:ascii="Arial" w:hAnsi="Arial" w:cs="Arial"/>
                <w:color w:val="000000"/>
                <w:sz w:val="16"/>
                <w:szCs w:val="16"/>
                <w:lang w:val="es-ES" w:eastAsia="es-ES"/>
              </w:rPr>
              <w:t>Total</w:t>
            </w:r>
          </w:p>
        </w:tc>
        <w:tc>
          <w:tcPr>
            <w:tcW w:w="1120" w:type="dxa"/>
            <w:tcBorders>
              <w:top w:val="single" w:sz="4" w:space="0" w:color="auto"/>
              <w:left w:val="nil"/>
              <w:bottom w:val="single" w:sz="4" w:space="0" w:color="auto"/>
              <w:right w:val="nil"/>
            </w:tcBorders>
            <w:shd w:val="clear" w:color="000000" w:fill="FFCC99"/>
            <w:vAlign w:val="center"/>
            <w:hideMark/>
          </w:tcPr>
          <w:p w14:paraId="7E9D8E37" w14:textId="77777777" w:rsidR="00807992" w:rsidRPr="004473F2" w:rsidRDefault="00807992" w:rsidP="00807992">
            <w:pPr>
              <w:spacing w:after="0"/>
              <w:ind w:firstLine="0"/>
              <w:jc w:val="right"/>
              <w:rPr>
                <w:rFonts w:ascii="Arial" w:hAnsi="Arial" w:cs="Arial"/>
                <w:color w:val="000000"/>
                <w:sz w:val="16"/>
                <w:szCs w:val="16"/>
                <w:lang w:val="es-ES" w:eastAsia="es-ES"/>
              </w:rPr>
            </w:pPr>
            <w:r w:rsidRPr="004473F2">
              <w:rPr>
                <w:rFonts w:ascii="Arial" w:hAnsi="Arial" w:cs="Arial"/>
                <w:color w:val="000000"/>
                <w:sz w:val="16"/>
                <w:szCs w:val="16"/>
                <w:lang w:val="es-ES" w:eastAsia="es-ES"/>
              </w:rPr>
              <w:t>248.075.238</w:t>
            </w:r>
          </w:p>
        </w:tc>
        <w:tc>
          <w:tcPr>
            <w:tcW w:w="954" w:type="dxa"/>
            <w:tcBorders>
              <w:top w:val="single" w:sz="4" w:space="0" w:color="auto"/>
              <w:left w:val="nil"/>
              <w:bottom w:val="single" w:sz="4" w:space="0" w:color="auto"/>
              <w:right w:val="nil"/>
            </w:tcBorders>
            <w:shd w:val="clear" w:color="000000" w:fill="FFCC99"/>
            <w:vAlign w:val="center"/>
            <w:hideMark/>
          </w:tcPr>
          <w:p w14:paraId="7D65D8C0" w14:textId="77777777" w:rsidR="00807992" w:rsidRPr="004473F2" w:rsidRDefault="00807992" w:rsidP="00807992">
            <w:pPr>
              <w:spacing w:after="0"/>
              <w:ind w:firstLine="0"/>
              <w:jc w:val="right"/>
              <w:rPr>
                <w:rFonts w:ascii="Arial" w:hAnsi="Arial" w:cs="Arial"/>
                <w:color w:val="000000"/>
                <w:sz w:val="16"/>
                <w:szCs w:val="16"/>
                <w:lang w:val="es-ES" w:eastAsia="es-ES"/>
              </w:rPr>
            </w:pPr>
            <w:r w:rsidRPr="004473F2">
              <w:rPr>
                <w:rFonts w:ascii="Arial" w:hAnsi="Arial" w:cs="Arial"/>
                <w:color w:val="000000"/>
                <w:sz w:val="16"/>
                <w:szCs w:val="16"/>
                <w:lang w:val="es-ES" w:eastAsia="es-ES"/>
              </w:rPr>
              <w:t>33.060.001</w:t>
            </w:r>
          </w:p>
        </w:tc>
        <w:tc>
          <w:tcPr>
            <w:tcW w:w="1082" w:type="dxa"/>
            <w:tcBorders>
              <w:top w:val="single" w:sz="4" w:space="0" w:color="auto"/>
              <w:left w:val="nil"/>
              <w:bottom w:val="single" w:sz="4" w:space="0" w:color="auto"/>
              <w:right w:val="nil"/>
            </w:tcBorders>
            <w:shd w:val="clear" w:color="000000" w:fill="FFCC99"/>
            <w:vAlign w:val="center"/>
            <w:hideMark/>
          </w:tcPr>
          <w:p w14:paraId="473938DB" w14:textId="77777777" w:rsidR="00807992" w:rsidRPr="004473F2" w:rsidRDefault="00962B2B" w:rsidP="00807992">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281.135.239</w:t>
            </w:r>
          </w:p>
        </w:tc>
        <w:tc>
          <w:tcPr>
            <w:tcW w:w="1157" w:type="dxa"/>
            <w:tcBorders>
              <w:top w:val="single" w:sz="4" w:space="0" w:color="auto"/>
              <w:left w:val="nil"/>
              <w:bottom w:val="single" w:sz="4" w:space="0" w:color="auto"/>
              <w:right w:val="nil"/>
            </w:tcBorders>
            <w:shd w:val="clear" w:color="000000" w:fill="FFCC99"/>
            <w:vAlign w:val="center"/>
            <w:hideMark/>
          </w:tcPr>
          <w:p w14:paraId="7947142E" w14:textId="77777777" w:rsidR="00807992" w:rsidRPr="004473F2" w:rsidRDefault="00807992" w:rsidP="00807992">
            <w:pPr>
              <w:spacing w:after="0"/>
              <w:ind w:firstLine="0"/>
              <w:jc w:val="right"/>
              <w:rPr>
                <w:rFonts w:ascii="Arial" w:hAnsi="Arial" w:cs="Arial"/>
                <w:color w:val="000000"/>
                <w:sz w:val="16"/>
                <w:szCs w:val="16"/>
                <w:lang w:val="es-ES" w:eastAsia="es-ES"/>
              </w:rPr>
            </w:pPr>
            <w:r w:rsidRPr="004473F2">
              <w:rPr>
                <w:rFonts w:ascii="Arial" w:hAnsi="Arial" w:cs="Arial"/>
                <w:color w:val="000000"/>
                <w:sz w:val="16"/>
                <w:szCs w:val="16"/>
                <w:lang w:val="es-ES" w:eastAsia="es-ES"/>
              </w:rPr>
              <w:t>241.660.051</w:t>
            </w:r>
          </w:p>
        </w:tc>
        <w:tc>
          <w:tcPr>
            <w:tcW w:w="1083" w:type="dxa"/>
            <w:tcBorders>
              <w:top w:val="single" w:sz="4" w:space="0" w:color="auto"/>
              <w:left w:val="nil"/>
              <w:bottom w:val="single" w:sz="4" w:space="0" w:color="auto"/>
              <w:right w:val="nil"/>
            </w:tcBorders>
            <w:shd w:val="clear" w:color="000000" w:fill="FFCC99"/>
            <w:vAlign w:val="center"/>
            <w:hideMark/>
          </w:tcPr>
          <w:p w14:paraId="36DE14C2" w14:textId="77777777" w:rsidR="00807992" w:rsidRPr="004473F2" w:rsidRDefault="00807992" w:rsidP="00807992">
            <w:pPr>
              <w:spacing w:after="0"/>
              <w:ind w:firstLine="0"/>
              <w:jc w:val="right"/>
              <w:rPr>
                <w:rFonts w:ascii="Arial" w:hAnsi="Arial" w:cs="Arial"/>
                <w:color w:val="000000"/>
                <w:sz w:val="16"/>
                <w:szCs w:val="16"/>
                <w:lang w:val="es-ES" w:eastAsia="es-ES"/>
              </w:rPr>
            </w:pPr>
            <w:r w:rsidRPr="004473F2">
              <w:rPr>
                <w:rFonts w:ascii="Arial" w:hAnsi="Arial" w:cs="Arial"/>
                <w:color w:val="000000"/>
                <w:sz w:val="16"/>
                <w:szCs w:val="16"/>
                <w:lang w:val="es-ES" w:eastAsia="es-ES"/>
              </w:rPr>
              <w:t>226.162.600</w:t>
            </w:r>
          </w:p>
        </w:tc>
        <w:tc>
          <w:tcPr>
            <w:tcW w:w="693" w:type="dxa"/>
            <w:tcBorders>
              <w:top w:val="single" w:sz="4" w:space="0" w:color="auto"/>
              <w:left w:val="nil"/>
              <w:bottom w:val="single" w:sz="4" w:space="0" w:color="auto"/>
              <w:right w:val="nil"/>
            </w:tcBorders>
            <w:shd w:val="clear" w:color="000000" w:fill="FFCC99"/>
            <w:vAlign w:val="center"/>
            <w:hideMark/>
          </w:tcPr>
          <w:p w14:paraId="00CF2D9F" w14:textId="77777777" w:rsidR="00807992" w:rsidRPr="004473F2" w:rsidRDefault="00807992" w:rsidP="00807992">
            <w:pPr>
              <w:spacing w:after="0"/>
              <w:ind w:firstLine="0"/>
              <w:jc w:val="right"/>
              <w:rPr>
                <w:rFonts w:ascii="Arial" w:hAnsi="Arial" w:cs="Arial"/>
                <w:color w:val="000000"/>
                <w:sz w:val="16"/>
                <w:szCs w:val="16"/>
                <w:lang w:val="es-ES" w:eastAsia="es-ES"/>
              </w:rPr>
            </w:pPr>
            <w:r w:rsidRPr="004473F2">
              <w:rPr>
                <w:rFonts w:ascii="Arial" w:hAnsi="Arial" w:cs="Arial"/>
                <w:color w:val="000000"/>
                <w:sz w:val="16"/>
                <w:szCs w:val="16"/>
                <w:lang w:val="es-ES" w:eastAsia="es-ES"/>
              </w:rPr>
              <w:t>86</w:t>
            </w:r>
          </w:p>
        </w:tc>
        <w:tc>
          <w:tcPr>
            <w:tcW w:w="726" w:type="dxa"/>
            <w:tcBorders>
              <w:top w:val="single" w:sz="4" w:space="0" w:color="auto"/>
              <w:left w:val="nil"/>
              <w:bottom w:val="single" w:sz="4" w:space="0" w:color="auto"/>
              <w:right w:val="nil"/>
            </w:tcBorders>
            <w:shd w:val="clear" w:color="000000" w:fill="FFCC99"/>
            <w:vAlign w:val="center"/>
            <w:hideMark/>
          </w:tcPr>
          <w:p w14:paraId="2715E9C1" w14:textId="77777777" w:rsidR="00807992" w:rsidRPr="004473F2" w:rsidRDefault="00807992" w:rsidP="00807992">
            <w:pPr>
              <w:spacing w:after="0"/>
              <w:ind w:firstLine="0"/>
              <w:jc w:val="right"/>
              <w:rPr>
                <w:rFonts w:ascii="Arial" w:hAnsi="Arial" w:cs="Arial"/>
                <w:color w:val="000000"/>
                <w:sz w:val="16"/>
                <w:szCs w:val="16"/>
                <w:lang w:val="es-ES" w:eastAsia="es-ES"/>
              </w:rPr>
            </w:pPr>
            <w:r w:rsidRPr="004473F2">
              <w:rPr>
                <w:rFonts w:ascii="Arial" w:hAnsi="Arial" w:cs="Arial"/>
                <w:color w:val="000000"/>
                <w:sz w:val="16"/>
                <w:szCs w:val="16"/>
                <w:lang w:val="es-ES" w:eastAsia="es-ES"/>
              </w:rPr>
              <w:t>94</w:t>
            </w:r>
          </w:p>
        </w:tc>
      </w:tr>
    </w:tbl>
    <w:p w14:paraId="60003962" w14:textId="77777777" w:rsidR="00807992" w:rsidRDefault="00807992" w:rsidP="0080799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p>
    <w:p w14:paraId="03A64AB2" w14:textId="77777777" w:rsidR="001E3532" w:rsidRDefault="001E3532" w:rsidP="00CA5DFB">
      <w:pPr>
        <w:tabs>
          <w:tab w:val="center" w:pos="2835"/>
          <w:tab w:val="center" w:pos="3969"/>
          <w:tab w:val="center" w:pos="5103"/>
          <w:tab w:val="center" w:pos="6237"/>
          <w:tab w:val="center" w:pos="7371"/>
        </w:tabs>
        <w:spacing w:after="100"/>
        <w:ind w:firstLine="284"/>
        <w:jc w:val="center"/>
        <w:rPr>
          <w:rFonts w:ascii="Arial" w:hAnsi="Arial" w:cs="Arial"/>
          <w:spacing w:val="6"/>
        </w:rPr>
      </w:pPr>
      <w:bookmarkStart w:id="73" w:name="_Toc22495437"/>
      <w:bookmarkStart w:id="74" w:name="_Toc55460322"/>
    </w:p>
    <w:p w14:paraId="1D8C419E" w14:textId="77777777" w:rsidR="001E3532" w:rsidRDefault="001E3532" w:rsidP="00CA5DFB">
      <w:pPr>
        <w:tabs>
          <w:tab w:val="center" w:pos="2835"/>
          <w:tab w:val="center" w:pos="3969"/>
          <w:tab w:val="center" w:pos="5103"/>
          <w:tab w:val="center" w:pos="6237"/>
          <w:tab w:val="center" w:pos="7371"/>
        </w:tabs>
        <w:spacing w:after="100"/>
        <w:ind w:firstLine="284"/>
        <w:jc w:val="center"/>
        <w:rPr>
          <w:rFonts w:ascii="Arial" w:hAnsi="Arial" w:cs="Arial"/>
          <w:spacing w:val="6"/>
        </w:rPr>
      </w:pPr>
    </w:p>
    <w:p w14:paraId="28BE11A8" w14:textId="77777777" w:rsidR="001E3532" w:rsidRDefault="001E3532" w:rsidP="00CA5DFB">
      <w:pPr>
        <w:tabs>
          <w:tab w:val="center" w:pos="2835"/>
          <w:tab w:val="center" w:pos="3969"/>
          <w:tab w:val="center" w:pos="5103"/>
          <w:tab w:val="center" w:pos="6237"/>
          <w:tab w:val="center" w:pos="7371"/>
        </w:tabs>
        <w:spacing w:after="100"/>
        <w:ind w:firstLine="284"/>
        <w:jc w:val="center"/>
        <w:rPr>
          <w:rFonts w:ascii="Arial" w:hAnsi="Arial" w:cs="Arial"/>
          <w:spacing w:val="6"/>
        </w:rPr>
      </w:pPr>
    </w:p>
    <w:p w14:paraId="1EB829E8" w14:textId="77777777" w:rsidR="001E3532" w:rsidRDefault="001E3532" w:rsidP="00CA5DFB">
      <w:pPr>
        <w:tabs>
          <w:tab w:val="center" w:pos="2835"/>
          <w:tab w:val="center" w:pos="3969"/>
          <w:tab w:val="center" w:pos="5103"/>
          <w:tab w:val="center" w:pos="6237"/>
          <w:tab w:val="center" w:pos="7371"/>
        </w:tabs>
        <w:spacing w:after="100"/>
        <w:ind w:firstLine="284"/>
        <w:jc w:val="center"/>
        <w:rPr>
          <w:rFonts w:ascii="Arial" w:hAnsi="Arial" w:cs="Arial"/>
          <w:spacing w:val="6"/>
        </w:rPr>
      </w:pPr>
    </w:p>
    <w:p w14:paraId="1A2C74E3" w14:textId="77777777" w:rsidR="001E3532" w:rsidRDefault="001E3532" w:rsidP="00CA5DFB">
      <w:pPr>
        <w:tabs>
          <w:tab w:val="center" w:pos="2835"/>
          <w:tab w:val="center" w:pos="3969"/>
          <w:tab w:val="center" w:pos="5103"/>
          <w:tab w:val="center" w:pos="6237"/>
          <w:tab w:val="center" w:pos="7371"/>
        </w:tabs>
        <w:spacing w:after="100"/>
        <w:ind w:firstLine="284"/>
        <w:jc w:val="center"/>
        <w:rPr>
          <w:rFonts w:ascii="Arial" w:hAnsi="Arial" w:cs="Arial"/>
          <w:spacing w:val="6"/>
        </w:rPr>
      </w:pPr>
    </w:p>
    <w:p w14:paraId="368CE682" w14:textId="77777777" w:rsidR="001E3532" w:rsidRDefault="001E3532" w:rsidP="00CA5DFB">
      <w:pPr>
        <w:tabs>
          <w:tab w:val="center" w:pos="2835"/>
          <w:tab w:val="center" w:pos="3969"/>
          <w:tab w:val="center" w:pos="5103"/>
          <w:tab w:val="center" w:pos="6237"/>
          <w:tab w:val="center" w:pos="7371"/>
        </w:tabs>
        <w:spacing w:after="100"/>
        <w:ind w:firstLine="284"/>
        <w:jc w:val="center"/>
        <w:rPr>
          <w:rFonts w:ascii="Arial" w:hAnsi="Arial" w:cs="Arial"/>
          <w:spacing w:val="6"/>
        </w:rPr>
      </w:pPr>
    </w:p>
    <w:p w14:paraId="5673CBFD" w14:textId="77777777" w:rsidR="001E3532" w:rsidRDefault="001E3532" w:rsidP="00CA5DFB">
      <w:pPr>
        <w:tabs>
          <w:tab w:val="center" w:pos="2835"/>
          <w:tab w:val="center" w:pos="3969"/>
          <w:tab w:val="center" w:pos="5103"/>
          <w:tab w:val="center" w:pos="6237"/>
          <w:tab w:val="center" w:pos="7371"/>
        </w:tabs>
        <w:spacing w:after="100"/>
        <w:ind w:firstLine="284"/>
        <w:jc w:val="center"/>
        <w:rPr>
          <w:rFonts w:ascii="Arial" w:hAnsi="Arial" w:cs="Arial"/>
          <w:spacing w:val="6"/>
        </w:rPr>
      </w:pPr>
    </w:p>
    <w:p w14:paraId="33657CAE" w14:textId="77777777" w:rsidR="00807992" w:rsidRPr="00CA5DFB" w:rsidRDefault="00807992" w:rsidP="00CA5DFB">
      <w:pPr>
        <w:tabs>
          <w:tab w:val="center" w:pos="2835"/>
          <w:tab w:val="center" w:pos="3969"/>
          <w:tab w:val="center" w:pos="5103"/>
          <w:tab w:val="center" w:pos="6237"/>
          <w:tab w:val="center" w:pos="7371"/>
        </w:tabs>
        <w:spacing w:after="100"/>
        <w:ind w:firstLine="284"/>
        <w:jc w:val="center"/>
        <w:rPr>
          <w:rFonts w:ascii="Arial" w:hAnsi="Arial" w:cs="Arial"/>
          <w:spacing w:val="6"/>
        </w:rPr>
      </w:pPr>
      <w:r w:rsidRPr="00CA5DFB">
        <w:rPr>
          <w:rFonts w:ascii="Arial" w:hAnsi="Arial" w:cs="Arial"/>
          <w:spacing w:val="6"/>
        </w:rPr>
        <w:t xml:space="preserve">Resultado presupuestario </w:t>
      </w:r>
      <w:bookmarkEnd w:id="73"/>
      <w:r w:rsidRPr="00CA5DFB">
        <w:rPr>
          <w:rFonts w:ascii="Arial" w:hAnsi="Arial" w:cs="Arial"/>
          <w:spacing w:val="6"/>
        </w:rPr>
        <w:t>consolidado del ejercicio 20</w:t>
      </w:r>
      <w:bookmarkEnd w:id="74"/>
      <w:r w:rsidRPr="00CA5DFB">
        <w:rPr>
          <w:rFonts w:ascii="Arial" w:hAnsi="Arial" w:cs="Arial"/>
          <w:spacing w:val="6"/>
        </w:rPr>
        <w:t>21</w:t>
      </w:r>
    </w:p>
    <w:p w14:paraId="576CFBE5" w14:textId="77777777" w:rsidR="00807992" w:rsidRDefault="00807992" w:rsidP="00823774">
      <w:pPr>
        <w:keepLines/>
        <w:tabs>
          <w:tab w:val="right" w:pos="2835"/>
          <w:tab w:val="right" w:pos="3969"/>
          <w:tab w:val="right" w:pos="5103"/>
          <w:tab w:val="right" w:pos="6237"/>
          <w:tab w:val="right" w:pos="7371"/>
        </w:tabs>
        <w:spacing w:after="240"/>
        <w:ind w:firstLine="0"/>
        <w:jc w:val="center"/>
        <w:rPr>
          <w:rFonts w:ascii="Arial" w:hAnsi="Arial"/>
          <w:spacing w:val="6"/>
          <w:szCs w:val="24"/>
        </w:rPr>
      </w:pPr>
      <w:r w:rsidRPr="00667DFF">
        <w:rPr>
          <w:rFonts w:ascii="Arial" w:hAnsi="Arial"/>
          <w:spacing w:val="6"/>
          <w:szCs w:val="24"/>
        </w:rPr>
        <w:t>(Ayuntamiento y OOAA)</w:t>
      </w:r>
    </w:p>
    <w:tbl>
      <w:tblPr>
        <w:tblW w:w="8931" w:type="dxa"/>
        <w:tblCellMar>
          <w:left w:w="70" w:type="dxa"/>
          <w:right w:w="70" w:type="dxa"/>
        </w:tblCellMar>
        <w:tblLook w:val="04A0" w:firstRow="1" w:lastRow="0" w:firstColumn="1" w:lastColumn="0" w:noHBand="0" w:noVBand="1"/>
      </w:tblPr>
      <w:tblGrid>
        <w:gridCol w:w="3760"/>
        <w:gridCol w:w="3186"/>
        <w:gridCol w:w="1985"/>
      </w:tblGrid>
      <w:tr w:rsidR="00807992" w:rsidRPr="00644A33" w14:paraId="347FD555" w14:textId="77777777" w:rsidTr="005D104E">
        <w:trPr>
          <w:trHeight w:val="255"/>
        </w:trPr>
        <w:tc>
          <w:tcPr>
            <w:tcW w:w="3760" w:type="dxa"/>
            <w:tcBorders>
              <w:top w:val="single" w:sz="4" w:space="0" w:color="auto"/>
              <w:left w:val="nil"/>
              <w:bottom w:val="single" w:sz="4" w:space="0" w:color="auto"/>
              <w:right w:val="nil"/>
            </w:tcBorders>
            <w:shd w:val="clear" w:color="auto" w:fill="FABF8F" w:themeFill="accent6" w:themeFillTint="99"/>
            <w:noWrap/>
            <w:vAlign w:val="center"/>
            <w:hideMark/>
          </w:tcPr>
          <w:p w14:paraId="0B08747C" w14:textId="77777777" w:rsidR="00807992" w:rsidRPr="00644A33" w:rsidRDefault="00807992" w:rsidP="00807992">
            <w:pPr>
              <w:spacing w:after="0"/>
              <w:ind w:firstLine="0"/>
              <w:jc w:val="left"/>
              <w:rPr>
                <w:rFonts w:ascii="Arial" w:hAnsi="Arial" w:cs="Arial"/>
                <w:color w:val="000000"/>
                <w:sz w:val="18"/>
                <w:szCs w:val="18"/>
                <w:lang w:val="es-ES" w:eastAsia="es-ES"/>
              </w:rPr>
            </w:pPr>
            <w:r w:rsidRPr="00644A33">
              <w:rPr>
                <w:rFonts w:ascii="Arial" w:hAnsi="Arial" w:cs="Arial"/>
                <w:color w:val="000000"/>
                <w:sz w:val="18"/>
                <w:szCs w:val="18"/>
                <w:lang w:val="es-ES" w:eastAsia="es-ES"/>
              </w:rPr>
              <w:t>Concepto</w:t>
            </w:r>
          </w:p>
        </w:tc>
        <w:tc>
          <w:tcPr>
            <w:tcW w:w="3186" w:type="dxa"/>
            <w:tcBorders>
              <w:top w:val="single" w:sz="4" w:space="0" w:color="auto"/>
              <w:left w:val="nil"/>
              <w:bottom w:val="single" w:sz="4" w:space="0" w:color="auto"/>
              <w:right w:val="nil"/>
            </w:tcBorders>
            <w:shd w:val="clear" w:color="auto" w:fill="FABF8F" w:themeFill="accent6" w:themeFillTint="99"/>
            <w:noWrap/>
            <w:vAlign w:val="center"/>
            <w:hideMark/>
          </w:tcPr>
          <w:p w14:paraId="5E6968ED" w14:textId="77777777" w:rsidR="00807992" w:rsidRPr="00644A33" w:rsidRDefault="00807992" w:rsidP="00807992">
            <w:pPr>
              <w:spacing w:after="0"/>
              <w:ind w:firstLine="0"/>
              <w:jc w:val="right"/>
              <w:rPr>
                <w:rFonts w:ascii="Arial" w:hAnsi="Arial" w:cs="Arial"/>
                <w:color w:val="000000"/>
                <w:sz w:val="18"/>
                <w:szCs w:val="18"/>
                <w:lang w:val="es-ES" w:eastAsia="es-ES"/>
              </w:rPr>
            </w:pPr>
            <w:r w:rsidRPr="00644A33">
              <w:rPr>
                <w:rFonts w:ascii="Arial" w:hAnsi="Arial" w:cs="Arial"/>
                <w:color w:val="000000"/>
                <w:sz w:val="18"/>
                <w:szCs w:val="18"/>
                <w:lang w:val="es-ES" w:eastAsia="es-ES"/>
              </w:rPr>
              <w:t>2020</w:t>
            </w:r>
          </w:p>
        </w:tc>
        <w:tc>
          <w:tcPr>
            <w:tcW w:w="1985" w:type="dxa"/>
            <w:tcBorders>
              <w:top w:val="single" w:sz="4" w:space="0" w:color="auto"/>
              <w:left w:val="nil"/>
              <w:bottom w:val="single" w:sz="4" w:space="0" w:color="auto"/>
              <w:right w:val="nil"/>
            </w:tcBorders>
            <w:shd w:val="clear" w:color="auto" w:fill="FABF8F" w:themeFill="accent6" w:themeFillTint="99"/>
            <w:noWrap/>
            <w:vAlign w:val="center"/>
            <w:hideMark/>
          </w:tcPr>
          <w:p w14:paraId="0CEB2890" w14:textId="77777777" w:rsidR="00807992" w:rsidRPr="00644A33" w:rsidRDefault="00807992" w:rsidP="00807992">
            <w:pPr>
              <w:spacing w:after="0"/>
              <w:ind w:firstLine="0"/>
              <w:jc w:val="right"/>
              <w:rPr>
                <w:rFonts w:ascii="Arial" w:hAnsi="Arial" w:cs="Arial"/>
                <w:color w:val="000000"/>
                <w:sz w:val="18"/>
                <w:szCs w:val="18"/>
                <w:lang w:val="es-ES" w:eastAsia="es-ES"/>
              </w:rPr>
            </w:pPr>
            <w:r w:rsidRPr="00644A33">
              <w:rPr>
                <w:rFonts w:ascii="Arial" w:hAnsi="Arial" w:cs="Arial"/>
                <w:color w:val="000000"/>
                <w:sz w:val="18"/>
                <w:szCs w:val="18"/>
                <w:lang w:val="es-ES" w:eastAsia="es-ES"/>
              </w:rPr>
              <w:t>2021</w:t>
            </w:r>
          </w:p>
        </w:tc>
      </w:tr>
      <w:tr w:rsidR="00807992" w:rsidRPr="005A0253" w14:paraId="220579EB" w14:textId="77777777" w:rsidTr="005D104E">
        <w:trPr>
          <w:trHeight w:val="198"/>
        </w:trPr>
        <w:tc>
          <w:tcPr>
            <w:tcW w:w="3760" w:type="dxa"/>
            <w:tcBorders>
              <w:top w:val="single" w:sz="4" w:space="0" w:color="auto"/>
              <w:left w:val="nil"/>
              <w:bottom w:val="single" w:sz="2" w:space="0" w:color="auto"/>
              <w:right w:val="nil"/>
            </w:tcBorders>
            <w:shd w:val="clear" w:color="auto" w:fill="auto"/>
            <w:vAlign w:val="center"/>
            <w:hideMark/>
          </w:tcPr>
          <w:p w14:paraId="2728007D" w14:textId="77777777" w:rsidR="00807992" w:rsidRPr="005A0253" w:rsidRDefault="00807992" w:rsidP="00807992">
            <w:pPr>
              <w:spacing w:after="0"/>
              <w:ind w:firstLine="0"/>
              <w:jc w:val="left"/>
              <w:rPr>
                <w:rFonts w:ascii="Arial Narrow" w:hAnsi="Arial Narrow" w:cs="Calibri"/>
                <w:color w:val="000000"/>
                <w:lang w:val="es-ES" w:eastAsia="es-ES"/>
              </w:rPr>
            </w:pPr>
            <w:r w:rsidRPr="005A0253">
              <w:rPr>
                <w:rFonts w:ascii="Arial Narrow" w:hAnsi="Arial Narrow" w:cs="Calibri"/>
                <w:color w:val="000000"/>
                <w:lang w:eastAsia="es-ES"/>
              </w:rPr>
              <w:t>Derechos reconocidos netos</w:t>
            </w:r>
          </w:p>
        </w:tc>
        <w:tc>
          <w:tcPr>
            <w:tcW w:w="3186" w:type="dxa"/>
            <w:tcBorders>
              <w:top w:val="single" w:sz="4" w:space="0" w:color="auto"/>
              <w:left w:val="nil"/>
              <w:bottom w:val="single" w:sz="2" w:space="0" w:color="auto"/>
              <w:right w:val="nil"/>
            </w:tcBorders>
            <w:shd w:val="clear" w:color="auto" w:fill="auto"/>
            <w:noWrap/>
            <w:vAlign w:val="center"/>
            <w:hideMark/>
          </w:tcPr>
          <w:p w14:paraId="44A77062"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226.772.039</w:t>
            </w:r>
          </w:p>
        </w:tc>
        <w:tc>
          <w:tcPr>
            <w:tcW w:w="1985" w:type="dxa"/>
            <w:tcBorders>
              <w:top w:val="single" w:sz="4" w:space="0" w:color="auto"/>
              <w:left w:val="nil"/>
              <w:bottom w:val="single" w:sz="2" w:space="0" w:color="auto"/>
              <w:right w:val="nil"/>
            </w:tcBorders>
            <w:shd w:val="clear" w:color="auto" w:fill="auto"/>
            <w:noWrap/>
            <w:vAlign w:val="center"/>
            <w:hideMark/>
          </w:tcPr>
          <w:p w14:paraId="668F498C"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241.660.051</w:t>
            </w:r>
          </w:p>
        </w:tc>
      </w:tr>
      <w:tr w:rsidR="00807992" w:rsidRPr="005A0253" w14:paraId="07D34F82" w14:textId="77777777" w:rsidTr="00645629">
        <w:trPr>
          <w:trHeight w:val="198"/>
        </w:trPr>
        <w:tc>
          <w:tcPr>
            <w:tcW w:w="3760" w:type="dxa"/>
            <w:tcBorders>
              <w:top w:val="single" w:sz="2" w:space="0" w:color="auto"/>
              <w:left w:val="nil"/>
              <w:bottom w:val="single" w:sz="2" w:space="0" w:color="auto"/>
              <w:right w:val="nil"/>
            </w:tcBorders>
            <w:shd w:val="clear" w:color="auto" w:fill="auto"/>
            <w:vAlign w:val="center"/>
            <w:hideMark/>
          </w:tcPr>
          <w:p w14:paraId="47230217" w14:textId="77777777" w:rsidR="00807992" w:rsidRPr="005A0253" w:rsidRDefault="00807992" w:rsidP="00807992">
            <w:pPr>
              <w:spacing w:after="0"/>
              <w:ind w:firstLine="0"/>
              <w:jc w:val="left"/>
              <w:rPr>
                <w:rFonts w:ascii="Arial Narrow" w:hAnsi="Arial Narrow" w:cs="Calibri"/>
                <w:color w:val="000000"/>
                <w:lang w:val="es-ES" w:eastAsia="es-ES"/>
              </w:rPr>
            </w:pPr>
            <w:r w:rsidRPr="005A0253">
              <w:rPr>
                <w:rFonts w:ascii="Arial Narrow" w:hAnsi="Arial Narrow" w:cs="Calibri"/>
                <w:color w:val="000000"/>
                <w:lang w:eastAsia="es-ES"/>
              </w:rPr>
              <w:t>Obligaciones reconocidas netas</w:t>
            </w:r>
          </w:p>
        </w:tc>
        <w:tc>
          <w:tcPr>
            <w:tcW w:w="3186" w:type="dxa"/>
            <w:tcBorders>
              <w:top w:val="single" w:sz="2" w:space="0" w:color="auto"/>
              <w:left w:val="nil"/>
              <w:bottom w:val="single" w:sz="2" w:space="0" w:color="auto"/>
              <w:right w:val="nil"/>
            </w:tcBorders>
            <w:shd w:val="clear" w:color="auto" w:fill="auto"/>
            <w:noWrap/>
            <w:vAlign w:val="center"/>
            <w:hideMark/>
          </w:tcPr>
          <w:p w14:paraId="2513FE67"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-210.384.118</w:t>
            </w:r>
          </w:p>
        </w:tc>
        <w:tc>
          <w:tcPr>
            <w:tcW w:w="1985" w:type="dxa"/>
            <w:tcBorders>
              <w:top w:val="single" w:sz="2" w:space="0" w:color="auto"/>
              <w:left w:val="nil"/>
              <w:bottom w:val="single" w:sz="2" w:space="0" w:color="auto"/>
              <w:right w:val="nil"/>
            </w:tcBorders>
            <w:shd w:val="clear" w:color="auto" w:fill="auto"/>
            <w:noWrap/>
            <w:vAlign w:val="center"/>
            <w:hideMark/>
          </w:tcPr>
          <w:p w14:paraId="0B138B4A"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-255.110.762</w:t>
            </w:r>
          </w:p>
        </w:tc>
      </w:tr>
      <w:tr w:rsidR="00807992" w:rsidRPr="005A0253" w14:paraId="1F5C3311" w14:textId="77777777" w:rsidTr="00645629">
        <w:trPr>
          <w:trHeight w:val="198"/>
        </w:trPr>
        <w:tc>
          <w:tcPr>
            <w:tcW w:w="3760" w:type="dxa"/>
            <w:tcBorders>
              <w:top w:val="single" w:sz="2" w:space="0" w:color="auto"/>
              <w:left w:val="nil"/>
              <w:bottom w:val="single" w:sz="2" w:space="0" w:color="auto"/>
              <w:right w:val="nil"/>
            </w:tcBorders>
            <w:shd w:val="clear" w:color="auto" w:fill="auto"/>
            <w:vAlign w:val="center"/>
            <w:hideMark/>
          </w:tcPr>
          <w:p w14:paraId="509DD57D" w14:textId="77777777" w:rsidR="00807992" w:rsidRPr="005A0253" w:rsidRDefault="00807992" w:rsidP="00807992">
            <w:pPr>
              <w:spacing w:after="0"/>
              <w:ind w:firstLine="0"/>
              <w:jc w:val="left"/>
              <w:rPr>
                <w:rFonts w:ascii="Arial Narrow" w:hAnsi="Arial Narrow" w:cs="Calibri"/>
                <w:b/>
                <w:color w:val="000000"/>
                <w:lang w:val="es-ES" w:eastAsia="es-ES"/>
              </w:rPr>
            </w:pPr>
            <w:r w:rsidRPr="005A0253">
              <w:rPr>
                <w:rFonts w:ascii="Arial Narrow" w:hAnsi="Arial Narrow" w:cs="Calibri"/>
                <w:b/>
                <w:color w:val="000000"/>
                <w:lang w:val="es-ES" w:eastAsia="es-ES"/>
              </w:rPr>
              <w:t>Resultado Presupuestario</w:t>
            </w:r>
          </w:p>
        </w:tc>
        <w:tc>
          <w:tcPr>
            <w:tcW w:w="3186" w:type="dxa"/>
            <w:tcBorders>
              <w:top w:val="single" w:sz="2" w:space="0" w:color="auto"/>
              <w:left w:val="nil"/>
              <w:bottom w:val="single" w:sz="2" w:space="0" w:color="auto"/>
              <w:right w:val="nil"/>
            </w:tcBorders>
            <w:shd w:val="clear" w:color="auto" w:fill="auto"/>
            <w:noWrap/>
            <w:vAlign w:val="center"/>
            <w:hideMark/>
          </w:tcPr>
          <w:p w14:paraId="5213FD24" w14:textId="77777777" w:rsidR="00807992" w:rsidRPr="005A0253" w:rsidRDefault="00807992" w:rsidP="00807992">
            <w:pPr>
              <w:spacing w:after="0"/>
              <w:ind w:firstLine="0"/>
              <w:jc w:val="right"/>
              <w:rPr>
                <w:rFonts w:ascii="Arial Narrow" w:hAnsi="Arial Narrow" w:cs="Calibri"/>
                <w:b/>
                <w:color w:val="000000"/>
                <w:lang w:val="es-ES" w:eastAsia="es-ES"/>
              </w:rPr>
            </w:pPr>
            <w:r w:rsidRPr="005A0253">
              <w:rPr>
                <w:rFonts w:ascii="Arial Narrow" w:hAnsi="Arial Narrow" w:cs="Calibri"/>
                <w:b/>
                <w:color w:val="000000"/>
                <w:lang w:val="es-ES" w:eastAsia="es-ES"/>
              </w:rPr>
              <w:t>16.387.921</w:t>
            </w:r>
          </w:p>
        </w:tc>
        <w:tc>
          <w:tcPr>
            <w:tcW w:w="1985" w:type="dxa"/>
            <w:tcBorders>
              <w:top w:val="single" w:sz="2" w:space="0" w:color="auto"/>
              <w:left w:val="nil"/>
              <w:bottom w:val="single" w:sz="2" w:space="0" w:color="auto"/>
              <w:right w:val="nil"/>
            </w:tcBorders>
            <w:shd w:val="clear" w:color="auto" w:fill="auto"/>
            <w:noWrap/>
            <w:vAlign w:val="center"/>
            <w:hideMark/>
          </w:tcPr>
          <w:p w14:paraId="63E33B06" w14:textId="77777777" w:rsidR="00807992" w:rsidRPr="005A0253" w:rsidRDefault="00807992" w:rsidP="00807992">
            <w:pPr>
              <w:spacing w:after="0"/>
              <w:ind w:firstLine="0"/>
              <w:jc w:val="right"/>
              <w:rPr>
                <w:rFonts w:ascii="Arial Narrow" w:hAnsi="Arial Narrow" w:cs="Calibri"/>
                <w:b/>
                <w:color w:val="000000"/>
                <w:lang w:val="es-ES" w:eastAsia="es-ES"/>
              </w:rPr>
            </w:pPr>
            <w:r w:rsidRPr="005A0253">
              <w:rPr>
                <w:rFonts w:ascii="Arial Narrow" w:hAnsi="Arial Narrow" w:cs="Calibri"/>
                <w:b/>
                <w:color w:val="000000"/>
                <w:lang w:val="es-ES" w:eastAsia="es-ES"/>
              </w:rPr>
              <w:t>-13.450.711</w:t>
            </w:r>
          </w:p>
        </w:tc>
      </w:tr>
      <w:tr w:rsidR="00807992" w:rsidRPr="005A0253" w14:paraId="128F22DC" w14:textId="77777777" w:rsidTr="00645629">
        <w:trPr>
          <w:trHeight w:val="198"/>
        </w:trPr>
        <w:tc>
          <w:tcPr>
            <w:tcW w:w="3760" w:type="dxa"/>
            <w:tcBorders>
              <w:top w:val="single" w:sz="2" w:space="0" w:color="auto"/>
              <w:left w:val="nil"/>
              <w:bottom w:val="single" w:sz="2" w:space="0" w:color="auto"/>
              <w:right w:val="nil"/>
            </w:tcBorders>
            <w:shd w:val="clear" w:color="auto" w:fill="auto"/>
            <w:vAlign w:val="center"/>
            <w:hideMark/>
          </w:tcPr>
          <w:p w14:paraId="2F1FDD82" w14:textId="77777777" w:rsidR="00807992" w:rsidRPr="005A0253" w:rsidRDefault="00807992" w:rsidP="00807992">
            <w:pPr>
              <w:spacing w:after="0"/>
              <w:ind w:firstLine="0"/>
              <w:jc w:val="left"/>
              <w:rPr>
                <w:rFonts w:ascii="Arial Narrow" w:hAnsi="Arial Narrow" w:cs="Calibri"/>
                <w:color w:val="000000"/>
                <w:lang w:val="es-ES" w:eastAsia="es-ES"/>
              </w:rPr>
            </w:pPr>
            <w:r w:rsidRPr="005A0253">
              <w:rPr>
                <w:rFonts w:ascii="Arial Narrow" w:hAnsi="Arial Narrow" w:cs="Calibri"/>
                <w:color w:val="000000"/>
                <w:lang w:val="es-ES" w:eastAsia="es-ES"/>
              </w:rPr>
              <w:t>Ajustes</w:t>
            </w:r>
          </w:p>
        </w:tc>
        <w:tc>
          <w:tcPr>
            <w:tcW w:w="3186" w:type="dxa"/>
            <w:tcBorders>
              <w:top w:val="single" w:sz="2" w:space="0" w:color="auto"/>
              <w:left w:val="nil"/>
              <w:bottom w:val="single" w:sz="2" w:space="0" w:color="auto"/>
              <w:right w:val="nil"/>
            </w:tcBorders>
            <w:shd w:val="clear" w:color="auto" w:fill="auto"/>
            <w:noWrap/>
            <w:vAlign w:val="center"/>
            <w:hideMark/>
          </w:tcPr>
          <w:p w14:paraId="74817EE4"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 </w:t>
            </w:r>
          </w:p>
        </w:tc>
        <w:tc>
          <w:tcPr>
            <w:tcW w:w="1985" w:type="dxa"/>
            <w:tcBorders>
              <w:top w:val="single" w:sz="2" w:space="0" w:color="auto"/>
              <w:left w:val="nil"/>
              <w:bottom w:val="single" w:sz="2" w:space="0" w:color="auto"/>
              <w:right w:val="nil"/>
            </w:tcBorders>
            <w:shd w:val="clear" w:color="auto" w:fill="auto"/>
            <w:noWrap/>
            <w:vAlign w:val="center"/>
            <w:hideMark/>
          </w:tcPr>
          <w:p w14:paraId="26EDF9A6"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 </w:t>
            </w:r>
          </w:p>
        </w:tc>
      </w:tr>
      <w:tr w:rsidR="00807992" w:rsidRPr="005A0253" w14:paraId="1347B665" w14:textId="77777777" w:rsidTr="00645629">
        <w:trPr>
          <w:trHeight w:val="198"/>
        </w:trPr>
        <w:tc>
          <w:tcPr>
            <w:tcW w:w="3760" w:type="dxa"/>
            <w:tcBorders>
              <w:top w:val="single" w:sz="2" w:space="0" w:color="auto"/>
              <w:left w:val="nil"/>
              <w:bottom w:val="single" w:sz="2" w:space="0" w:color="auto"/>
              <w:right w:val="nil"/>
            </w:tcBorders>
            <w:shd w:val="clear" w:color="auto" w:fill="auto"/>
            <w:vAlign w:val="center"/>
            <w:hideMark/>
          </w:tcPr>
          <w:p w14:paraId="18390553" w14:textId="77777777" w:rsidR="00807992" w:rsidRPr="005A0253" w:rsidRDefault="00807992" w:rsidP="00807992">
            <w:pPr>
              <w:spacing w:after="0"/>
              <w:ind w:firstLine="0"/>
              <w:jc w:val="left"/>
              <w:rPr>
                <w:rFonts w:ascii="Arial Narrow" w:hAnsi="Arial Narrow" w:cs="Calibri"/>
                <w:color w:val="000000"/>
                <w:lang w:val="es-ES" w:eastAsia="es-ES"/>
              </w:rPr>
            </w:pPr>
            <w:r w:rsidRPr="005A0253">
              <w:rPr>
                <w:rFonts w:ascii="Arial Narrow" w:hAnsi="Arial Narrow" w:cs="Calibri"/>
                <w:color w:val="000000"/>
                <w:lang w:eastAsia="es-ES"/>
              </w:rPr>
              <w:t>Desviación financiación positiva</w:t>
            </w:r>
          </w:p>
        </w:tc>
        <w:tc>
          <w:tcPr>
            <w:tcW w:w="3186" w:type="dxa"/>
            <w:tcBorders>
              <w:top w:val="single" w:sz="2" w:space="0" w:color="auto"/>
              <w:left w:val="nil"/>
              <w:bottom w:val="single" w:sz="2" w:space="0" w:color="auto"/>
              <w:right w:val="nil"/>
            </w:tcBorders>
            <w:shd w:val="clear" w:color="auto" w:fill="auto"/>
            <w:noWrap/>
            <w:vAlign w:val="center"/>
            <w:hideMark/>
          </w:tcPr>
          <w:p w14:paraId="5E8E0BDB"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-5.697.188</w:t>
            </w:r>
          </w:p>
        </w:tc>
        <w:tc>
          <w:tcPr>
            <w:tcW w:w="1985" w:type="dxa"/>
            <w:tcBorders>
              <w:top w:val="single" w:sz="2" w:space="0" w:color="auto"/>
              <w:left w:val="nil"/>
              <w:bottom w:val="single" w:sz="2" w:space="0" w:color="auto"/>
              <w:right w:val="nil"/>
            </w:tcBorders>
            <w:shd w:val="clear" w:color="auto" w:fill="auto"/>
            <w:noWrap/>
            <w:vAlign w:val="center"/>
            <w:hideMark/>
          </w:tcPr>
          <w:p w14:paraId="0A69AE13"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-4.270.510</w:t>
            </w:r>
          </w:p>
        </w:tc>
      </w:tr>
      <w:tr w:rsidR="00807992" w:rsidRPr="005A0253" w14:paraId="2D386BDA" w14:textId="77777777" w:rsidTr="00645629">
        <w:trPr>
          <w:trHeight w:val="198"/>
        </w:trPr>
        <w:tc>
          <w:tcPr>
            <w:tcW w:w="3760" w:type="dxa"/>
            <w:tcBorders>
              <w:top w:val="single" w:sz="2" w:space="0" w:color="auto"/>
              <w:left w:val="nil"/>
              <w:bottom w:val="single" w:sz="2" w:space="0" w:color="auto"/>
              <w:right w:val="nil"/>
            </w:tcBorders>
            <w:shd w:val="clear" w:color="auto" w:fill="auto"/>
            <w:vAlign w:val="center"/>
            <w:hideMark/>
          </w:tcPr>
          <w:p w14:paraId="412CE99A" w14:textId="77777777" w:rsidR="00807992" w:rsidRPr="005A0253" w:rsidRDefault="00807992" w:rsidP="00807992">
            <w:pPr>
              <w:spacing w:after="0"/>
              <w:ind w:firstLine="0"/>
              <w:jc w:val="left"/>
              <w:rPr>
                <w:rFonts w:ascii="Arial Narrow" w:hAnsi="Arial Narrow" w:cs="Calibri"/>
                <w:color w:val="000000"/>
                <w:lang w:val="es-ES" w:eastAsia="es-ES"/>
              </w:rPr>
            </w:pPr>
            <w:r w:rsidRPr="005A0253">
              <w:rPr>
                <w:rFonts w:ascii="Arial Narrow" w:hAnsi="Arial Narrow" w:cs="Calibri"/>
                <w:color w:val="000000"/>
                <w:lang w:eastAsia="es-ES"/>
              </w:rPr>
              <w:t>Desviación financiación negativa</w:t>
            </w:r>
          </w:p>
        </w:tc>
        <w:tc>
          <w:tcPr>
            <w:tcW w:w="3186" w:type="dxa"/>
            <w:tcBorders>
              <w:top w:val="single" w:sz="2" w:space="0" w:color="auto"/>
              <w:left w:val="nil"/>
              <w:bottom w:val="single" w:sz="2" w:space="0" w:color="auto"/>
              <w:right w:val="nil"/>
            </w:tcBorders>
            <w:shd w:val="clear" w:color="auto" w:fill="auto"/>
            <w:noWrap/>
            <w:vAlign w:val="center"/>
            <w:hideMark/>
          </w:tcPr>
          <w:p w14:paraId="730A9986"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1.610.665</w:t>
            </w:r>
          </w:p>
        </w:tc>
        <w:tc>
          <w:tcPr>
            <w:tcW w:w="1985" w:type="dxa"/>
            <w:tcBorders>
              <w:top w:val="single" w:sz="2" w:space="0" w:color="auto"/>
              <w:left w:val="nil"/>
              <w:bottom w:val="single" w:sz="2" w:space="0" w:color="auto"/>
              <w:right w:val="nil"/>
            </w:tcBorders>
            <w:shd w:val="clear" w:color="auto" w:fill="auto"/>
            <w:noWrap/>
            <w:vAlign w:val="center"/>
            <w:hideMark/>
          </w:tcPr>
          <w:p w14:paraId="78B0AF0D"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15.770.808</w:t>
            </w:r>
          </w:p>
        </w:tc>
      </w:tr>
      <w:tr w:rsidR="00807992" w:rsidRPr="005A0253" w14:paraId="36238BFB" w14:textId="77777777" w:rsidTr="005D104E">
        <w:trPr>
          <w:trHeight w:val="198"/>
        </w:trPr>
        <w:tc>
          <w:tcPr>
            <w:tcW w:w="3760" w:type="dxa"/>
            <w:tcBorders>
              <w:top w:val="single" w:sz="2" w:space="0" w:color="auto"/>
              <w:left w:val="nil"/>
              <w:bottom w:val="single" w:sz="4" w:space="0" w:color="auto"/>
              <w:right w:val="nil"/>
            </w:tcBorders>
            <w:shd w:val="clear" w:color="auto" w:fill="auto"/>
            <w:vAlign w:val="center"/>
            <w:hideMark/>
          </w:tcPr>
          <w:p w14:paraId="688E53D9" w14:textId="77777777" w:rsidR="00807992" w:rsidRPr="005A0253" w:rsidRDefault="00807992" w:rsidP="00807992">
            <w:pPr>
              <w:spacing w:after="0"/>
              <w:ind w:firstLine="0"/>
              <w:jc w:val="left"/>
              <w:rPr>
                <w:rFonts w:ascii="Arial Narrow" w:hAnsi="Arial Narrow" w:cs="Calibri"/>
                <w:color w:val="000000"/>
                <w:lang w:val="es-ES" w:eastAsia="es-ES"/>
              </w:rPr>
            </w:pPr>
            <w:r w:rsidRPr="005A0253">
              <w:rPr>
                <w:rFonts w:ascii="Arial Narrow" w:hAnsi="Arial Narrow" w:cs="Calibri"/>
                <w:color w:val="000000"/>
                <w:lang w:eastAsia="es-ES"/>
              </w:rPr>
              <w:t>Gastos financiados con remanente de tesorería</w:t>
            </w:r>
          </w:p>
        </w:tc>
        <w:tc>
          <w:tcPr>
            <w:tcW w:w="3186" w:type="dxa"/>
            <w:tcBorders>
              <w:top w:val="single" w:sz="2" w:space="0" w:color="auto"/>
              <w:left w:val="nil"/>
              <w:bottom w:val="single" w:sz="4" w:space="0" w:color="auto"/>
              <w:right w:val="nil"/>
            </w:tcBorders>
            <w:shd w:val="clear" w:color="auto" w:fill="auto"/>
            <w:noWrap/>
            <w:vAlign w:val="center"/>
            <w:hideMark/>
          </w:tcPr>
          <w:p w14:paraId="37339AE0"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6.772.240</w:t>
            </w:r>
          </w:p>
        </w:tc>
        <w:tc>
          <w:tcPr>
            <w:tcW w:w="1985" w:type="dxa"/>
            <w:tcBorders>
              <w:top w:val="single" w:sz="2" w:space="0" w:color="auto"/>
              <w:left w:val="nil"/>
              <w:bottom w:val="single" w:sz="4" w:space="0" w:color="auto"/>
              <w:right w:val="nil"/>
            </w:tcBorders>
            <w:shd w:val="clear" w:color="auto" w:fill="auto"/>
            <w:noWrap/>
            <w:vAlign w:val="center"/>
            <w:hideMark/>
          </w:tcPr>
          <w:p w14:paraId="51C9648E" w14:textId="77777777" w:rsidR="00807992" w:rsidRPr="005A0253" w:rsidRDefault="00807992" w:rsidP="00807992">
            <w:pPr>
              <w:spacing w:after="0"/>
              <w:ind w:firstLine="0"/>
              <w:jc w:val="right"/>
              <w:rPr>
                <w:rFonts w:ascii="Arial Narrow" w:hAnsi="Arial Narrow" w:cs="Calibri"/>
                <w:color w:val="000000"/>
                <w:lang w:val="es-ES" w:eastAsia="es-ES"/>
              </w:rPr>
            </w:pPr>
            <w:r w:rsidRPr="005A0253">
              <w:rPr>
                <w:rFonts w:ascii="Arial Narrow" w:hAnsi="Arial Narrow" w:cs="Calibri"/>
                <w:color w:val="000000"/>
                <w:lang w:val="es-ES" w:eastAsia="es-ES"/>
              </w:rPr>
              <w:t>5.809.848</w:t>
            </w:r>
          </w:p>
        </w:tc>
      </w:tr>
      <w:tr w:rsidR="00807992" w:rsidRPr="005A0253" w14:paraId="7EC341D3" w14:textId="77777777" w:rsidTr="005D104E">
        <w:trPr>
          <w:trHeight w:val="198"/>
        </w:trPr>
        <w:tc>
          <w:tcPr>
            <w:tcW w:w="3760" w:type="dxa"/>
            <w:tcBorders>
              <w:top w:val="single" w:sz="4" w:space="0" w:color="auto"/>
              <w:left w:val="nil"/>
              <w:bottom w:val="single" w:sz="4" w:space="0" w:color="auto"/>
              <w:right w:val="nil"/>
            </w:tcBorders>
            <w:shd w:val="clear" w:color="000000" w:fill="FFFFFF"/>
            <w:noWrap/>
            <w:vAlign w:val="center"/>
            <w:hideMark/>
          </w:tcPr>
          <w:p w14:paraId="0CBDE159" w14:textId="77777777" w:rsidR="00807992" w:rsidRPr="005A0253" w:rsidRDefault="00807992" w:rsidP="00807992">
            <w:pPr>
              <w:spacing w:after="0"/>
              <w:ind w:firstLine="0"/>
              <w:jc w:val="left"/>
              <w:rPr>
                <w:rFonts w:ascii="Arial Narrow" w:hAnsi="Arial Narrow" w:cs="Arial"/>
                <w:b/>
                <w:bCs/>
                <w:color w:val="000000"/>
                <w:lang w:val="es-ES" w:eastAsia="es-ES"/>
              </w:rPr>
            </w:pPr>
            <w:r w:rsidRPr="005A0253">
              <w:rPr>
                <w:rFonts w:ascii="Arial Narrow" w:hAnsi="Arial Narrow" w:cs="Arial"/>
                <w:b/>
                <w:bCs/>
                <w:color w:val="000000"/>
                <w:lang w:val="es-ES" w:eastAsia="es-ES"/>
              </w:rPr>
              <w:t>Resultado Presupuestario Ajustado</w:t>
            </w:r>
          </w:p>
        </w:tc>
        <w:tc>
          <w:tcPr>
            <w:tcW w:w="3186" w:type="dxa"/>
            <w:tcBorders>
              <w:top w:val="single" w:sz="4" w:space="0" w:color="auto"/>
              <w:left w:val="nil"/>
              <w:bottom w:val="single" w:sz="4" w:space="0" w:color="auto"/>
              <w:right w:val="nil"/>
            </w:tcBorders>
            <w:shd w:val="clear" w:color="auto" w:fill="auto"/>
            <w:noWrap/>
            <w:vAlign w:val="center"/>
            <w:hideMark/>
          </w:tcPr>
          <w:p w14:paraId="6B7AB98B" w14:textId="77777777" w:rsidR="00807992" w:rsidRPr="005A0253" w:rsidRDefault="00807992" w:rsidP="00807992">
            <w:pPr>
              <w:spacing w:after="0"/>
              <w:ind w:firstLine="0"/>
              <w:jc w:val="right"/>
              <w:rPr>
                <w:rFonts w:ascii="Arial Narrow" w:hAnsi="Arial Narrow" w:cs="Calibri"/>
                <w:b/>
                <w:color w:val="000000"/>
                <w:lang w:val="es-ES" w:eastAsia="es-ES"/>
              </w:rPr>
            </w:pPr>
            <w:r w:rsidRPr="005A0253">
              <w:rPr>
                <w:rFonts w:ascii="Arial Narrow" w:hAnsi="Arial Narrow" w:cs="Calibri"/>
                <w:b/>
                <w:color w:val="000000"/>
                <w:lang w:val="es-ES" w:eastAsia="es-ES"/>
              </w:rPr>
              <w:t>19.073.637</w:t>
            </w:r>
          </w:p>
        </w:tc>
        <w:tc>
          <w:tcPr>
            <w:tcW w:w="1985" w:type="dxa"/>
            <w:tcBorders>
              <w:top w:val="single" w:sz="4" w:space="0" w:color="auto"/>
              <w:left w:val="nil"/>
              <w:bottom w:val="single" w:sz="4" w:space="0" w:color="auto"/>
              <w:right w:val="nil"/>
            </w:tcBorders>
            <w:shd w:val="clear" w:color="auto" w:fill="auto"/>
            <w:noWrap/>
            <w:vAlign w:val="center"/>
            <w:hideMark/>
          </w:tcPr>
          <w:p w14:paraId="5E2CFBC3" w14:textId="77777777" w:rsidR="00807992" w:rsidRPr="005A0253" w:rsidRDefault="00807992" w:rsidP="00807992">
            <w:pPr>
              <w:spacing w:after="0"/>
              <w:ind w:firstLine="0"/>
              <w:jc w:val="right"/>
              <w:rPr>
                <w:rFonts w:ascii="Arial Narrow" w:hAnsi="Arial Narrow" w:cs="Calibri"/>
                <w:b/>
                <w:color w:val="000000"/>
                <w:lang w:val="es-ES" w:eastAsia="es-ES"/>
              </w:rPr>
            </w:pPr>
            <w:r w:rsidRPr="005A0253">
              <w:rPr>
                <w:rFonts w:ascii="Arial Narrow" w:hAnsi="Arial Narrow" w:cs="Calibri"/>
                <w:b/>
                <w:color w:val="000000"/>
                <w:lang w:val="es-ES" w:eastAsia="es-ES"/>
              </w:rPr>
              <w:t>3.859.435</w:t>
            </w:r>
          </w:p>
        </w:tc>
      </w:tr>
    </w:tbl>
    <w:p w14:paraId="23C141A0" w14:textId="77777777" w:rsidR="00807992" w:rsidRDefault="00807992" w:rsidP="00807992">
      <w:pPr>
        <w:tabs>
          <w:tab w:val="center" w:pos="2835"/>
          <w:tab w:val="center" w:pos="3969"/>
          <w:tab w:val="center" w:pos="5103"/>
          <w:tab w:val="center" w:pos="6237"/>
          <w:tab w:val="center" w:pos="7371"/>
        </w:tabs>
        <w:spacing w:after="360"/>
        <w:ind w:hanging="28"/>
        <w:rPr>
          <w:rFonts w:ascii="Arial (W1)" w:eastAsia="Arial" w:hAnsi="Arial (W1)" w:cs="Arial"/>
          <w:spacing w:val="6"/>
        </w:rPr>
      </w:pPr>
    </w:p>
    <w:p w14:paraId="47FF6846" w14:textId="77777777" w:rsidR="00807992" w:rsidRPr="00CA5DFB" w:rsidRDefault="00807992" w:rsidP="00823774">
      <w:pPr>
        <w:tabs>
          <w:tab w:val="center" w:pos="2835"/>
          <w:tab w:val="center" w:pos="3969"/>
          <w:tab w:val="center" w:pos="5103"/>
          <w:tab w:val="center" w:pos="6237"/>
          <w:tab w:val="center" w:pos="7371"/>
        </w:tabs>
        <w:spacing w:after="100"/>
        <w:ind w:firstLine="284"/>
        <w:jc w:val="center"/>
        <w:rPr>
          <w:rFonts w:ascii="Arial" w:hAnsi="Arial" w:cs="Arial"/>
          <w:spacing w:val="6"/>
        </w:rPr>
      </w:pPr>
      <w:bookmarkStart w:id="75" w:name="_Toc22495438"/>
      <w:bookmarkStart w:id="76" w:name="_Toc55460323"/>
      <w:r w:rsidRPr="00CA5DFB">
        <w:rPr>
          <w:rFonts w:ascii="Arial" w:hAnsi="Arial" w:cs="Arial"/>
          <w:spacing w:val="6"/>
        </w:rPr>
        <w:t xml:space="preserve">Estado de remanente de tesorería </w:t>
      </w:r>
      <w:bookmarkEnd w:id="75"/>
      <w:r w:rsidRPr="00CA5DFB">
        <w:rPr>
          <w:rFonts w:ascii="Arial" w:hAnsi="Arial" w:cs="Arial"/>
          <w:spacing w:val="6"/>
        </w:rPr>
        <w:t>consolidado del ejercicio 20</w:t>
      </w:r>
      <w:bookmarkEnd w:id="76"/>
      <w:r w:rsidRPr="00CA5DFB">
        <w:rPr>
          <w:rFonts w:ascii="Arial" w:hAnsi="Arial" w:cs="Arial"/>
          <w:spacing w:val="6"/>
        </w:rPr>
        <w:t>21</w:t>
      </w:r>
    </w:p>
    <w:p w14:paraId="2C501468" w14:textId="77777777" w:rsidR="00807992" w:rsidRDefault="00807992" w:rsidP="00823774">
      <w:pPr>
        <w:keepLines/>
        <w:tabs>
          <w:tab w:val="right" w:pos="2835"/>
          <w:tab w:val="right" w:pos="3969"/>
          <w:tab w:val="right" w:pos="5103"/>
          <w:tab w:val="right" w:pos="6237"/>
          <w:tab w:val="right" w:pos="7371"/>
        </w:tabs>
        <w:spacing w:after="240"/>
        <w:ind w:firstLine="0"/>
        <w:jc w:val="center"/>
        <w:rPr>
          <w:rFonts w:ascii="Arial" w:hAnsi="Arial"/>
          <w:spacing w:val="6"/>
          <w:szCs w:val="24"/>
        </w:rPr>
      </w:pPr>
      <w:r w:rsidRPr="00667DFF">
        <w:rPr>
          <w:rFonts w:ascii="Arial" w:hAnsi="Arial"/>
          <w:spacing w:val="6"/>
          <w:szCs w:val="24"/>
        </w:rPr>
        <w:t>(Ayuntamiento y OOAA)</w:t>
      </w:r>
    </w:p>
    <w:tbl>
      <w:tblPr>
        <w:tblW w:w="8931" w:type="dxa"/>
        <w:tblCellMar>
          <w:left w:w="70" w:type="dxa"/>
          <w:right w:w="70" w:type="dxa"/>
        </w:tblCellMar>
        <w:tblLook w:val="04A0" w:firstRow="1" w:lastRow="0" w:firstColumn="1" w:lastColumn="0" w:noHBand="0" w:noVBand="1"/>
      </w:tblPr>
      <w:tblGrid>
        <w:gridCol w:w="4395"/>
        <w:gridCol w:w="1417"/>
        <w:gridCol w:w="1418"/>
        <w:gridCol w:w="1701"/>
      </w:tblGrid>
      <w:tr w:rsidR="00807992" w:rsidRPr="00CE1F33" w14:paraId="7E7C8E64" w14:textId="77777777" w:rsidTr="005D104E">
        <w:trPr>
          <w:trHeight w:val="255"/>
        </w:trPr>
        <w:tc>
          <w:tcPr>
            <w:tcW w:w="4395" w:type="dxa"/>
            <w:tcBorders>
              <w:top w:val="single" w:sz="4" w:space="0" w:color="auto"/>
              <w:left w:val="nil"/>
              <w:bottom w:val="single" w:sz="4" w:space="0" w:color="auto"/>
              <w:right w:val="nil"/>
            </w:tcBorders>
            <w:shd w:val="clear" w:color="000000" w:fill="FABF8F"/>
            <w:vAlign w:val="center"/>
            <w:hideMark/>
          </w:tcPr>
          <w:p w14:paraId="172B9E7E" w14:textId="77777777" w:rsidR="00807992" w:rsidRPr="00CE1F33" w:rsidRDefault="00807992" w:rsidP="00807992">
            <w:pPr>
              <w:spacing w:after="0"/>
              <w:ind w:firstLine="0"/>
              <w:jc w:val="left"/>
              <w:rPr>
                <w:rFonts w:ascii="Arial" w:hAnsi="Arial" w:cs="Arial"/>
                <w:color w:val="000000"/>
                <w:sz w:val="18"/>
                <w:szCs w:val="18"/>
                <w:lang w:val="es-ES" w:eastAsia="es-ES"/>
              </w:rPr>
            </w:pPr>
            <w:r w:rsidRPr="00CE1F33">
              <w:rPr>
                <w:rFonts w:ascii="Arial" w:hAnsi="Arial" w:cs="Arial"/>
                <w:color w:val="000000"/>
                <w:sz w:val="18"/>
                <w:szCs w:val="18"/>
                <w:lang w:val="es-ES" w:eastAsia="es-ES"/>
              </w:rPr>
              <w:t>Concepto</w:t>
            </w:r>
          </w:p>
        </w:tc>
        <w:tc>
          <w:tcPr>
            <w:tcW w:w="1417" w:type="dxa"/>
            <w:tcBorders>
              <w:top w:val="single" w:sz="4" w:space="0" w:color="auto"/>
              <w:left w:val="nil"/>
              <w:bottom w:val="single" w:sz="4" w:space="0" w:color="auto"/>
              <w:right w:val="nil"/>
            </w:tcBorders>
            <w:shd w:val="clear" w:color="000000" w:fill="FABF8F"/>
            <w:vAlign w:val="center"/>
            <w:hideMark/>
          </w:tcPr>
          <w:p w14:paraId="7F6C10E6" w14:textId="77777777" w:rsidR="00807992" w:rsidRPr="00CE1F33" w:rsidRDefault="00807992" w:rsidP="00CA5DFB">
            <w:pPr>
              <w:spacing w:after="0"/>
              <w:ind w:firstLine="0"/>
              <w:jc w:val="right"/>
              <w:rPr>
                <w:rFonts w:ascii="Arial" w:hAnsi="Arial" w:cs="Arial"/>
                <w:color w:val="000000"/>
                <w:sz w:val="18"/>
                <w:szCs w:val="18"/>
                <w:lang w:val="es-ES" w:eastAsia="es-ES"/>
              </w:rPr>
            </w:pPr>
            <w:r w:rsidRPr="00CE1F33">
              <w:rPr>
                <w:rFonts w:ascii="Arial" w:hAnsi="Arial" w:cs="Arial"/>
                <w:color w:val="000000"/>
                <w:sz w:val="18"/>
                <w:szCs w:val="18"/>
                <w:lang w:val="es-ES" w:eastAsia="es-ES"/>
              </w:rPr>
              <w:t>2020</w:t>
            </w:r>
          </w:p>
        </w:tc>
        <w:tc>
          <w:tcPr>
            <w:tcW w:w="1418" w:type="dxa"/>
            <w:tcBorders>
              <w:top w:val="single" w:sz="4" w:space="0" w:color="auto"/>
              <w:left w:val="nil"/>
              <w:bottom w:val="single" w:sz="4" w:space="0" w:color="auto"/>
              <w:right w:val="nil"/>
            </w:tcBorders>
            <w:shd w:val="clear" w:color="000000" w:fill="FABF8F"/>
            <w:vAlign w:val="center"/>
            <w:hideMark/>
          </w:tcPr>
          <w:p w14:paraId="6FD1528B" w14:textId="77777777" w:rsidR="00807992" w:rsidRPr="00CE1F33" w:rsidRDefault="006B38EC" w:rsidP="00CA5DFB">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2021</w:t>
            </w:r>
            <w:r w:rsidR="00CA5DFB">
              <w:rPr>
                <w:rFonts w:ascii="Arial" w:hAnsi="Arial" w:cs="Arial"/>
                <w:color w:val="000000"/>
                <w:sz w:val="18"/>
                <w:szCs w:val="18"/>
                <w:lang w:val="es-ES" w:eastAsia="es-ES"/>
              </w:rPr>
              <w:t xml:space="preserve">    </w:t>
            </w:r>
          </w:p>
        </w:tc>
        <w:tc>
          <w:tcPr>
            <w:tcW w:w="1701" w:type="dxa"/>
            <w:tcBorders>
              <w:top w:val="single" w:sz="4" w:space="0" w:color="auto"/>
              <w:left w:val="nil"/>
              <w:bottom w:val="single" w:sz="4" w:space="0" w:color="auto"/>
              <w:right w:val="nil"/>
            </w:tcBorders>
            <w:shd w:val="clear" w:color="000000" w:fill="FABF8F"/>
            <w:vAlign w:val="center"/>
            <w:hideMark/>
          </w:tcPr>
          <w:p w14:paraId="4C589C9A" w14:textId="77777777" w:rsidR="00807992" w:rsidRPr="00CE1F33" w:rsidRDefault="00807992" w:rsidP="00CA5DFB">
            <w:pPr>
              <w:spacing w:after="0"/>
              <w:ind w:firstLine="0"/>
              <w:jc w:val="right"/>
              <w:rPr>
                <w:rFonts w:ascii="Arial" w:hAnsi="Arial" w:cs="Arial"/>
                <w:color w:val="000000"/>
                <w:sz w:val="18"/>
                <w:szCs w:val="18"/>
                <w:lang w:val="es-ES" w:eastAsia="es-ES"/>
              </w:rPr>
            </w:pPr>
            <w:r w:rsidRPr="00CE1F33">
              <w:rPr>
                <w:rFonts w:ascii="Arial" w:hAnsi="Arial" w:cs="Arial"/>
                <w:color w:val="000000"/>
                <w:sz w:val="18"/>
                <w:szCs w:val="18"/>
                <w:lang w:val="es-ES" w:eastAsia="es-ES"/>
              </w:rPr>
              <w:t xml:space="preserve">% variación </w:t>
            </w:r>
          </w:p>
        </w:tc>
      </w:tr>
      <w:tr w:rsidR="00807992" w:rsidRPr="00CE1F33" w14:paraId="1124D6B7" w14:textId="77777777" w:rsidTr="005D104E">
        <w:trPr>
          <w:trHeight w:val="255"/>
        </w:trPr>
        <w:tc>
          <w:tcPr>
            <w:tcW w:w="4395" w:type="dxa"/>
            <w:tcBorders>
              <w:top w:val="single" w:sz="4" w:space="0" w:color="auto"/>
              <w:left w:val="nil"/>
              <w:bottom w:val="single" w:sz="2" w:space="0" w:color="auto"/>
              <w:right w:val="nil"/>
            </w:tcBorders>
            <w:shd w:val="clear" w:color="auto" w:fill="auto"/>
            <w:vAlign w:val="center"/>
            <w:hideMark/>
          </w:tcPr>
          <w:p w14:paraId="0B6F995A" w14:textId="77777777" w:rsidR="00807992" w:rsidRPr="00CE1F33" w:rsidRDefault="00807992" w:rsidP="00807992">
            <w:pPr>
              <w:spacing w:after="0"/>
              <w:ind w:firstLine="0"/>
              <w:jc w:val="left"/>
              <w:rPr>
                <w:rFonts w:ascii="Arial Narrow" w:hAnsi="Arial Narrow" w:cs="Calibri"/>
                <w:b/>
                <w:bCs/>
                <w:i/>
                <w:iCs/>
                <w:color w:val="000000"/>
                <w:lang w:val="es-ES" w:eastAsia="es-ES"/>
              </w:rPr>
            </w:pPr>
            <w:r w:rsidRPr="00CE1F33">
              <w:rPr>
                <w:rFonts w:ascii="Arial Narrow" w:hAnsi="Arial Narrow" w:cs="Calibri"/>
                <w:b/>
                <w:bCs/>
                <w:i/>
                <w:iCs/>
                <w:color w:val="000000"/>
                <w:lang w:val="es-ES" w:eastAsia="es-ES"/>
              </w:rPr>
              <w:t>(+) Derechos pendientes de cobro</w:t>
            </w:r>
          </w:p>
        </w:tc>
        <w:tc>
          <w:tcPr>
            <w:tcW w:w="1417" w:type="dxa"/>
            <w:tcBorders>
              <w:top w:val="single" w:sz="4" w:space="0" w:color="auto"/>
              <w:left w:val="nil"/>
              <w:bottom w:val="single" w:sz="2" w:space="0" w:color="auto"/>
              <w:right w:val="nil"/>
            </w:tcBorders>
            <w:shd w:val="clear" w:color="auto" w:fill="auto"/>
            <w:noWrap/>
            <w:vAlign w:val="center"/>
            <w:hideMark/>
          </w:tcPr>
          <w:p w14:paraId="535AD175" w14:textId="77777777" w:rsidR="00807992" w:rsidRPr="00CE1F33" w:rsidRDefault="00807992" w:rsidP="00CA5DFB">
            <w:pPr>
              <w:spacing w:after="0"/>
              <w:ind w:firstLine="0"/>
              <w:jc w:val="right"/>
              <w:rPr>
                <w:rFonts w:ascii="Arial Narrow" w:hAnsi="Arial Narrow" w:cs="Calibri"/>
                <w:b/>
                <w:bCs/>
                <w:color w:val="000000"/>
                <w:sz w:val="17"/>
                <w:szCs w:val="17"/>
                <w:lang w:val="es-ES" w:eastAsia="es-ES"/>
              </w:rPr>
            </w:pPr>
            <w:r w:rsidRPr="00CE1F33">
              <w:rPr>
                <w:rFonts w:ascii="Arial Narrow" w:hAnsi="Arial Narrow" w:cs="Calibri"/>
                <w:b/>
                <w:bCs/>
                <w:color w:val="000000"/>
                <w:sz w:val="17"/>
                <w:szCs w:val="17"/>
                <w:lang w:val="es-ES" w:eastAsia="es-ES"/>
              </w:rPr>
              <w:t>19.323.459</w:t>
            </w:r>
          </w:p>
        </w:tc>
        <w:tc>
          <w:tcPr>
            <w:tcW w:w="1418" w:type="dxa"/>
            <w:tcBorders>
              <w:top w:val="single" w:sz="4" w:space="0" w:color="auto"/>
              <w:left w:val="nil"/>
              <w:bottom w:val="single" w:sz="2" w:space="0" w:color="auto"/>
              <w:right w:val="nil"/>
            </w:tcBorders>
            <w:shd w:val="clear" w:color="auto" w:fill="auto"/>
            <w:noWrap/>
            <w:vAlign w:val="center"/>
            <w:hideMark/>
          </w:tcPr>
          <w:p w14:paraId="5E226572" w14:textId="77777777" w:rsidR="00807992" w:rsidRPr="00CE1F33" w:rsidRDefault="00807992" w:rsidP="00807992">
            <w:pPr>
              <w:spacing w:after="0"/>
              <w:ind w:firstLine="0"/>
              <w:jc w:val="right"/>
              <w:rPr>
                <w:rFonts w:ascii="Arial Narrow" w:hAnsi="Arial Narrow" w:cs="Calibri"/>
                <w:b/>
                <w:bCs/>
                <w:color w:val="000000"/>
                <w:sz w:val="17"/>
                <w:szCs w:val="17"/>
                <w:lang w:val="es-ES" w:eastAsia="es-ES"/>
              </w:rPr>
            </w:pPr>
            <w:r w:rsidRPr="00CE1F33">
              <w:rPr>
                <w:rFonts w:ascii="Arial Narrow" w:hAnsi="Arial Narrow" w:cs="Calibri"/>
                <w:b/>
                <w:bCs/>
                <w:color w:val="000000"/>
                <w:sz w:val="17"/>
                <w:szCs w:val="17"/>
                <w:lang w:val="es-ES" w:eastAsia="es-ES"/>
              </w:rPr>
              <w:t>20.812.864</w:t>
            </w:r>
          </w:p>
        </w:tc>
        <w:tc>
          <w:tcPr>
            <w:tcW w:w="1701" w:type="dxa"/>
            <w:tcBorders>
              <w:top w:val="single" w:sz="4" w:space="0" w:color="auto"/>
              <w:left w:val="nil"/>
              <w:bottom w:val="single" w:sz="2" w:space="0" w:color="auto"/>
              <w:right w:val="nil"/>
            </w:tcBorders>
            <w:shd w:val="clear" w:color="auto" w:fill="auto"/>
            <w:vAlign w:val="center"/>
            <w:hideMark/>
          </w:tcPr>
          <w:p w14:paraId="689AAE7D" w14:textId="77777777" w:rsidR="00807992" w:rsidRPr="00CE1F33" w:rsidRDefault="00962B2B" w:rsidP="00807992">
            <w:pPr>
              <w:spacing w:after="0"/>
              <w:ind w:firstLine="0"/>
              <w:jc w:val="right"/>
              <w:rPr>
                <w:rFonts w:ascii="Arial Narrow" w:hAnsi="Arial Narrow" w:cs="Calibri"/>
                <w:b/>
                <w:bCs/>
                <w:i/>
                <w:iCs/>
                <w:color w:val="000000"/>
                <w:sz w:val="18"/>
                <w:szCs w:val="18"/>
                <w:lang w:val="es-ES" w:eastAsia="es-ES"/>
              </w:rPr>
            </w:pPr>
            <w:r>
              <w:rPr>
                <w:rFonts w:ascii="Arial Narrow" w:hAnsi="Arial Narrow" w:cs="Calibri"/>
                <w:b/>
                <w:bCs/>
                <w:i/>
                <w:iCs/>
                <w:color w:val="000000"/>
                <w:sz w:val="18"/>
                <w:szCs w:val="18"/>
                <w:lang w:val="es-ES" w:eastAsia="es-ES"/>
              </w:rPr>
              <w:t>8</w:t>
            </w:r>
          </w:p>
        </w:tc>
      </w:tr>
      <w:tr w:rsidR="00807992" w:rsidRPr="00CE1F33" w14:paraId="6C4D1BF0"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4D4DF422"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Presupuesto Ingresos: Ejercicio corriente</w:t>
            </w:r>
          </w:p>
        </w:tc>
        <w:tc>
          <w:tcPr>
            <w:tcW w:w="1417" w:type="dxa"/>
            <w:tcBorders>
              <w:top w:val="single" w:sz="2" w:space="0" w:color="auto"/>
              <w:left w:val="nil"/>
              <w:bottom w:val="single" w:sz="2" w:space="0" w:color="auto"/>
              <w:right w:val="nil"/>
            </w:tcBorders>
            <w:shd w:val="clear" w:color="auto" w:fill="auto"/>
            <w:noWrap/>
            <w:vAlign w:val="center"/>
            <w:hideMark/>
          </w:tcPr>
          <w:p w14:paraId="429BAB65"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13.497.978</w:t>
            </w:r>
          </w:p>
        </w:tc>
        <w:tc>
          <w:tcPr>
            <w:tcW w:w="1418" w:type="dxa"/>
            <w:tcBorders>
              <w:top w:val="single" w:sz="2" w:space="0" w:color="auto"/>
              <w:left w:val="nil"/>
              <w:bottom w:val="single" w:sz="2" w:space="0" w:color="auto"/>
              <w:right w:val="nil"/>
            </w:tcBorders>
            <w:shd w:val="clear" w:color="auto" w:fill="auto"/>
            <w:noWrap/>
            <w:vAlign w:val="center"/>
            <w:hideMark/>
          </w:tcPr>
          <w:p w14:paraId="690B22DF"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15.530.766</w:t>
            </w:r>
          </w:p>
        </w:tc>
        <w:tc>
          <w:tcPr>
            <w:tcW w:w="1701" w:type="dxa"/>
            <w:tcBorders>
              <w:top w:val="single" w:sz="2" w:space="0" w:color="auto"/>
              <w:left w:val="nil"/>
              <w:bottom w:val="single" w:sz="2" w:space="0" w:color="auto"/>
              <w:right w:val="nil"/>
            </w:tcBorders>
            <w:shd w:val="clear" w:color="auto" w:fill="auto"/>
            <w:vAlign w:val="center"/>
            <w:hideMark/>
          </w:tcPr>
          <w:p w14:paraId="6B45B567" w14:textId="77777777" w:rsidR="00807992" w:rsidRPr="00CE1F33" w:rsidRDefault="00807992" w:rsidP="00807992">
            <w:pPr>
              <w:spacing w:after="0"/>
              <w:ind w:firstLine="0"/>
              <w:jc w:val="right"/>
              <w:rPr>
                <w:rFonts w:ascii="Arial Narrow" w:hAnsi="Arial Narrow" w:cs="Calibri"/>
                <w:b/>
                <w:bCs/>
                <w:i/>
                <w:iCs/>
                <w:color w:val="000000"/>
                <w:sz w:val="18"/>
                <w:szCs w:val="18"/>
                <w:lang w:val="es-ES" w:eastAsia="es-ES"/>
              </w:rPr>
            </w:pPr>
            <w:r w:rsidRPr="00CE1F33">
              <w:rPr>
                <w:rFonts w:ascii="Arial Narrow" w:hAnsi="Arial Narrow" w:cs="Calibri"/>
                <w:b/>
                <w:bCs/>
                <w:i/>
                <w:iCs/>
                <w:color w:val="000000"/>
                <w:sz w:val="18"/>
                <w:szCs w:val="18"/>
                <w:lang w:val="es-ES" w:eastAsia="es-ES"/>
              </w:rPr>
              <w:t> </w:t>
            </w:r>
          </w:p>
        </w:tc>
      </w:tr>
      <w:tr w:rsidR="00807992" w:rsidRPr="00CE1F33" w14:paraId="3745C199"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6535B933"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Presupuesto Ingresos: Ejercicios cerrados</w:t>
            </w:r>
          </w:p>
        </w:tc>
        <w:tc>
          <w:tcPr>
            <w:tcW w:w="1417" w:type="dxa"/>
            <w:tcBorders>
              <w:top w:val="single" w:sz="2" w:space="0" w:color="auto"/>
              <w:left w:val="nil"/>
              <w:bottom w:val="single" w:sz="2" w:space="0" w:color="auto"/>
              <w:right w:val="nil"/>
            </w:tcBorders>
            <w:shd w:val="clear" w:color="auto" w:fill="auto"/>
            <w:noWrap/>
            <w:vAlign w:val="center"/>
            <w:hideMark/>
          </w:tcPr>
          <w:p w14:paraId="590ED2D6"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21.833.335</w:t>
            </w:r>
          </w:p>
        </w:tc>
        <w:tc>
          <w:tcPr>
            <w:tcW w:w="1418" w:type="dxa"/>
            <w:tcBorders>
              <w:top w:val="single" w:sz="2" w:space="0" w:color="auto"/>
              <w:left w:val="nil"/>
              <w:bottom w:val="single" w:sz="2" w:space="0" w:color="auto"/>
              <w:right w:val="nil"/>
            </w:tcBorders>
            <w:shd w:val="clear" w:color="auto" w:fill="auto"/>
            <w:noWrap/>
            <w:vAlign w:val="center"/>
            <w:hideMark/>
          </w:tcPr>
          <w:p w14:paraId="28BB3881"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21.539.718</w:t>
            </w:r>
          </w:p>
        </w:tc>
        <w:tc>
          <w:tcPr>
            <w:tcW w:w="1701" w:type="dxa"/>
            <w:tcBorders>
              <w:top w:val="single" w:sz="2" w:space="0" w:color="auto"/>
              <w:left w:val="nil"/>
              <w:bottom w:val="single" w:sz="2" w:space="0" w:color="auto"/>
              <w:right w:val="nil"/>
            </w:tcBorders>
            <w:shd w:val="clear" w:color="auto" w:fill="auto"/>
            <w:vAlign w:val="center"/>
            <w:hideMark/>
          </w:tcPr>
          <w:p w14:paraId="317381C2" w14:textId="77777777" w:rsidR="00807992" w:rsidRPr="00CE1F33" w:rsidRDefault="00807992" w:rsidP="00807992">
            <w:pPr>
              <w:spacing w:after="0"/>
              <w:ind w:firstLine="0"/>
              <w:jc w:val="right"/>
              <w:rPr>
                <w:rFonts w:ascii="Arial Narrow" w:hAnsi="Arial Narrow" w:cs="Calibri"/>
                <w:b/>
                <w:bCs/>
                <w:i/>
                <w:iCs/>
                <w:color w:val="000000"/>
                <w:sz w:val="18"/>
                <w:szCs w:val="18"/>
                <w:lang w:val="es-ES" w:eastAsia="es-ES"/>
              </w:rPr>
            </w:pPr>
            <w:r w:rsidRPr="00CE1F33">
              <w:rPr>
                <w:rFonts w:ascii="Arial Narrow" w:hAnsi="Arial Narrow" w:cs="Calibri"/>
                <w:b/>
                <w:bCs/>
                <w:i/>
                <w:iCs/>
                <w:color w:val="000000"/>
                <w:sz w:val="18"/>
                <w:szCs w:val="18"/>
                <w:lang w:val="es-ES" w:eastAsia="es-ES"/>
              </w:rPr>
              <w:t> </w:t>
            </w:r>
          </w:p>
        </w:tc>
      </w:tr>
      <w:tr w:rsidR="00807992" w:rsidRPr="00CE1F33" w14:paraId="0DB7E5A2"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0A20E76C"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Ingresos extrapresupuestarios</w:t>
            </w:r>
          </w:p>
        </w:tc>
        <w:tc>
          <w:tcPr>
            <w:tcW w:w="1417" w:type="dxa"/>
            <w:tcBorders>
              <w:top w:val="single" w:sz="2" w:space="0" w:color="auto"/>
              <w:left w:val="nil"/>
              <w:bottom w:val="single" w:sz="2" w:space="0" w:color="auto"/>
              <w:right w:val="nil"/>
            </w:tcBorders>
            <w:shd w:val="clear" w:color="auto" w:fill="auto"/>
            <w:noWrap/>
            <w:vAlign w:val="center"/>
            <w:hideMark/>
          </w:tcPr>
          <w:p w14:paraId="2B5ACFBC"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247.042</w:t>
            </w:r>
          </w:p>
        </w:tc>
        <w:tc>
          <w:tcPr>
            <w:tcW w:w="1418" w:type="dxa"/>
            <w:tcBorders>
              <w:top w:val="single" w:sz="2" w:space="0" w:color="auto"/>
              <w:left w:val="nil"/>
              <w:bottom w:val="single" w:sz="2" w:space="0" w:color="auto"/>
              <w:right w:val="nil"/>
            </w:tcBorders>
            <w:shd w:val="clear" w:color="auto" w:fill="auto"/>
            <w:noWrap/>
            <w:vAlign w:val="center"/>
            <w:hideMark/>
          </w:tcPr>
          <w:p w14:paraId="55E02D4C"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744.025</w:t>
            </w:r>
          </w:p>
        </w:tc>
        <w:tc>
          <w:tcPr>
            <w:tcW w:w="1701" w:type="dxa"/>
            <w:tcBorders>
              <w:top w:val="single" w:sz="2" w:space="0" w:color="auto"/>
              <w:left w:val="nil"/>
              <w:bottom w:val="single" w:sz="2" w:space="0" w:color="auto"/>
              <w:right w:val="nil"/>
            </w:tcBorders>
            <w:shd w:val="clear" w:color="auto" w:fill="auto"/>
            <w:vAlign w:val="center"/>
            <w:hideMark/>
          </w:tcPr>
          <w:p w14:paraId="143699D3" w14:textId="77777777" w:rsidR="00807992" w:rsidRPr="00CE1F33" w:rsidRDefault="00807992" w:rsidP="00807992">
            <w:pPr>
              <w:spacing w:after="0"/>
              <w:ind w:firstLine="0"/>
              <w:jc w:val="right"/>
              <w:rPr>
                <w:rFonts w:ascii="Arial Narrow" w:hAnsi="Arial Narrow" w:cs="Calibri"/>
                <w:b/>
                <w:bCs/>
                <w:i/>
                <w:iCs/>
                <w:color w:val="000000"/>
                <w:sz w:val="18"/>
                <w:szCs w:val="18"/>
                <w:lang w:val="es-ES" w:eastAsia="es-ES"/>
              </w:rPr>
            </w:pPr>
            <w:r w:rsidRPr="00CE1F33">
              <w:rPr>
                <w:rFonts w:ascii="Arial Narrow" w:hAnsi="Arial Narrow" w:cs="Calibri"/>
                <w:b/>
                <w:bCs/>
                <w:i/>
                <w:iCs/>
                <w:color w:val="000000"/>
                <w:sz w:val="18"/>
                <w:szCs w:val="18"/>
                <w:lang w:val="es-ES" w:eastAsia="es-ES"/>
              </w:rPr>
              <w:t> </w:t>
            </w:r>
          </w:p>
        </w:tc>
      </w:tr>
      <w:tr w:rsidR="00807992" w:rsidRPr="00CE1F33" w14:paraId="6FC9F06D"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62F1313F"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Reintegros de pagos</w:t>
            </w:r>
          </w:p>
        </w:tc>
        <w:tc>
          <w:tcPr>
            <w:tcW w:w="1417" w:type="dxa"/>
            <w:tcBorders>
              <w:top w:val="single" w:sz="2" w:space="0" w:color="auto"/>
              <w:left w:val="nil"/>
              <w:bottom w:val="single" w:sz="2" w:space="0" w:color="auto"/>
              <w:right w:val="nil"/>
            </w:tcBorders>
            <w:shd w:val="clear" w:color="auto" w:fill="auto"/>
            <w:noWrap/>
            <w:vAlign w:val="center"/>
            <w:hideMark/>
          </w:tcPr>
          <w:p w14:paraId="59FB1CF8"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2.755</w:t>
            </w:r>
          </w:p>
        </w:tc>
        <w:tc>
          <w:tcPr>
            <w:tcW w:w="1418" w:type="dxa"/>
            <w:tcBorders>
              <w:top w:val="single" w:sz="2" w:space="0" w:color="auto"/>
              <w:left w:val="nil"/>
              <w:bottom w:val="single" w:sz="2" w:space="0" w:color="auto"/>
              <w:right w:val="nil"/>
            </w:tcBorders>
            <w:shd w:val="clear" w:color="auto" w:fill="auto"/>
            <w:noWrap/>
            <w:vAlign w:val="center"/>
            <w:hideMark/>
          </w:tcPr>
          <w:p w14:paraId="11934331"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2.715</w:t>
            </w:r>
          </w:p>
        </w:tc>
        <w:tc>
          <w:tcPr>
            <w:tcW w:w="1701" w:type="dxa"/>
            <w:tcBorders>
              <w:top w:val="single" w:sz="2" w:space="0" w:color="auto"/>
              <w:left w:val="nil"/>
              <w:bottom w:val="single" w:sz="2" w:space="0" w:color="auto"/>
              <w:right w:val="nil"/>
            </w:tcBorders>
            <w:shd w:val="clear" w:color="auto" w:fill="auto"/>
            <w:vAlign w:val="center"/>
            <w:hideMark/>
          </w:tcPr>
          <w:p w14:paraId="59857442" w14:textId="77777777" w:rsidR="00807992" w:rsidRPr="00CE1F33" w:rsidRDefault="00807992" w:rsidP="00807992">
            <w:pPr>
              <w:spacing w:after="0"/>
              <w:ind w:firstLine="0"/>
              <w:jc w:val="right"/>
              <w:rPr>
                <w:rFonts w:ascii="Arial Narrow" w:hAnsi="Arial Narrow" w:cs="Calibri"/>
                <w:b/>
                <w:bCs/>
                <w:i/>
                <w:iCs/>
                <w:color w:val="000000"/>
                <w:sz w:val="18"/>
                <w:szCs w:val="18"/>
                <w:lang w:val="es-ES" w:eastAsia="es-ES"/>
              </w:rPr>
            </w:pPr>
            <w:r w:rsidRPr="00CE1F33">
              <w:rPr>
                <w:rFonts w:ascii="Arial Narrow" w:hAnsi="Arial Narrow" w:cs="Calibri"/>
                <w:b/>
                <w:bCs/>
                <w:i/>
                <w:iCs/>
                <w:color w:val="000000"/>
                <w:sz w:val="18"/>
                <w:szCs w:val="18"/>
                <w:lang w:val="es-ES" w:eastAsia="es-ES"/>
              </w:rPr>
              <w:t> </w:t>
            </w:r>
          </w:p>
        </w:tc>
      </w:tr>
      <w:tr w:rsidR="00807992" w:rsidRPr="00CE1F33" w14:paraId="5356C673"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31196761"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Derechos de difícil recaudación</w:t>
            </w:r>
          </w:p>
        </w:tc>
        <w:tc>
          <w:tcPr>
            <w:tcW w:w="1417" w:type="dxa"/>
            <w:tcBorders>
              <w:top w:val="single" w:sz="2" w:space="0" w:color="auto"/>
              <w:left w:val="nil"/>
              <w:bottom w:val="single" w:sz="2" w:space="0" w:color="auto"/>
              <w:right w:val="nil"/>
            </w:tcBorders>
            <w:shd w:val="clear" w:color="auto" w:fill="auto"/>
            <w:noWrap/>
            <w:vAlign w:val="center"/>
            <w:hideMark/>
          </w:tcPr>
          <w:p w14:paraId="369FCFBA"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-16.218.081</w:t>
            </w:r>
          </w:p>
        </w:tc>
        <w:tc>
          <w:tcPr>
            <w:tcW w:w="1418" w:type="dxa"/>
            <w:tcBorders>
              <w:top w:val="single" w:sz="2" w:space="0" w:color="auto"/>
              <w:left w:val="nil"/>
              <w:bottom w:val="single" w:sz="2" w:space="0" w:color="auto"/>
              <w:right w:val="nil"/>
            </w:tcBorders>
            <w:shd w:val="clear" w:color="auto" w:fill="auto"/>
            <w:noWrap/>
            <w:vAlign w:val="center"/>
            <w:hideMark/>
          </w:tcPr>
          <w:p w14:paraId="2BF0E418"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-16.962.218</w:t>
            </w:r>
          </w:p>
        </w:tc>
        <w:tc>
          <w:tcPr>
            <w:tcW w:w="1701" w:type="dxa"/>
            <w:tcBorders>
              <w:top w:val="single" w:sz="2" w:space="0" w:color="auto"/>
              <w:left w:val="nil"/>
              <w:bottom w:val="single" w:sz="2" w:space="0" w:color="auto"/>
              <w:right w:val="nil"/>
            </w:tcBorders>
            <w:shd w:val="clear" w:color="auto" w:fill="auto"/>
            <w:vAlign w:val="center"/>
            <w:hideMark/>
          </w:tcPr>
          <w:p w14:paraId="536B382C" w14:textId="77777777" w:rsidR="00807992" w:rsidRPr="00CE1F33" w:rsidRDefault="00807992" w:rsidP="00807992">
            <w:pPr>
              <w:spacing w:after="0"/>
              <w:ind w:firstLine="0"/>
              <w:jc w:val="right"/>
              <w:rPr>
                <w:rFonts w:ascii="Arial Narrow" w:hAnsi="Arial Narrow" w:cs="Calibri"/>
                <w:b/>
                <w:bCs/>
                <w:i/>
                <w:iCs/>
                <w:color w:val="000000"/>
                <w:sz w:val="18"/>
                <w:szCs w:val="18"/>
                <w:lang w:val="es-ES" w:eastAsia="es-ES"/>
              </w:rPr>
            </w:pPr>
            <w:r w:rsidRPr="00CE1F33">
              <w:rPr>
                <w:rFonts w:ascii="Arial Narrow" w:hAnsi="Arial Narrow" w:cs="Calibri"/>
                <w:b/>
                <w:bCs/>
                <w:i/>
                <w:iCs/>
                <w:color w:val="000000"/>
                <w:sz w:val="18"/>
                <w:szCs w:val="18"/>
                <w:lang w:val="es-ES" w:eastAsia="es-ES"/>
              </w:rPr>
              <w:t> </w:t>
            </w:r>
          </w:p>
        </w:tc>
      </w:tr>
      <w:tr w:rsidR="00807992" w:rsidRPr="00CE1F33" w14:paraId="475BFEB4"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43081B25"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Ingresos pendientes de aplicación</w:t>
            </w:r>
          </w:p>
        </w:tc>
        <w:tc>
          <w:tcPr>
            <w:tcW w:w="1417" w:type="dxa"/>
            <w:tcBorders>
              <w:top w:val="single" w:sz="2" w:space="0" w:color="auto"/>
              <w:left w:val="nil"/>
              <w:bottom w:val="single" w:sz="2" w:space="0" w:color="auto"/>
              <w:right w:val="nil"/>
            </w:tcBorders>
            <w:shd w:val="clear" w:color="auto" w:fill="auto"/>
            <w:noWrap/>
            <w:vAlign w:val="center"/>
            <w:hideMark/>
          </w:tcPr>
          <w:p w14:paraId="29062D77"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-39.570</w:t>
            </w:r>
          </w:p>
        </w:tc>
        <w:tc>
          <w:tcPr>
            <w:tcW w:w="1418" w:type="dxa"/>
            <w:tcBorders>
              <w:top w:val="single" w:sz="2" w:space="0" w:color="auto"/>
              <w:left w:val="nil"/>
              <w:bottom w:val="single" w:sz="2" w:space="0" w:color="auto"/>
              <w:right w:val="nil"/>
            </w:tcBorders>
            <w:shd w:val="clear" w:color="auto" w:fill="auto"/>
            <w:noWrap/>
            <w:vAlign w:val="center"/>
            <w:hideMark/>
          </w:tcPr>
          <w:p w14:paraId="6D0AEB98"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-42.143</w:t>
            </w:r>
          </w:p>
        </w:tc>
        <w:tc>
          <w:tcPr>
            <w:tcW w:w="1701" w:type="dxa"/>
            <w:tcBorders>
              <w:top w:val="single" w:sz="2" w:space="0" w:color="auto"/>
              <w:left w:val="nil"/>
              <w:bottom w:val="single" w:sz="2" w:space="0" w:color="auto"/>
              <w:right w:val="nil"/>
            </w:tcBorders>
            <w:shd w:val="clear" w:color="auto" w:fill="auto"/>
            <w:vAlign w:val="center"/>
            <w:hideMark/>
          </w:tcPr>
          <w:p w14:paraId="56FD1D5B" w14:textId="77777777" w:rsidR="00807992" w:rsidRPr="00CE1F33" w:rsidRDefault="00807992" w:rsidP="00807992">
            <w:pPr>
              <w:spacing w:after="0"/>
              <w:ind w:firstLine="0"/>
              <w:jc w:val="right"/>
              <w:rPr>
                <w:rFonts w:ascii="Arial Narrow" w:hAnsi="Arial Narrow" w:cs="Calibri"/>
                <w:b/>
                <w:bCs/>
                <w:i/>
                <w:iCs/>
                <w:color w:val="000000"/>
                <w:sz w:val="18"/>
                <w:szCs w:val="18"/>
                <w:lang w:val="es-ES" w:eastAsia="es-ES"/>
              </w:rPr>
            </w:pPr>
            <w:r w:rsidRPr="00CE1F33">
              <w:rPr>
                <w:rFonts w:ascii="Arial Narrow" w:hAnsi="Arial Narrow" w:cs="Calibri"/>
                <w:b/>
                <w:bCs/>
                <w:i/>
                <w:iCs/>
                <w:color w:val="000000"/>
                <w:sz w:val="18"/>
                <w:szCs w:val="18"/>
                <w:lang w:val="es-ES" w:eastAsia="es-ES"/>
              </w:rPr>
              <w:t> </w:t>
            </w:r>
          </w:p>
        </w:tc>
      </w:tr>
      <w:tr w:rsidR="00807992" w:rsidRPr="00CE1F33" w14:paraId="43DD3BEB" w14:textId="77777777" w:rsidTr="00645629">
        <w:trPr>
          <w:trHeight w:val="315"/>
        </w:trPr>
        <w:tc>
          <w:tcPr>
            <w:tcW w:w="4395" w:type="dxa"/>
            <w:tcBorders>
              <w:top w:val="single" w:sz="2" w:space="0" w:color="auto"/>
              <w:left w:val="nil"/>
              <w:bottom w:val="single" w:sz="2" w:space="0" w:color="auto"/>
              <w:right w:val="nil"/>
            </w:tcBorders>
            <w:shd w:val="clear" w:color="auto" w:fill="auto"/>
            <w:vAlign w:val="center"/>
            <w:hideMark/>
          </w:tcPr>
          <w:p w14:paraId="2F4726A5" w14:textId="77777777" w:rsidR="00807992" w:rsidRPr="00CE1F33" w:rsidRDefault="00807992" w:rsidP="00807992">
            <w:pPr>
              <w:spacing w:after="0"/>
              <w:ind w:firstLine="0"/>
              <w:jc w:val="left"/>
              <w:rPr>
                <w:rFonts w:ascii="Arial Narrow" w:hAnsi="Arial Narrow" w:cs="Calibri"/>
                <w:b/>
                <w:bCs/>
                <w:i/>
                <w:iCs/>
                <w:color w:val="000000"/>
                <w:lang w:val="es-ES" w:eastAsia="es-ES"/>
              </w:rPr>
            </w:pPr>
            <w:r w:rsidRPr="00CE1F33">
              <w:rPr>
                <w:rFonts w:ascii="Arial Narrow" w:hAnsi="Arial Narrow" w:cs="Calibri"/>
                <w:b/>
                <w:bCs/>
                <w:i/>
                <w:iCs/>
                <w:color w:val="000000"/>
                <w:lang w:val="es-ES" w:eastAsia="es-ES"/>
              </w:rPr>
              <w:t>(-) Obligaciones pendientes de pago</w:t>
            </w:r>
          </w:p>
        </w:tc>
        <w:tc>
          <w:tcPr>
            <w:tcW w:w="1417" w:type="dxa"/>
            <w:tcBorders>
              <w:top w:val="single" w:sz="2" w:space="0" w:color="auto"/>
              <w:left w:val="nil"/>
              <w:bottom w:val="single" w:sz="2" w:space="0" w:color="auto"/>
              <w:right w:val="nil"/>
            </w:tcBorders>
            <w:shd w:val="clear" w:color="auto" w:fill="auto"/>
            <w:noWrap/>
            <w:vAlign w:val="center"/>
            <w:hideMark/>
          </w:tcPr>
          <w:p w14:paraId="57A246F4" w14:textId="77777777" w:rsidR="00807992" w:rsidRPr="00962B2B" w:rsidRDefault="00807992" w:rsidP="00CA5DFB">
            <w:pPr>
              <w:spacing w:after="0"/>
              <w:ind w:firstLine="0"/>
              <w:jc w:val="right"/>
              <w:rPr>
                <w:rFonts w:ascii="Arial Narrow" w:hAnsi="Arial Narrow" w:cs="Calibri"/>
                <w:b/>
                <w:color w:val="000000"/>
                <w:sz w:val="17"/>
                <w:szCs w:val="17"/>
                <w:lang w:val="es-ES" w:eastAsia="es-ES"/>
              </w:rPr>
            </w:pPr>
            <w:r w:rsidRPr="00962B2B">
              <w:rPr>
                <w:rFonts w:ascii="Arial Narrow" w:hAnsi="Arial Narrow" w:cs="Calibri"/>
                <w:b/>
                <w:color w:val="000000"/>
                <w:sz w:val="17"/>
                <w:szCs w:val="17"/>
                <w:lang w:val="es-ES" w:eastAsia="es-ES"/>
              </w:rPr>
              <w:t>-34.258.966</w:t>
            </w:r>
          </w:p>
        </w:tc>
        <w:tc>
          <w:tcPr>
            <w:tcW w:w="1418" w:type="dxa"/>
            <w:tcBorders>
              <w:top w:val="single" w:sz="2" w:space="0" w:color="auto"/>
              <w:left w:val="nil"/>
              <w:bottom w:val="single" w:sz="2" w:space="0" w:color="auto"/>
              <w:right w:val="nil"/>
            </w:tcBorders>
            <w:shd w:val="clear" w:color="auto" w:fill="auto"/>
            <w:noWrap/>
            <w:vAlign w:val="center"/>
            <w:hideMark/>
          </w:tcPr>
          <w:p w14:paraId="0788F5A1" w14:textId="77777777" w:rsidR="00807992" w:rsidRPr="00962B2B" w:rsidRDefault="00807992" w:rsidP="00807992">
            <w:pPr>
              <w:spacing w:after="0"/>
              <w:ind w:firstLine="0"/>
              <w:jc w:val="right"/>
              <w:rPr>
                <w:rFonts w:ascii="Arial Narrow" w:hAnsi="Arial Narrow" w:cs="Calibri"/>
                <w:b/>
                <w:color w:val="000000"/>
                <w:sz w:val="17"/>
                <w:szCs w:val="17"/>
                <w:lang w:val="es-ES" w:eastAsia="es-ES"/>
              </w:rPr>
            </w:pPr>
            <w:r w:rsidRPr="00962B2B">
              <w:rPr>
                <w:rFonts w:ascii="Arial Narrow" w:hAnsi="Arial Narrow" w:cs="Calibri"/>
                <w:b/>
                <w:color w:val="000000"/>
                <w:sz w:val="17"/>
                <w:szCs w:val="17"/>
                <w:lang w:val="es-ES" w:eastAsia="es-ES"/>
              </w:rPr>
              <w:t>-55.003.638</w:t>
            </w:r>
          </w:p>
        </w:tc>
        <w:tc>
          <w:tcPr>
            <w:tcW w:w="1701" w:type="dxa"/>
            <w:tcBorders>
              <w:top w:val="single" w:sz="2" w:space="0" w:color="auto"/>
              <w:left w:val="nil"/>
              <w:bottom w:val="single" w:sz="2" w:space="0" w:color="auto"/>
              <w:right w:val="nil"/>
            </w:tcBorders>
            <w:shd w:val="clear" w:color="auto" w:fill="auto"/>
            <w:vAlign w:val="center"/>
            <w:hideMark/>
          </w:tcPr>
          <w:p w14:paraId="2C43E60D" w14:textId="77777777" w:rsidR="00807992" w:rsidRPr="00962B2B" w:rsidRDefault="00962B2B" w:rsidP="00807992">
            <w:pPr>
              <w:spacing w:after="0"/>
              <w:ind w:firstLine="0"/>
              <w:jc w:val="right"/>
              <w:rPr>
                <w:rFonts w:ascii="Arial Narrow" w:hAnsi="Arial Narrow" w:cs="Calibri"/>
                <w:b/>
                <w:bCs/>
                <w:i/>
                <w:iCs/>
                <w:color w:val="000000"/>
                <w:sz w:val="18"/>
                <w:szCs w:val="18"/>
                <w:lang w:val="es-ES" w:eastAsia="es-ES"/>
              </w:rPr>
            </w:pPr>
            <w:r>
              <w:rPr>
                <w:rFonts w:ascii="Arial Narrow" w:hAnsi="Arial Narrow" w:cs="Calibri"/>
                <w:b/>
                <w:bCs/>
                <w:i/>
                <w:iCs/>
                <w:color w:val="000000"/>
                <w:sz w:val="18"/>
                <w:szCs w:val="18"/>
                <w:lang w:val="es-ES" w:eastAsia="es-ES"/>
              </w:rPr>
              <w:t>61</w:t>
            </w:r>
          </w:p>
        </w:tc>
      </w:tr>
      <w:tr w:rsidR="00807992" w:rsidRPr="00CE1F33" w14:paraId="3249A796"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19506CE2"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Presupuesto de Gastos: Ejercicio corriente</w:t>
            </w:r>
          </w:p>
        </w:tc>
        <w:tc>
          <w:tcPr>
            <w:tcW w:w="1417" w:type="dxa"/>
            <w:tcBorders>
              <w:top w:val="single" w:sz="2" w:space="0" w:color="auto"/>
              <w:left w:val="nil"/>
              <w:bottom w:val="single" w:sz="2" w:space="0" w:color="auto"/>
              <w:right w:val="nil"/>
            </w:tcBorders>
            <w:shd w:val="clear" w:color="auto" w:fill="auto"/>
            <w:noWrap/>
            <w:vAlign w:val="center"/>
            <w:hideMark/>
          </w:tcPr>
          <w:p w14:paraId="3D6DCAA8"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-22.753.430</w:t>
            </w:r>
          </w:p>
        </w:tc>
        <w:tc>
          <w:tcPr>
            <w:tcW w:w="1418" w:type="dxa"/>
            <w:tcBorders>
              <w:top w:val="single" w:sz="2" w:space="0" w:color="auto"/>
              <w:left w:val="nil"/>
              <w:bottom w:val="single" w:sz="2" w:space="0" w:color="auto"/>
              <w:right w:val="nil"/>
            </w:tcBorders>
            <w:shd w:val="clear" w:color="auto" w:fill="auto"/>
            <w:noWrap/>
            <w:vAlign w:val="center"/>
            <w:hideMark/>
          </w:tcPr>
          <w:p w14:paraId="38045D7B"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-43.767.466</w:t>
            </w:r>
          </w:p>
        </w:tc>
        <w:tc>
          <w:tcPr>
            <w:tcW w:w="1701" w:type="dxa"/>
            <w:tcBorders>
              <w:top w:val="single" w:sz="2" w:space="0" w:color="auto"/>
              <w:left w:val="nil"/>
              <w:bottom w:val="single" w:sz="2" w:space="0" w:color="auto"/>
              <w:right w:val="nil"/>
            </w:tcBorders>
            <w:shd w:val="clear" w:color="auto" w:fill="auto"/>
            <w:vAlign w:val="center"/>
            <w:hideMark/>
          </w:tcPr>
          <w:p w14:paraId="1A831858" w14:textId="77777777" w:rsidR="00807992" w:rsidRPr="00CE1F33" w:rsidRDefault="00807992" w:rsidP="00807992">
            <w:pPr>
              <w:spacing w:after="0"/>
              <w:ind w:firstLine="0"/>
              <w:jc w:val="right"/>
              <w:rPr>
                <w:rFonts w:ascii="Arial Narrow" w:hAnsi="Arial Narrow" w:cs="Calibri"/>
                <w:b/>
                <w:bCs/>
                <w:i/>
                <w:iCs/>
                <w:color w:val="000000"/>
                <w:sz w:val="18"/>
                <w:szCs w:val="18"/>
                <w:lang w:val="es-ES" w:eastAsia="es-ES"/>
              </w:rPr>
            </w:pPr>
            <w:r w:rsidRPr="00CE1F33">
              <w:rPr>
                <w:rFonts w:ascii="Arial Narrow" w:hAnsi="Arial Narrow" w:cs="Calibri"/>
                <w:b/>
                <w:bCs/>
                <w:i/>
                <w:iCs/>
                <w:color w:val="000000"/>
                <w:sz w:val="18"/>
                <w:szCs w:val="18"/>
                <w:lang w:val="es-ES" w:eastAsia="es-ES"/>
              </w:rPr>
              <w:t> </w:t>
            </w:r>
          </w:p>
        </w:tc>
      </w:tr>
      <w:tr w:rsidR="00807992" w:rsidRPr="00CE1F33" w14:paraId="63DAEC63"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4EAEE122"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Presupuesto de Gastos: Ejercicios cerrados</w:t>
            </w:r>
          </w:p>
        </w:tc>
        <w:tc>
          <w:tcPr>
            <w:tcW w:w="1417" w:type="dxa"/>
            <w:tcBorders>
              <w:top w:val="single" w:sz="2" w:space="0" w:color="auto"/>
              <w:left w:val="nil"/>
              <w:bottom w:val="single" w:sz="2" w:space="0" w:color="auto"/>
              <w:right w:val="nil"/>
            </w:tcBorders>
            <w:shd w:val="clear" w:color="auto" w:fill="auto"/>
            <w:noWrap/>
            <w:vAlign w:val="center"/>
            <w:hideMark/>
          </w:tcPr>
          <w:p w14:paraId="25FFC5AC"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-1.345.355</w:t>
            </w:r>
          </w:p>
        </w:tc>
        <w:tc>
          <w:tcPr>
            <w:tcW w:w="1418" w:type="dxa"/>
            <w:tcBorders>
              <w:top w:val="single" w:sz="2" w:space="0" w:color="auto"/>
              <w:left w:val="nil"/>
              <w:bottom w:val="single" w:sz="2" w:space="0" w:color="auto"/>
              <w:right w:val="nil"/>
            </w:tcBorders>
            <w:shd w:val="clear" w:color="auto" w:fill="auto"/>
            <w:noWrap/>
            <w:vAlign w:val="center"/>
            <w:hideMark/>
          </w:tcPr>
          <w:p w14:paraId="604F15AC"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-1.324.751</w:t>
            </w:r>
          </w:p>
        </w:tc>
        <w:tc>
          <w:tcPr>
            <w:tcW w:w="1701" w:type="dxa"/>
            <w:tcBorders>
              <w:top w:val="single" w:sz="2" w:space="0" w:color="auto"/>
              <w:left w:val="nil"/>
              <w:bottom w:val="single" w:sz="2" w:space="0" w:color="auto"/>
              <w:right w:val="nil"/>
            </w:tcBorders>
            <w:shd w:val="clear" w:color="auto" w:fill="auto"/>
            <w:vAlign w:val="center"/>
            <w:hideMark/>
          </w:tcPr>
          <w:p w14:paraId="54FF5E8B" w14:textId="77777777" w:rsidR="00807992" w:rsidRPr="00CE1F33" w:rsidRDefault="00807992" w:rsidP="00807992">
            <w:pPr>
              <w:spacing w:after="0"/>
              <w:ind w:firstLine="0"/>
              <w:jc w:val="right"/>
              <w:rPr>
                <w:rFonts w:ascii="Arial Narrow" w:hAnsi="Arial Narrow" w:cs="Calibri"/>
                <w:b/>
                <w:bCs/>
                <w:i/>
                <w:iCs/>
                <w:color w:val="000000"/>
                <w:sz w:val="18"/>
                <w:szCs w:val="18"/>
                <w:lang w:val="es-ES" w:eastAsia="es-ES"/>
              </w:rPr>
            </w:pPr>
            <w:r w:rsidRPr="00CE1F33">
              <w:rPr>
                <w:rFonts w:ascii="Arial Narrow" w:hAnsi="Arial Narrow" w:cs="Calibri"/>
                <w:b/>
                <w:bCs/>
                <w:i/>
                <w:iCs/>
                <w:color w:val="000000"/>
                <w:sz w:val="18"/>
                <w:szCs w:val="18"/>
                <w:lang w:val="es-ES" w:eastAsia="es-ES"/>
              </w:rPr>
              <w:t> </w:t>
            </w:r>
          </w:p>
        </w:tc>
      </w:tr>
      <w:tr w:rsidR="00807992" w:rsidRPr="00CE1F33" w14:paraId="738F9596"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60AB6F66"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Gastos extrapresupuestarios</w:t>
            </w:r>
          </w:p>
        </w:tc>
        <w:tc>
          <w:tcPr>
            <w:tcW w:w="1417" w:type="dxa"/>
            <w:tcBorders>
              <w:top w:val="single" w:sz="2" w:space="0" w:color="auto"/>
              <w:left w:val="nil"/>
              <w:bottom w:val="single" w:sz="2" w:space="0" w:color="auto"/>
              <w:right w:val="nil"/>
            </w:tcBorders>
            <w:shd w:val="clear" w:color="auto" w:fill="auto"/>
            <w:noWrap/>
            <w:vAlign w:val="center"/>
            <w:hideMark/>
          </w:tcPr>
          <w:p w14:paraId="2BDD894D"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-10.000.096</w:t>
            </w:r>
          </w:p>
        </w:tc>
        <w:tc>
          <w:tcPr>
            <w:tcW w:w="1418" w:type="dxa"/>
            <w:tcBorders>
              <w:top w:val="single" w:sz="2" w:space="0" w:color="auto"/>
              <w:left w:val="nil"/>
              <w:bottom w:val="single" w:sz="2" w:space="0" w:color="auto"/>
              <w:right w:val="nil"/>
            </w:tcBorders>
            <w:shd w:val="clear" w:color="auto" w:fill="auto"/>
            <w:noWrap/>
            <w:vAlign w:val="center"/>
            <w:hideMark/>
          </w:tcPr>
          <w:p w14:paraId="6CE9225E"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-9.841.870</w:t>
            </w:r>
          </w:p>
        </w:tc>
        <w:tc>
          <w:tcPr>
            <w:tcW w:w="1701" w:type="dxa"/>
            <w:tcBorders>
              <w:top w:val="single" w:sz="2" w:space="0" w:color="auto"/>
              <w:left w:val="nil"/>
              <w:bottom w:val="single" w:sz="2" w:space="0" w:color="auto"/>
              <w:right w:val="nil"/>
            </w:tcBorders>
            <w:shd w:val="clear" w:color="auto" w:fill="auto"/>
            <w:vAlign w:val="center"/>
            <w:hideMark/>
          </w:tcPr>
          <w:p w14:paraId="46D8505B" w14:textId="77777777" w:rsidR="00807992" w:rsidRPr="00CE1F33" w:rsidRDefault="00807992" w:rsidP="00807992">
            <w:pPr>
              <w:spacing w:after="0"/>
              <w:ind w:firstLine="0"/>
              <w:jc w:val="right"/>
              <w:rPr>
                <w:rFonts w:ascii="Arial Narrow" w:hAnsi="Arial Narrow" w:cs="Calibri"/>
                <w:b/>
                <w:bCs/>
                <w:i/>
                <w:iCs/>
                <w:color w:val="000000"/>
                <w:sz w:val="18"/>
                <w:szCs w:val="18"/>
                <w:lang w:val="es-ES" w:eastAsia="es-ES"/>
              </w:rPr>
            </w:pPr>
            <w:r w:rsidRPr="00CE1F33">
              <w:rPr>
                <w:rFonts w:ascii="Arial Narrow" w:hAnsi="Arial Narrow" w:cs="Calibri"/>
                <w:b/>
                <w:bCs/>
                <w:i/>
                <w:iCs/>
                <w:color w:val="000000"/>
                <w:sz w:val="18"/>
                <w:szCs w:val="18"/>
                <w:lang w:val="es-ES" w:eastAsia="es-ES"/>
              </w:rPr>
              <w:t> </w:t>
            </w:r>
          </w:p>
        </w:tc>
      </w:tr>
      <w:tr w:rsidR="00807992" w:rsidRPr="00CE1F33" w14:paraId="43FD3F7D"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666A9639"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Devoluciones pendientes de pago</w:t>
            </w:r>
          </w:p>
        </w:tc>
        <w:tc>
          <w:tcPr>
            <w:tcW w:w="1417" w:type="dxa"/>
            <w:tcBorders>
              <w:top w:val="single" w:sz="2" w:space="0" w:color="auto"/>
              <w:left w:val="nil"/>
              <w:bottom w:val="single" w:sz="2" w:space="0" w:color="auto"/>
              <w:right w:val="nil"/>
            </w:tcBorders>
            <w:shd w:val="clear" w:color="auto" w:fill="auto"/>
            <w:noWrap/>
            <w:vAlign w:val="center"/>
            <w:hideMark/>
          </w:tcPr>
          <w:p w14:paraId="2211F6EE"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-172.826</w:t>
            </w:r>
          </w:p>
        </w:tc>
        <w:tc>
          <w:tcPr>
            <w:tcW w:w="1418" w:type="dxa"/>
            <w:tcBorders>
              <w:top w:val="single" w:sz="2" w:space="0" w:color="auto"/>
              <w:left w:val="nil"/>
              <w:bottom w:val="single" w:sz="2" w:space="0" w:color="auto"/>
              <w:right w:val="nil"/>
            </w:tcBorders>
            <w:shd w:val="clear" w:color="auto" w:fill="auto"/>
            <w:noWrap/>
            <w:vAlign w:val="center"/>
            <w:hideMark/>
          </w:tcPr>
          <w:p w14:paraId="263AC35B"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-196.697</w:t>
            </w:r>
          </w:p>
        </w:tc>
        <w:tc>
          <w:tcPr>
            <w:tcW w:w="1701" w:type="dxa"/>
            <w:tcBorders>
              <w:top w:val="single" w:sz="2" w:space="0" w:color="auto"/>
              <w:left w:val="nil"/>
              <w:bottom w:val="single" w:sz="2" w:space="0" w:color="auto"/>
              <w:right w:val="nil"/>
            </w:tcBorders>
            <w:shd w:val="clear" w:color="auto" w:fill="auto"/>
            <w:vAlign w:val="center"/>
            <w:hideMark/>
          </w:tcPr>
          <w:p w14:paraId="37654B0F" w14:textId="77777777" w:rsidR="00807992" w:rsidRPr="00CE1F33" w:rsidRDefault="00807992" w:rsidP="00807992">
            <w:pPr>
              <w:spacing w:after="0"/>
              <w:ind w:firstLine="0"/>
              <w:jc w:val="right"/>
              <w:rPr>
                <w:rFonts w:ascii="Arial Narrow" w:hAnsi="Arial Narrow" w:cs="Calibri"/>
                <w:b/>
                <w:bCs/>
                <w:i/>
                <w:iCs/>
                <w:color w:val="000000"/>
                <w:sz w:val="18"/>
                <w:szCs w:val="18"/>
                <w:lang w:val="es-ES" w:eastAsia="es-ES"/>
              </w:rPr>
            </w:pPr>
            <w:r w:rsidRPr="00CE1F33">
              <w:rPr>
                <w:rFonts w:ascii="Arial Narrow" w:hAnsi="Arial Narrow" w:cs="Calibri"/>
                <w:b/>
                <w:bCs/>
                <w:i/>
                <w:iCs/>
                <w:color w:val="000000"/>
                <w:sz w:val="18"/>
                <w:szCs w:val="18"/>
                <w:lang w:val="es-ES" w:eastAsia="es-ES"/>
              </w:rPr>
              <w:t> </w:t>
            </w:r>
          </w:p>
        </w:tc>
      </w:tr>
      <w:tr w:rsidR="00807992" w:rsidRPr="00CE1F33" w14:paraId="0BD3675B"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65796B5C"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Pagos pendientes de aplicación</w:t>
            </w:r>
          </w:p>
        </w:tc>
        <w:tc>
          <w:tcPr>
            <w:tcW w:w="1417" w:type="dxa"/>
            <w:tcBorders>
              <w:top w:val="single" w:sz="2" w:space="0" w:color="auto"/>
              <w:left w:val="nil"/>
              <w:bottom w:val="single" w:sz="2" w:space="0" w:color="auto"/>
              <w:right w:val="nil"/>
            </w:tcBorders>
            <w:shd w:val="clear" w:color="auto" w:fill="auto"/>
            <w:noWrap/>
            <w:vAlign w:val="center"/>
            <w:hideMark/>
          </w:tcPr>
          <w:p w14:paraId="7E18972A"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12.741</w:t>
            </w:r>
          </w:p>
        </w:tc>
        <w:tc>
          <w:tcPr>
            <w:tcW w:w="1418" w:type="dxa"/>
            <w:tcBorders>
              <w:top w:val="single" w:sz="2" w:space="0" w:color="auto"/>
              <w:left w:val="nil"/>
              <w:bottom w:val="single" w:sz="2" w:space="0" w:color="auto"/>
              <w:right w:val="nil"/>
            </w:tcBorders>
            <w:shd w:val="clear" w:color="auto" w:fill="auto"/>
            <w:noWrap/>
            <w:vAlign w:val="center"/>
            <w:hideMark/>
          </w:tcPr>
          <w:p w14:paraId="106C11EF" w14:textId="77777777" w:rsidR="00807992" w:rsidRPr="00CE1F33" w:rsidRDefault="00807992" w:rsidP="00A2741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127.14</w:t>
            </w:r>
            <w:r w:rsidR="00A27412">
              <w:rPr>
                <w:rFonts w:ascii="Arial Narrow" w:hAnsi="Arial Narrow" w:cs="Calibri"/>
                <w:color w:val="000000"/>
                <w:sz w:val="17"/>
                <w:szCs w:val="17"/>
                <w:lang w:val="es-ES" w:eastAsia="es-ES"/>
              </w:rPr>
              <w:t>6</w:t>
            </w:r>
          </w:p>
        </w:tc>
        <w:tc>
          <w:tcPr>
            <w:tcW w:w="1701" w:type="dxa"/>
            <w:tcBorders>
              <w:top w:val="single" w:sz="2" w:space="0" w:color="auto"/>
              <w:left w:val="nil"/>
              <w:bottom w:val="single" w:sz="2" w:space="0" w:color="auto"/>
              <w:right w:val="nil"/>
            </w:tcBorders>
            <w:shd w:val="clear" w:color="auto" w:fill="auto"/>
            <w:vAlign w:val="center"/>
            <w:hideMark/>
          </w:tcPr>
          <w:p w14:paraId="1CF8B20D" w14:textId="77777777" w:rsidR="00807992" w:rsidRPr="00CE1F33" w:rsidRDefault="00807992" w:rsidP="00807992">
            <w:pPr>
              <w:spacing w:after="0"/>
              <w:ind w:firstLine="0"/>
              <w:jc w:val="right"/>
              <w:rPr>
                <w:rFonts w:ascii="Arial Narrow" w:hAnsi="Arial Narrow" w:cs="Calibri"/>
                <w:b/>
                <w:bCs/>
                <w:i/>
                <w:iCs/>
                <w:color w:val="000000"/>
                <w:sz w:val="18"/>
                <w:szCs w:val="18"/>
                <w:lang w:val="es-ES" w:eastAsia="es-ES"/>
              </w:rPr>
            </w:pPr>
            <w:r w:rsidRPr="00CE1F33">
              <w:rPr>
                <w:rFonts w:ascii="Arial Narrow" w:hAnsi="Arial Narrow" w:cs="Calibri"/>
                <w:b/>
                <w:bCs/>
                <w:i/>
                <w:iCs/>
                <w:color w:val="000000"/>
                <w:sz w:val="18"/>
                <w:szCs w:val="18"/>
                <w:lang w:val="es-ES" w:eastAsia="es-ES"/>
              </w:rPr>
              <w:t> </w:t>
            </w:r>
          </w:p>
        </w:tc>
      </w:tr>
      <w:tr w:rsidR="00807992" w:rsidRPr="00962B2B" w14:paraId="57FB6A4F" w14:textId="77777777" w:rsidTr="00645629">
        <w:trPr>
          <w:trHeight w:val="255"/>
        </w:trPr>
        <w:tc>
          <w:tcPr>
            <w:tcW w:w="4395" w:type="dxa"/>
            <w:tcBorders>
              <w:top w:val="single" w:sz="2" w:space="0" w:color="auto"/>
              <w:left w:val="nil"/>
              <w:bottom w:val="single" w:sz="2" w:space="0" w:color="auto"/>
              <w:right w:val="nil"/>
            </w:tcBorders>
            <w:shd w:val="clear" w:color="auto" w:fill="auto"/>
            <w:vAlign w:val="center"/>
            <w:hideMark/>
          </w:tcPr>
          <w:p w14:paraId="4830BE3D" w14:textId="77777777" w:rsidR="00807992" w:rsidRPr="00962B2B" w:rsidRDefault="00807992" w:rsidP="00807992">
            <w:pPr>
              <w:spacing w:after="0"/>
              <w:ind w:firstLine="0"/>
              <w:jc w:val="left"/>
              <w:rPr>
                <w:rFonts w:ascii="Arial Narrow" w:hAnsi="Arial Narrow" w:cs="Calibri"/>
                <w:b/>
                <w:bCs/>
                <w:i/>
                <w:iCs/>
                <w:color w:val="000000"/>
                <w:lang w:val="es-ES" w:eastAsia="es-ES"/>
              </w:rPr>
            </w:pPr>
            <w:r w:rsidRPr="00962B2B">
              <w:rPr>
                <w:rFonts w:ascii="Arial Narrow" w:hAnsi="Arial Narrow" w:cs="Calibri"/>
                <w:b/>
                <w:bCs/>
                <w:i/>
                <w:iCs/>
                <w:color w:val="000000"/>
                <w:lang w:val="es-ES" w:eastAsia="es-ES"/>
              </w:rPr>
              <w:t>(+) Fondos líquidos de Tesorería</w:t>
            </w:r>
          </w:p>
        </w:tc>
        <w:tc>
          <w:tcPr>
            <w:tcW w:w="1417" w:type="dxa"/>
            <w:tcBorders>
              <w:top w:val="single" w:sz="2" w:space="0" w:color="auto"/>
              <w:left w:val="nil"/>
              <w:bottom w:val="single" w:sz="2" w:space="0" w:color="auto"/>
              <w:right w:val="nil"/>
            </w:tcBorders>
            <w:shd w:val="clear" w:color="auto" w:fill="auto"/>
            <w:noWrap/>
            <w:vAlign w:val="center"/>
            <w:hideMark/>
          </w:tcPr>
          <w:p w14:paraId="10FEFC23" w14:textId="77777777" w:rsidR="00807992" w:rsidRPr="00962B2B" w:rsidRDefault="00807992" w:rsidP="00CA5DFB">
            <w:pPr>
              <w:spacing w:after="0"/>
              <w:ind w:firstLine="0"/>
              <w:jc w:val="right"/>
              <w:rPr>
                <w:rFonts w:ascii="Arial Narrow" w:hAnsi="Arial Narrow" w:cs="Calibri"/>
                <w:b/>
                <w:color w:val="000000"/>
                <w:sz w:val="17"/>
                <w:szCs w:val="17"/>
                <w:lang w:val="es-ES" w:eastAsia="es-ES"/>
              </w:rPr>
            </w:pPr>
            <w:r w:rsidRPr="00962B2B">
              <w:rPr>
                <w:rFonts w:ascii="Arial Narrow" w:hAnsi="Arial Narrow" w:cs="Calibri"/>
                <w:b/>
                <w:color w:val="000000"/>
                <w:sz w:val="17"/>
                <w:szCs w:val="17"/>
                <w:lang w:val="es-ES" w:eastAsia="es-ES"/>
              </w:rPr>
              <w:t>80.808.665</w:t>
            </w:r>
          </w:p>
        </w:tc>
        <w:tc>
          <w:tcPr>
            <w:tcW w:w="1418" w:type="dxa"/>
            <w:tcBorders>
              <w:top w:val="single" w:sz="2" w:space="0" w:color="auto"/>
              <w:left w:val="nil"/>
              <w:bottom w:val="single" w:sz="2" w:space="0" w:color="auto"/>
              <w:right w:val="nil"/>
            </w:tcBorders>
            <w:shd w:val="clear" w:color="auto" w:fill="auto"/>
            <w:noWrap/>
            <w:vAlign w:val="center"/>
            <w:hideMark/>
          </w:tcPr>
          <w:p w14:paraId="211B7341" w14:textId="77777777" w:rsidR="00807992" w:rsidRPr="00962B2B" w:rsidRDefault="00807992" w:rsidP="00807992">
            <w:pPr>
              <w:spacing w:after="0"/>
              <w:ind w:firstLine="0"/>
              <w:jc w:val="right"/>
              <w:rPr>
                <w:rFonts w:ascii="Arial Narrow" w:hAnsi="Arial Narrow" w:cs="Calibri"/>
                <w:b/>
                <w:color w:val="000000"/>
                <w:sz w:val="17"/>
                <w:szCs w:val="17"/>
                <w:lang w:val="es-ES" w:eastAsia="es-ES"/>
              </w:rPr>
            </w:pPr>
            <w:r w:rsidRPr="00962B2B">
              <w:rPr>
                <w:rFonts w:ascii="Arial Narrow" w:hAnsi="Arial Narrow" w:cs="Calibri"/>
                <w:b/>
                <w:color w:val="000000"/>
                <w:sz w:val="17"/>
                <w:szCs w:val="17"/>
                <w:lang w:val="es-ES" w:eastAsia="es-ES"/>
              </w:rPr>
              <w:t>82.508.882</w:t>
            </w:r>
          </w:p>
        </w:tc>
        <w:tc>
          <w:tcPr>
            <w:tcW w:w="1701" w:type="dxa"/>
            <w:tcBorders>
              <w:top w:val="single" w:sz="2" w:space="0" w:color="auto"/>
              <w:left w:val="nil"/>
              <w:bottom w:val="single" w:sz="2" w:space="0" w:color="auto"/>
              <w:right w:val="nil"/>
            </w:tcBorders>
            <w:shd w:val="clear" w:color="auto" w:fill="auto"/>
            <w:vAlign w:val="center"/>
            <w:hideMark/>
          </w:tcPr>
          <w:p w14:paraId="3521425B" w14:textId="77777777" w:rsidR="00807992" w:rsidRPr="00962B2B" w:rsidRDefault="00962B2B" w:rsidP="00807992">
            <w:pPr>
              <w:spacing w:after="0"/>
              <w:ind w:firstLine="0"/>
              <w:jc w:val="right"/>
              <w:rPr>
                <w:rFonts w:ascii="Arial Narrow" w:hAnsi="Arial Narrow" w:cs="Calibri"/>
                <w:b/>
                <w:bCs/>
                <w:i/>
                <w:iCs/>
                <w:color w:val="000000"/>
                <w:sz w:val="18"/>
                <w:szCs w:val="18"/>
                <w:lang w:val="es-ES" w:eastAsia="es-ES"/>
              </w:rPr>
            </w:pPr>
            <w:r>
              <w:rPr>
                <w:rFonts w:ascii="Arial Narrow" w:hAnsi="Arial Narrow" w:cs="Calibri"/>
                <w:b/>
                <w:bCs/>
                <w:i/>
                <w:iCs/>
                <w:color w:val="000000"/>
                <w:sz w:val="18"/>
                <w:szCs w:val="18"/>
                <w:lang w:val="es-ES" w:eastAsia="es-ES"/>
              </w:rPr>
              <w:t>2</w:t>
            </w:r>
          </w:p>
        </w:tc>
      </w:tr>
      <w:tr w:rsidR="00807992" w:rsidRPr="00962B2B" w14:paraId="2FB207A7" w14:textId="77777777" w:rsidTr="00645629">
        <w:trPr>
          <w:trHeight w:val="255"/>
        </w:trPr>
        <w:tc>
          <w:tcPr>
            <w:tcW w:w="4395" w:type="dxa"/>
            <w:tcBorders>
              <w:top w:val="single" w:sz="2" w:space="0" w:color="auto"/>
              <w:left w:val="nil"/>
              <w:bottom w:val="single" w:sz="2" w:space="0" w:color="auto"/>
              <w:right w:val="nil"/>
            </w:tcBorders>
            <w:shd w:val="clear" w:color="auto" w:fill="auto"/>
            <w:vAlign w:val="center"/>
            <w:hideMark/>
          </w:tcPr>
          <w:p w14:paraId="632A3CF4" w14:textId="77777777" w:rsidR="00807992" w:rsidRPr="00962B2B" w:rsidRDefault="00807992" w:rsidP="00807992">
            <w:pPr>
              <w:spacing w:after="0"/>
              <w:ind w:firstLine="0"/>
              <w:jc w:val="left"/>
              <w:rPr>
                <w:rFonts w:ascii="Arial Narrow" w:hAnsi="Arial Narrow" w:cs="Calibri"/>
                <w:b/>
                <w:bCs/>
                <w:i/>
                <w:iCs/>
                <w:color w:val="000000"/>
                <w:lang w:val="es-ES" w:eastAsia="es-ES"/>
              </w:rPr>
            </w:pPr>
            <w:r w:rsidRPr="00962B2B">
              <w:rPr>
                <w:rFonts w:ascii="Arial Narrow" w:hAnsi="Arial Narrow" w:cs="Calibri"/>
                <w:b/>
                <w:bCs/>
                <w:i/>
                <w:iCs/>
                <w:color w:val="000000"/>
                <w:lang w:val="es-ES" w:eastAsia="es-ES"/>
              </w:rPr>
              <w:t>(+) Desviaciones financiación acumuladas negativas</w:t>
            </w:r>
          </w:p>
        </w:tc>
        <w:tc>
          <w:tcPr>
            <w:tcW w:w="1417" w:type="dxa"/>
            <w:tcBorders>
              <w:top w:val="single" w:sz="2" w:space="0" w:color="auto"/>
              <w:left w:val="nil"/>
              <w:bottom w:val="single" w:sz="2" w:space="0" w:color="auto"/>
              <w:right w:val="nil"/>
            </w:tcBorders>
            <w:shd w:val="clear" w:color="auto" w:fill="auto"/>
            <w:noWrap/>
            <w:vAlign w:val="center"/>
            <w:hideMark/>
          </w:tcPr>
          <w:p w14:paraId="667137D4" w14:textId="77777777" w:rsidR="00807992" w:rsidRPr="00962B2B" w:rsidRDefault="00807992" w:rsidP="00CA5DFB">
            <w:pPr>
              <w:spacing w:after="0"/>
              <w:ind w:firstLine="0"/>
              <w:jc w:val="right"/>
              <w:rPr>
                <w:rFonts w:ascii="Arial Narrow" w:hAnsi="Arial Narrow" w:cs="Calibri"/>
                <w:b/>
                <w:color w:val="000000"/>
                <w:sz w:val="17"/>
                <w:szCs w:val="17"/>
                <w:lang w:val="es-ES" w:eastAsia="es-ES"/>
              </w:rPr>
            </w:pPr>
            <w:r w:rsidRPr="00962B2B">
              <w:rPr>
                <w:rFonts w:ascii="Arial Narrow" w:hAnsi="Arial Narrow" w:cs="Calibri"/>
                <w:b/>
                <w:color w:val="000000"/>
                <w:sz w:val="17"/>
                <w:szCs w:val="17"/>
                <w:lang w:val="es-ES" w:eastAsia="es-ES"/>
              </w:rPr>
              <w:t>22.332.195</w:t>
            </w:r>
          </w:p>
        </w:tc>
        <w:tc>
          <w:tcPr>
            <w:tcW w:w="1418" w:type="dxa"/>
            <w:tcBorders>
              <w:top w:val="single" w:sz="2" w:space="0" w:color="auto"/>
              <w:left w:val="nil"/>
              <w:bottom w:val="single" w:sz="2" w:space="0" w:color="auto"/>
              <w:right w:val="nil"/>
            </w:tcBorders>
            <w:shd w:val="clear" w:color="auto" w:fill="auto"/>
            <w:noWrap/>
            <w:vAlign w:val="center"/>
            <w:hideMark/>
          </w:tcPr>
          <w:p w14:paraId="20779C08" w14:textId="77777777" w:rsidR="00807992" w:rsidRPr="00962B2B" w:rsidRDefault="00807992" w:rsidP="00807992">
            <w:pPr>
              <w:spacing w:after="0"/>
              <w:ind w:firstLine="0"/>
              <w:jc w:val="right"/>
              <w:rPr>
                <w:rFonts w:ascii="Arial Narrow" w:hAnsi="Arial Narrow" w:cs="Calibri"/>
                <w:b/>
                <w:color w:val="000000"/>
                <w:sz w:val="17"/>
                <w:szCs w:val="17"/>
                <w:lang w:val="es-ES" w:eastAsia="es-ES"/>
              </w:rPr>
            </w:pPr>
            <w:r w:rsidRPr="00962B2B">
              <w:rPr>
                <w:rFonts w:ascii="Arial Narrow" w:hAnsi="Arial Narrow" w:cs="Calibri"/>
                <w:b/>
                <w:color w:val="000000"/>
                <w:sz w:val="17"/>
                <w:szCs w:val="17"/>
                <w:lang w:val="es-ES" w:eastAsia="es-ES"/>
              </w:rPr>
              <w:t>24.814.147</w:t>
            </w:r>
          </w:p>
        </w:tc>
        <w:tc>
          <w:tcPr>
            <w:tcW w:w="1701" w:type="dxa"/>
            <w:tcBorders>
              <w:top w:val="single" w:sz="2" w:space="0" w:color="auto"/>
              <w:left w:val="nil"/>
              <w:bottom w:val="single" w:sz="2" w:space="0" w:color="auto"/>
              <w:right w:val="nil"/>
            </w:tcBorders>
            <w:shd w:val="clear" w:color="auto" w:fill="auto"/>
            <w:vAlign w:val="center"/>
            <w:hideMark/>
          </w:tcPr>
          <w:p w14:paraId="27A9947B" w14:textId="77777777" w:rsidR="00807992" w:rsidRPr="00962B2B" w:rsidRDefault="00962B2B" w:rsidP="00807992">
            <w:pPr>
              <w:spacing w:after="0"/>
              <w:ind w:firstLine="0"/>
              <w:jc w:val="right"/>
              <w:rPr>
                <w:rFonts w:ascii="Arial Narrow" w:hAnsi="Arial Narrow" w:cs="Calibri"/>
                <w:b/>
                <w:bCs/>
                <w:i/>
                <w:iCs/>
                <w:color w:val="000000"/>
                <w:sz w:val="18"/>
                <w:szCs w:val="18"/>
                <w:lang w:val="es-ES" w:eastAsia="es-ES"/>
              </w:rPr>
            </w:pPr>
            <w:r>
              <w:rPr>
                <w:rFonts w:ascii="Arial Narrow" w:hAnsi="Arial Narrow" w:cs="Calibri"/>
                <w:b/>
                <w:bCs/>
                <w:i/>
                <w:iCs/>
                <w:color w:val="000000"/>
                <w:sz w:val="18"/>
                <w:szCs w:val="18"/>
                <w:lang w:val="es-ES" w:eastAsia="es-ES"/>
              </w:rPr>
              <w:t>11</w:t>
            </w:r>
          </w:p>
        </w:tc>
      </w:tr>
      <w:tr w:rsidR="00807992" w:rsidRPr="00962B2B" w14:paraId="6D80F823" w14:textId="77777777" w:rsidTr="00645629">
        <w:trPr>
          <w:trHeight w:val="255"/>
        </w:trPr>
        <w:tc>
          <w:tcPr>
            <w:tcW w:w="4395" w:type="dxa"/>
            <w:tcBorders>
              <w:top w:val="single" w:sz="2" w:space="0" w:color="auto"/>
              <w:left w:val="nil"/>
              <w:bottom w:val="single" w:sz="2" w:space="0" w:color="auto"/>
              <w:right w:val="nil"/>
            </w:tcBorders>
            <w:shd w:val="clear" w:color="auto" w:fill="auto"/>
            <w:vAlign w:val="center"/>
            <w:hideMark/>
          </w:tcPr>
          <w:p w14:paraId="5BDC6AC2" w14:textId="77777777" w:rsidR="00807992" w:rsidRPr="00962B2B" w:rsidRDefault="00807992" w:rsidP="00807992">
            <w:pPr>
              <w:spacing w:after="0"/>
              <w:ind w:firstLine="0"/>
              <w:jc w:val="left"/>
              <w:rPr>
                <w:rFonts w:ascii="Arial Narrow" w:hAnsi="Arial Narrow" w:cs="Calibri"/>
                <w:b/>
                <w:bCs/>
                <w:color w:val="000000"/>
                <w:lang w:val="es-ES" w:eastAsia="es-ES"/>
              </w:rPr>
            </w:pPr>
            <w:r w:rsidRPr="00962B2B">
              <w:rPr>
                <w:rFonts w:ascii="Arial Narrow" w:hAnsi="Arial Narrow" w:cs="Calibri"/>
                <w:b/>
                <w:bCs/>
                <w:color w:val="000000"/>
                <w:lang w:val="es-ES" w:eastAsia="es-ES"/>
              </w:rPr>
              <w:t>Remanente de Tesorería Total</w:t>
            </w:r>
          </w:p>
        </w:tc>
        <w:tc>
          <w:tcPr>
            <w:tcW w:w="1417" w:type="dxa"/>
            <w:tcBorders>
              <w:top w:val="single" w:sz="2" w:space="0" w:color="auto"/>
              <w:left w:val="nil"/>
              <w:bottom w:val="single" w:sz="2" w:space="0" w:color="auto"/>
              <w:right w:val="nil"/>
            </w:tcBorders>
            <w:shd w:val="clear" w:color="auto" w:fill="auto"/>
            <w:noWrap/>
            <w:vAlign w:val="center"/>
            <w:hideMark/>
          </w:tcPr>
          <w:p w14:paraId="31F86D31" w14:textId="77777777" w:rsidR="00807992" w:rsidRPr="00962B2B" w:rsidRDefault="00807992" w:rsidP="00CA5DFB">
            <w:pPr>
              <w:spacing w:after="0"/>
              <w:ind w:firstLine="0"/>
              <w:jc w:val="right"/>
              <w:rPr>
                <w:rFonts w:ascii="Arial Narrow" w:hAnsi="Arial Narrow" w:cs="Calibri"/>
                <w:b/>
                <w:color w:val="000000"/>
                <w:sz w:val="17"/>
                <w:szCs w:val="17"/>
                <w:lang w:val="es-ES" w:eastAsia="es-ES"/>
              </w:rPr>
            </w:pPr>
            <w:r w:rsidRPr="00962B2B">
              <w:rPr>
                <w:rFonts w:ascii="Arial Narrow" w:hAnsi="Arial Narrow" w:cs="Calibri"/>
                <w:b/>
                <w:color w:val="000000"/>
                <w:sz w:val="17"/>
                <w:szCs w:val="17"/>
                <w:lang w:val="es-ES" w:eastAsia="es-ES"/>
              </w:rPr>
              <w:t>88.205.353</w:t>
            </w:r>
          </w:p>
        </w:tc>
        <w:tc>
          <w:tcPr>
            <w:tcW w:w="1418" w:type="dxa"/>
            <w:tcBorders>
              <w:top w:val="single" w:sz="2" w:space="0" w:color="auto"/>
              <w:left w:val="nil"/>
              <w:bottom w:val="single" w:sz="2" w:space="0" w:color="auto"/>
              <w:right w:val="nil"/>
            </w:tcBorders>
            <w:shd w:val="clear" w:color="auto" w:fill="auto"/>
            <w:noWrap/>
            <w:vAlign w:val="center"/>
            <w:hideMark/>
          </w:tcPr>
          <w:p w14:paraId="2281CD0A" w14:textId="77777777" w:rsidR="00807992" w:rsidRPr="00962B2B" w:rsidRDefault="00807992" w:rsidP="00807992">
            <w:pPr>
              <w:spacing w:after="0"/>
              <w:ind w:firstLine="0"/>
              <w:jc w:val="right"/>
              <w:rPr>
                <w:rFonts w:ascii="Arial Narrow" w:hAnsi="Arial Narrow" w:cs="Calibri"/>
                <w:b/>
                <w:color w:val="000000"/>
                <w:sz w:val="17"/>
                <w:szCs w:val="17"/>
                <w:lang w:val="es-ES" w:eastAsia="es-ES"/>
              </w:rPr>
            </w:pPr>
            <w:r w:rsidRPr="00962B2B">
              <w:rPr>
                <w:rFonts w:ascii="Arial Narrow" w:hAnsi="Arial Narrow" w:cs="Calibri"/>
                <w:b/>
                <w:color w:val="000000"/>
                <w:sz w:val="17"/>
                <w:szCs w:val="17"/>
                <w:lang w:val="es-ES" w:eastAsia="es-ES"/>
              </w:rPr>
              <w:t>73.132.254</w:t>
            </w:r>
          </w:p>
        </w:tc>
        <w:tc>
          <w:tcPr>
            <w:tcW w:w="1701" w:type="dxa"/>
            <w:tcBorders>
              <w:top w:val="single" w:sz="2" w:space="0" w:color="auto"/>
              <w:left w:val="nil"/>
              <w:bottom w:val="single" w:sz="2" w:space="0" w:color="auto"/>
              <w:right w:val="nil"/>
            </w:tcBorders>
            <w:shd w:val="clear" w:color="auto" w:fill="auto"/>
            <w:vAlign w:val="center"/>
            <w:hideMark/>
          </w:tcPr>
          <w:p w14:paraId="68A3C31C" w14:textId="77777777" w:rsidR="00807992" w:rsidRPr="00962B2B" w:rsidRDefault="00962B2B" w:rsidP="00807992">
            <w:pPr>
              <w:spacing w:after="0"/>
              <w:ind w:firstLine="0"/>
              <w:jc w:val="right"/>
              <w:rPr>
                <w:rFonts w:ascii="Arial Narrow" w:hAnsi="Arial Narrow" w:cs="Calibri"/>
                <w:b/>
                <w:bCs/>
                <w:i/>
                <w:iCs/>
                <w:color w:val="000000"/>
                <w:sz w:val="18"/>
                <w:szCs w:val="18"/>
                <w:lang w:val="es-ES" w:eastAsia="es-ES"/>
              </w:rPr>
            </w:pPr>
            <w:r>
              <w:rPr>
                <w:rFonts w:ascii="Arial Narrow" w:hAnsi="Arial Narrow" w:cs="Calibri"/>
                <w:b/>
                <w:bCs/>
                <w:i/>
                <w:iCs/>
                <w:color w:val="000000"/>
                <w:sz w:val="18"/>
                <w:szCs w:val="18"/>
                <w:lang w:val="es-ES" w:eastAsia="es-ES"/>
              </w:rPr>
              <w:t>-17</w:t>
            </w:r>
          </w:p>
        </w:tc>
      </w:tr>
      <w:tr w:rsidR="00807992" w:rsidRPr="00CE1F33" w14:paraId="34140666" w14:textId="77777777" w:rsidTr="00645629">
        <w:trPr>
          <w:trHeight w:val="198"/>
        </w:trPr>
        <w:tc>
          <w:tcPr>
            <w:tcW w:w="4395" w:type="dxa"/>
            <w:tcBorders>
              <w:top w:val="single" w:sz="2" w:space="0" w:color="auto"/>
              <w:left w:val="nil"/>
              <w:bottom w:val="single" w:sz="2" w:space="0" w:color="auto"/>
              <w:right w:val="nil"/>
            </w:tcBorders>
            <w:shd w:val="clear" w:color="auto" w:fill="auto"/>
            <w:vAlign w:val="center"/>
            <w:hideMark/>
          </w:tcPr>
          <w:p w14:paraId="07BC574C"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xml:space="preserve">        Remanente de tesorería por gastos con financiación afectada</w:t>
            </w:r>
          </w:p>
        </w:tc>
        <w:tc>
          <w:tcPr>
            <w:tcW w:w="1417" w:type="dxa"/>
            <w:tcBorders>
              <w:top w:val="single" w:sz="2" w:space="0" w:color="auto"/>
              <w:left w:val="nil"/>
              <w:bottom w:val="single" w:sz="2" w:space="0" w:color="auto"/>
              <w:right w:val="nil"/>
            </w:tcBorders>
            <w:shd w:val="clear" w:color="auto" w:fill="auto"/>
            <w:noWrap/>
            <w:vAlign w:val="center"/>
            <w:hideMark/>
          </w:tcPr>
          <w:p w14:paraId="5F6DA665"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28.743.232</w:t>
            </w:r>
          </w:p>
        </w:tc>
        <w:tc>
          <w:tcPr>
            <w:tcW w:w="1418" w:type="dxa"/>
            <w:tcBorders>
              <w:top w:val="single" w:sz="2" w:space="0" w:color="auto"/>
              <w:left w:val="nil"/>
              <w:bottom w:val="single" w:sz="2" w:space="0" w:color="auto"/>
              <w:right w:val="nil"/>
            </w:tcBorders>
            <w:shd w:val="clear" w:color="auto" w:fill="auto"/>
            <w:noWrap/>
            <w:vAlign w:val="center"/>
            <w:hideMark/>
          </w:tcPr>
          <w:p w14:paraId="0C955BD8"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21.075.321</w:t>
            </w:r>
          </w:p>
        </w:tc>
        <w:tc>
          <w:tcPr>
            <w:tcW w:w="1701" w:type="dxa"/>
            <w:tcBorders>
              <w:top w:val="single" w:sz="2" w:space="0" w:color="auto"/>
              <w:left w:val="nil"/>
              <w:bottom w:val="single" w:sz="2" w:space="0" w:color="auto"/>
              <w:right w:val="nil"/>
            </w:tcBorders>
            <w:shd w:val="clear" w:color="auto" w:fill="auto"/>
            <w:vAlign w:val="center"/>
            <w:hideMark/>
          </w:tcPr>
          <w:p w14:paraId="58F11734" w14:textId="77777777" w:rsidR="00807992" w:rsidRPr="00CE1F33" w:rsidRDefault="00962B2B" w:rsidP="00807992">
            <w:pPr>
              <w:spacing w:after="0"/>
              <w:ind w:firstLine="0"/>
              <w:jc w:val="right"/>
              <w:rPr>
                <w:rFonts w:ascii="Arial Narrow" w:hAnsi="Arial Narrow" w:cs="Calibri"/>
                <w:b/>
                <w:bCs/>
                <w:i/>
                <w:iCs/>
                <w:color w:val="000000"/>
                <w:sz w:val="18"/>
                <w:szCs w:val="18"/>
                <w:lang w:val="es-ES" w:eastAsia="es-ES"/>
              </w:rPr>
            </w:pPr>
            <w:r>
              <w:rPr>
                <w:rFonts w:ascii="Arial Narrow" w:hAnsi="Arial Narrow" w:cs="Calibri"/>
                <w:b/>
                <w:bCs/>
                <w:i/>
                <w:iCs/>
                <w:color w:val="000000"/>
                <w:sz w:val="18"/>
                <w:szCs w:val="18"/>
                <w:lang w:val="es-ES" w:eastAsia="es-ES"/>
              </w:rPr>
              <w:t>-27</w:t>
            </w:r>
          </w:p>
        </w:tc>
      </w:tr>
      <w:tr w:rsidR="00807992" w:rsidRPr="00CE1F33" w14:paraId="17E11F95" w14:textId="77777777" w:rsidTr="005D104E">
        <w:trPr>
          <w:trHeight w:val="198"/>
        </w:trPr>
        <w:tc>
          <w:tcPr>
            <w:tcW w:w="4395" w:type="dxa"/>
            <w:tcBorders>
              <w:top w:val="single" w:sz="2" w:space="0" w:color="auto"/>
              <w:left w:val="nil"/>
              <w:bottom w:val="single" w:sz="4" w:space="0" w:color="auto"/>
              <w:right w:val="nil"/>
            </w:tcBorders>
            <w:shd w:val="clear" w:color="auto" w:fill="auto"/>
            <w:vAlign w:val="center"/>
            <w:hideMark/>
          </w:tcPr>
          <w:p w14:paraId="7F464F18"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xml:space="preserve">        Remanente de tesorería por recursos afectos</w:t>
            </w:r>
          </w:p>
        </w:tc>
        <w:tc>
          <w:tcPr>
            <w:tcW w:w="1417" w:type="dxa"/>
            <w:tcBorders>
              <w:top w:val="single" w:sz="2" w:space="0" w:color="auto"/>
              <w:left w:val="nil"/>
              <w:bottom w:val="single" w:sz="4" w:space="0" w:color="auto"/>
              <w:right w:val="nil"/>
            </w:tcBorders>
            <w:shd w:val="clear" w:color="auto" w:fill="auto"/>
            <w:noWrap/>
            <w:vAlign w:val="center"/>
            <w:hideMark/>
          </w:tcPr>
          <w:p w14:paraId="475535F8"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23.878.313</w:t>
            </w:r>
          </w:p>
        </w:tc>
        <w:tc>
          <w:tcPr>
            <w:tcW w:w="1418" w:type="dxa"/>
            <w:tcBorders>
              <w:top w:val="single" w:sz="2" w:space="0" w:color="auto"/>
              <w:left w:val="nil"/>
              <w:bottom w:val="single" w:sz="4" w:space="0" w:color="auto"/>
              <w:right w:val="nil"/>
            </w:tcBorders>
            <w:shd w:val="clear" w:color="auto" w:fill="auto"/>
            <w:noWrap/>
            <w:vAlign w:val="center"/>
            <w:hideMark/>
          </w:tcPr>
          <w:p w14:paraId="2B043473"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23.495.636</w:t>
            </w:r>
          </w:p>
        </w:tc>
        <w:tc>
          <w:tcPr>
            <w:tcW w:w="1701" w:type="dxa"/>
            <w:tcBorders>
              <w:top w:val="single" w:sz="2" w:space="0" w:color="auto"/>
              <w:left w:val="nil"/>
              <w:bottom w:val="single" w:sz="4" w:space="0" w:color="auto"/>
              <w:right w:val="nil"/>
            </w:tcBorders>
            <w:shd w:val="clear" w:color="auto" w:fill="auto"/>
            <w:vAlign w:val="center"/>
            <w:hideMark/>
          </w:tcPr>
          <w:p w14:paraId="5B5CF2F2" w14:textId="77777777" w:rsidR="00807992" w:rsidRPr="00CE1F33" w:rsidRDefault="00962B2B" w:rsidP="00807992">
            <w:pPr>
              <w:spacing w:after="0"/>
              <w:ind w:firstLine="0"/>
              <w:jc w:val="right"/>
              <w:rPr>
                <w:rFonts w:ascii="Arial Narrow" w:hAnsi="Arial Narrow" w:cs="Calibri"/>
                <w:b/>
                <w:bCs/>
                <w:i/>
                <w:iCs/>
                <w:color w:val="000000"/>
                <w:sz w:val="18"/>
                <w:szCs w:val="18"/>
                <w:lang w:val="es-ES" w:eastAsia="es-ES"/>
              </w:rPr>
            </w:pPr>
            <w:r>
              <w:rPr>
                <w:rFonts w:ascii="Arial Narrow" w:hAnsi="Arial Narrow" w:cs="Calibri"/>
                <w:b/>
                <w:bCs/>
                <w:i/>
                <w:iCs/>
                <w:color w:val="000000"/>
                <w:sz w:val="18"/>
                <w:szCs w:val="18"/>
                <w:lang w:val="es-ES" w:eastAsia="es-ES"/>
              </w:rPr>
              <w:t>-2</w:t>
            </w:r>
          </w:p>
        </w:tc>
      </w:tr>
      <w:tr w:rsidR="00807992" w:rsidRPr="00CE1F33" w14:paraId="6F96FAED" w14:textId="77777777" w:rsidTr="005D104E">
        <w:trPr>
          <w:trHeight w:val="198"/>
        </w:trPr>
        <w:tc>
          <w:tcPr>
            <w:tcW w:w="4395" w:type="dxa"/>
            <w:tcBorders>
              <w:top w:val="single" w:sz="4" w:space="0" w:color="auto"/>
              <w:left w:val="nil"/>
              <w:bottom w:val="single" w:sz="4" w:space="0" w:color="auto"/>
              <w:right w:val="nil"/>
            </w:tcBorders>
            <w:shd w:val="clear" w:color="auto" w:fill="auto"/>
            <w:vAlign w:val="center"/>
            <w:hideMark/>
          </w:tcPr>
          <w:p w14:paraId="32855FA9" w14:textId="77777777" w:rsidR="00807992" w:rsidRPr="00CE1F33" w:rsidRDefault="00807992" w:rsidP="00807992">
            <w:pPr>
              <w:spacing w:after="0"/>
              <w:ind w:firstLine="0"/>
              <w:jc w:val="left"/>
              <w:rPr>
                <w:rFonts w:ascii="Arial Narrow" w:hAnsi="Arial Narrow" w:cs="Calibri"/>
                <w:color w:val="000000"/>
                <w:lang w:val="es-ES" w:eastAsia="es-ES"/>
              </w:rPr>
            </w:pPr>
            <w:r w:rsidRPr="00CE1F33">
              <w:rPr>
                <w:rFonts w:ascii="Arial Narrow" w:hAnsi="Arial Narrow" w:cs="Calibri"/>
                <w:color w:val="000000"/>
                <w:lang w:val="es-ES" w:eastAsia="es-ES"/>
              </w:rPr>
              <w:t xml:space="preserve">        Remanente de tesorería para gastos generales</w:t>
            </w:r>
          </w:p>
        </w:tc>
        <w:tc>
          <w:tcPr>
            <w:tcW w:w="1417" w:type="dxa"/>
            <w:tcBorders>
              <w:top w:val="single" w:sz="4" w:space="0" w:color="auto"/>
              <w:left w:val="nil"/>
              <w:bottom w:val="single" w:sz="4" w:space="0" w:color="auto"/>
              <w:right w:val="nil"/>
            </w:tcBorders>
            <w:shd w:val="clear" w:color="auto" w:fill="auto"/>
            <w:noWrap/>
            <w:vAlign w:val="center"/>
            <w:hideMark/>
          </w:tcPr>
          <w:p w14:paraId="41B3A9A4" w14:textId="77777777" w:rsidR="00807992" w:rsidRPr="00CE1F33" w:rsidRDefault="00807992" w:rsidP="00CA5DFB">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35.583.808</w:t>
            </w:r>
          </w:p>
        </w:tc>
        <w:tc>
          <w:tcPr>
            <w:tcW w:w="1418" w:type="dxa"/>
            <w:tcBorders>
              <w:top w:val="single" w:sz="4" w:space="0" w:color="auto"/>
              <w:left w:val="nil"/>
              <w:bottom w:val="single" w:sz="4" w:space="0" w:color="auto"/>
              <w:right w:val="nil"/>
            </w:tcBorders>
            <w:shd w:val="clear" w:color="auto" w:fill="auto"/>
            <w:noWrap/>
            <w:vAlign w:val="center"/>
            <w:hideMark/>
          </w:tcPr>
          <w:p w14:paraId="247FCADA" w14:textId="77777777" w:rsidR="00807992" w:rsidRPr="00CE1F33" w:rsidRDefault="00807992" w:rsidP="00807992">
            <w:pPr>
              <w:spacing w:after="0"/>
              <w:ind w:firstLine="0"/>
              <w:jc w:val="right"/>
              <w:rPr>
                <w:rFonts w:ascii="Arial Narrow" w:hAnsi="Arial Narrow" w:cs="Calibri"/>
                <w:color w:val="000000"/>
                <w:sz w:val="17"/>
                <w:szCs w:val="17"/>
                <w:lang w:val="es-ES" w:eastAsia="es-ES"/>
              </w:rPr>
            </w:pPr>
            <w:r w:rsidRPr="00CE1F33">
              <w:rPr>
                <w:rFonts w:ascii="Arial Narrow" w:hAnsi="Arial Narrow" w:cs="Calibri"/>
                <w:color w:val="000000"/>
                <w:sz w:val="17"/>
                <w:szCs w:val="17"/>
                <w:lang w:val="es-ES" w:eastAsia="es-ES"/>
              </w:rPr>
              <w:t>28.561.297</w:t>
            </w:r>
          </w:p>
        </w:tc>
        <w:tc>
          <w:tcPr>
            <w:tcW w:w="1701" w:type="dxa"/>
            <w:tcBorders>
              <w:top w:val="single" w:sz="4" w:space="0" w:color="auto"/>
              <w:left w:val="nil"/>
              <w:bottom w:val="single" w:sz="4" w:space="0" w:color="auto"/>
              <w:right w:val="nil"/>
            </w:tcBorders>
            <w:shd w:val="clear" w:color="auto" w:fill="auto"/>
            <w:vAlign w:val="center"/>
            <w:hideMark/>
          </w:tcPr>
          <w:p w14:paraId="5595D19B" w14:textId="77777777" w:rsidR="00807992" w:rsidRPr="00CE1F33" w:rsidRDefault="00962B2B" w:rsidP="00807992">
            <w:pPr>
              <w:spacing w:after="0"/>
              <w:ind w:firstLine="0"/>
              <w:jc w:val="right"/>
              <w:rPr>
                <w:rFonts w:ascii="Arial Narrow" w:hAnsi="Arial Narrow" w:cs="Calibri"/>
                <w:b/>
                <w:bCs/>
                <w:i/>
                <w:iCs/>
                <w:color w:val="000000"/>
                <w:sz w:val="18"/>
                <w:szCs w:val="18"/>
                <w:lang w:val="es-ES" w:eastAsia="es-ES"/>
              </w:rPr>
            </w:pPr>
            <w:r>
              <w:rPr>
                <w:rFonts w:ascii="Arial Narrow" w:hAnsi="Arial Narrow" w:cs="Calibri"/>
                <w:b/>
                <w:bCs/>
                <w:i/>
                <w:iCs/>
                <w:color w:val="000000"/>
                <w:sz w:val="18"/>
                <w:szCs w:val="18"/>
                <w:lang w:val="es-ES" w:eastAsia="es-ES"/>
              </w:rPr>
              <w:t>-20</w:t>
            </w:r>
          </w:p>
        </w:tc>
      </w:tr>
    </w:tbl>
    <w:p w14:paraId="0E254B37" w14:textId="77777777" w:rsidR="00CA5DFB" w:rsidRDefault="00CA5DFB" w:rsidP="00807992">
      <w:pPr>
        <w:tabs>
          <w:tab w:val="center" w:pos="2835"/>
          <w:tab w:val="center" w:pos="3969"/>
          <w:tab w:val="center" w:pos="5103"/>
          <w:tab w:val="center" w:pos="6237"/>
          <w:tab w:val="center" w:pos="7371"/>
        </w:tabs>
        <w:spacing w:after="100"/>
        <w:ind w:firstLine="284"/>
        <w:rPr>
          <w:rFonts w:ascii="Arial" w:hAnsi="Arial" w:cs="Arial"/>
          <w:spacing w:val="6"/>
        </w:rPr>
      </w:pPr>
      <w:bookmarkStart w:id="77" w:name="_Toc22495439"/>
      <w:bookmarkStart w:id="78" w:name="_Toc55460324"/>
    </w:p>
    <w:p w14:paraId="47C32CDC" w14:textId="77777777" w:rsidR="00CA5DFB" w:rsidRDefault="00CA5DFB">
      <w:pPr>
        <w:spacing w:after="0"/>
        <w:ind w:firstLine="0"/>
        <w:jc w:val="left"/>
        <w:rPr>
          <w:rFonts w:ascii="Arial" w:hAnsi="Arial" w:cs="Arial"/>
          <w:spacing w:val="6"/>
        </w:rPr>
      </w:pPr>
      <w:r>
        <w:rPr>
          <w:rFonts w:ascii="Arial" w:hAnsi="Arial" w:cs="Arial"/>
          <w:spacing w:val="6"/>
        </w:rPr>
        <w:br w:type="page"/>
      </w:r>
    </w:p>
    <w:p w14:paraId="259CD063" w14:textId="77777777" w:rsidR="00807992" w:rsidRPr="00CA5DFB" w:rsidRDefault="00807992" w:rsidP="00823774">
      <w:pPr>
        <w:tabs>
          <w:tab w:val="center" w:pos="2835"/>
          <w:tab w:val="center" w:pos="3969"/>
          <w:tab w:val="center" w:pos="5103"/>
          <w:tab w:val="center" w:pos="6237"/>
          <w:tab w:val="center" w:pos="7371"/>
        </w:tabs>
        <w:spacing w:after="100"/>
        <w:ind w:firstLine="284"/>
        <w:jc w:val="center"/>
        <w:rPr>
          <w:rFonts w:ascii="Arial" w:hAnsi="Arial" w:cs="Arial"/>
          <w:spacing w:val="6"/>
        </w:rPr>
      </w:pPr>
      <w:r w:rsidRPr="00CA5DFB">
        <w:rPr>
          <w:rFonts w:ascii="Arial" w:hAnsi="Arial" w:cs="Arial"/>
          <w:spacing w:val="6"/>
        </w:rPr>
        <w:lastRenderedPageBreak/>
        <w:t>Balance</w:t>
      </w:r>
      <w:bookmarkEnd w:id="77"/>
      <w:r w:rsidRPr="00CA5DFB">
        <w:rPr>
          <w:rFonts w:ascii="Arial" w:hAnsi="Arial" w:cs="Arial"/>
          <w:spacing w:val="6"/>
        </w:rPr>
        <w:t xml:space="preserve"> de situación consolidado a 31 de diciembre de 20</w:t>
      </w:r>
      <w:bookmarkEnd w:id="78"/>
      <w:r w:rsidRPr="00CA5DFB">
        <w:rPr>
          <w:rFonts w:ascii="Arial" w:hAnsi="Arial" w:cs="Arial"/>
          <w:spacing w:val="6"/>
        </w:rPr>
        <w:t>21</w:t>
      </w:r>
    </w:p>
    <w:p w14:paraId="0BF31EFD" w14:textId="77777777" w:rsidR="00807992" w:rsidRDefault="00807992" w:rsidP="00823774">
      <w:pPr>
        <w:keepLines/>
        <w:tabs>
          <w:tab w:val="right" w:pos="2835"/>
          <w:tab w:val="right" w:pos="3969"/>
          <w:tab w:val="right" w:pos="5103"/>
          <w:tab w:val="right" w:pos="6237"/>
          <w:tab w:val="right" w:pos="7371"/>
        </w:tabs>
        <w:spacing w:after="240"/>
        <w:ind w:firstLine="0"/>
        <w:jc w:val="center"/>
        <w:rPr>
          <w:rFonts w:ascii="Arial" w:hAnsi="Arial"/>
          <w:spacing w:val="6"/>
          <w:sz w:val="18"/>
          <w:szCs w:val="24"/>
        </w:rPr>
      </w:pPr>
      <w:r w:rsidRPr="00667DFF">
        <w:rPr>
          <w:rFonts w:ascii="Arial" w:hAnsi="Arial"/>
          <w:spacing w:val="6"/>
          <w:sz w:val="18"/>
          <w:szCs w:val="24"/>
        </w:rPr>
        <w:t xml:space="preserve">(Ayuntamiento, OOAA y empresas municipales </w:t>
      </w:r>
      <w:proofErr w:type="spellStart"/>
      <w:r w:rsidRPr="00667DFF">
        <w:rPr>
          <w:rFonts w:ascii="Arial" w:hAnsi="Arial"/>
          <w:spacing w:val="6"/>
          <w:sz w:val="18"/>
          <w:szCs w:val="24"/>
        </w:rPr>
        <w:t>Comiruña</w:t>
      </w:r>
      <w:proofErr w:type="spellEnd"/>
      <w:r w:rsidRPr="00667DFF">
        <w:rPr>
          <w:rFonts w:ascii="Arial" w:hAnsi="Arial"/>
          <w:spacing w:val="6"/>
          <w:sz w:val="18"/>
          <w:szCs w:val="24"/>
        </w:rPr>
        <w:t>, S.A. y Pamplona Centro Histórico, S.A.)</w:t>
      </w:r>
    </w:p>
    <w:tbl>
      <w:tblPr>
        <w:tblW w:w="0" w:type="auto"/>
        <w:tblCellMar>
          <w:left w:w="70" w:type="dxa"/>
          <w:right w:w="70" w:type="dxa"/>
        </w:tblCellMar>
        <w:tblLook w:val="04A0" w:firstRow="1" w:lastRow="0" w:firstColumn="1" w:lastColumn="0" w:noHBand="0" w:noVBand="1"/>
      </w:tblPr>
      <w:tblGrid>
        <w:gridCol w:w="305"/>
        <w:gridCol w:w="1720"/>
        <w:gridCol w:w="1292"/>
        <w:gridCol w:w="1292"/>
        <w:gridCol w:w="247"/>
        <w:gridCol w:w="1349"/>
        <w:gridCol w:w="1292"/>
        <w:gridCol w:w="1292"/>
      </w:tblGrid>
      <w:tr w:rsidR="00807992" w:rsidRPr="00131FB4" w14:paraId="0E10F409" w14:textId="77777777" w:rsidTr="005D104E">
        <w:trPr>
          <w:trHeight w:val="255"/>
        </w:trPr>
        <w:tc>
          <w:tcPr>
            <w:tcW w:w="0" w:type="auto"/>
            <w:tcBorders>
              <w:top w:val="single" w:sz="4" w:space="0" w:color="auto"/>
              <w:left w:val="nil"/>
              <w:bottom w:val="single" w:sz="4" w:space="0" w:color="auto"/>
              <w:right w:val="nil"/>
            </w:tcBorders>
            <w:shd w:val="clear" w:color="000000" w:fill="FABF8F"/>
            <w:vAlign w:val="center"/>
            <w:hideMark/>
          </w:tcPr>
          <w:p w14:paraId="08F88C28" w14:textId="77777777" w:rsidR="00807992" w:rsidRPr="00131FB4" w:rsidRDefault="00807992" w:rsidP="00807992">
            <w:pPr>
              <w:spacing w:after="0"/>
              <w:ind w:firstLine="0"/>
              <w:jc w:val="center"/>
              <w:rPr>
                <w:rFonts w:ascii="Arial" w:hAnsi="Arial" w:cs="Arial"/>
                <w:color w:val="000000"/>
                <w:sz w:val="18"/>
                <w:szCs w:val="18"/>
                <w:lang w:val="es-ES" w:eastAsia="es-ES"/>
              </w:rPr>
            </w:pPr>
            <w:r w:rsidRPr="00131FB4">
              <w:rPr>
                <w:rFonts w:ascii="Arial" w:hAnsi="Arial" w:cs="Arial"/>
                <w:color w:val="000000"/>
                <w:sz w:val="18"/>
                <w:szCs w:val="18"/>
                <w:lang w:val="es-ES" w:eastAsia="es-ES"/>
              </w:rPr>
              <w:t> </w:t>
            </w:r>
          </w:p>
        </w:tc>
        <w:tc>
          <w:tcPr>
            <w:tcW w:w="0" w:type="auto"/>
            <w:tcBorders>
              <w:top w:val="single" w:sz="4" w:space="0" w:color="auto"/>
              <w:left w:val="nil"/>
              <w:bottom w:val="single" w:sz="4" w:space="0" w:color="auto"/>
              <w:right w:val="nil"/>
            </w:tcBorders>
            <w:shd w:val="clear" w:color="000000" w:fill="FABF8F"/>
            <w:vAlign w:val="center"/>
            <w:hideMark/>
          </w:tcPr>
          <w:p w14:paraId="42258F81" w14:textId="77777777" w:rsidR="00807992" w:rsidRPr="00131FB4" w:rsidRDefault="00807992" w:rsidP="005A0253">
            <w:pPr>
              <w:spacing w:after="0"/>
              <w:ind w:firstLine="0"/>
              <w:rPr>
                <w:rFonts w:ascii="Arial" w:hAnsi="Arial" w:cs="Arial"/>
                <w:color w:val="000000"/>
                <w:sz w:val="18"/>
                <w:szCs w:val="18"/>
                <w:lang w:val="es-ES" w:eastAsia="es-ES"/>
              </w:rPr>
            </w:pPr>
            <w:r w:rsidRPr="00131FB4">
              <w:rPr>
                <w:rFonts w:ascii="Arial" w:hAnsi="Arial" w:cs="Arial"/>
                <w:color w:val="000000"/>
                <w:sz w:val="18"/>
                <w:szCs w:val="18"/>
                <w:lang w:val="es-ES" w:eastAsia="es-ES"/>
              </w:rPr>
              <w:t>Descripción</w:t>
            </w:r>
          </w:p>
        </w:tc>
        <w:tc>
          <w:tcPr>
            <w:tcW w:w="0" w:type="auto"/>
            <w:tcBorders>
              <w:top w:val="single" w:sz="4" w:space="0" w:color="auto"/>
              <w:left w:val="nil"/>
              <w:bottom w:val="single" w:sz="4" w:space="0" w:color="auto"/>
              <w:right w:val="nil"/>
            </w:tcBorders>
            <w:shd w:val="clear" w:color="000000" w:fill="FABF8F"/>
            <w:vAlign w:val="center"/>
            <w:hideMark/>
          </w:tcPr>
          <w:p w14:paraId="35FF31D0" w14:textId="77777777" w:rsidR="00807992" w:rsidRPr="00131FB4" w:rsidRDefault="00807992" w:rsidP="00807992">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ejercicio</w:t>
            </w:r>
            <w:r w:rsidRPr="00131FB4">
              <w:rPr>
                <w:rFonts w:ascii="Arial" w:hAnsi="Arial" w:cs="Arial"/>
                <w:color w:val="000000"/>
                <w:sz w:val="18"/>
                <w:szCs w:val="18"/>
                <w:lang w:val="es-ES" w:eastAsia="es-ES"/>
              </w:rPr>
              <w:t xml:space="preserve"> 2020</w:t>
            </w:r>
          </w:p>
        </w:tc>
        <w:tc>
          <w:tcPr>
            <w:tcW w:w="0" w:type="auto"/>
            <w:tcBorders>
              <w:top w:val="single" w:sz="4" w:space="0" w:color="auto"/>
              <w:left w:val="nil"/>
              <w:bottom w:val="single" w:sz="4" w:space="0" w:color="auto"/>
              <w:right w:val="single" w:sz="4" w:space="0" w:color="auto"/>
            </w:tcBorders>
            <w:shd w:val="clear" w:color="000000" w:fill="FABF8F"/>
            <w:vAlign w:val="center"/>
            <w:hideMark/>
          </w:tcPr>
          <w:p w14:paraId="1A26CC43" w14:textId="77777777" w:rsidR="00807992" w:rsidRPr="00131FB4" w:rsidRDefault="00807992" w:rsidP="00807992">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ejercicio</w:t>
            </w:r>
            <w:r w:rsidRPr="00131FB4">
              <w:rPr>
                <w:rFonts w:ascii="Arial" w:hAnsi="Arial" w:cs="Arial"/>
                <w:color w:val="000000"/>
                <w:sz w:val="18"/>
                <w:szCs w:val="18"/>
                <w:lang w:val="es-ES" w:eastAsia="es-ES"/>
              </w:rPr>
              <w:t xml:space="preserve"> 2021</w:t>
            </w:r>
          </w:p>
        </w:tc>
        <w:tc>
          <w:tcPr>
            <w:tcW w:w="0" w:type="auto"/>
            <w:tcBorders>
              <w:top w:val="single" w:sz="4" w:space="0" w:color="auto"/>
              <w:left w:val="single" w:sz="4" w:space="0" w:color="auto"/>
              <w:bottom w:val="single" w:sz="4" w:space="0" w:color="auto"/>
            </w:tcBorders>
            <w:shd w:val="clear" w:color="000000" w:fill="FABF8F"/>
            <w:vAlign w:val="center"/>
            <w:hideMark/>
          </w:tcPr>
          <w:p w14:paraId="5D76D5B1" w14:textId="77777777" w:rsidR="00807992" w:rsidRPr="00131FB4" w:rsidRDefault="00807992" w:rsidP="00807992">
            <w:pPr>
              <w:spacing w:after="0"/>
              <w:ind w:firstLine="0"/>
              <w:jc w:val="center"/>
              <w:rPr>
                <w:rFonts w:ascii="Arial" w:hAnsi="Arial" w:cs="Arial"/>
                <w:color w:val="000000"/>
                <w:sz w:val="18"/>
                <w:szCs w:val="18"/>
                <w:lang w:val="es-ES" w:eastAsia="es-ES"/>
              </w:rPr>
            </w:pPr>
            <w:r w:rsidRPr="00131FB4">
              <w:rPr>
                <w:rFonts w:ascii="Arial" w:hAnsi="Arial" w:cs="Arial"/>
                <w:color w:val="000000"/>
                <w:sz w:val="18"/>
                <w:szCs w:val="18"/>
                <w:lang w:val="es-ES" w:eastAsia="es-ES"/>
              </w:rPr>
              <w:t> </w:t>
            </w:r>
          </w:p>
        </w:tc>
        <w:tc>
          <w:tcPr>
            <w:tcW w:w="0" w:type="auto"/>
            <w:tcBorders>
              <w:top w:val="single" w:sz="4" w:space="0" w:color="auto"/>
              <w:bottom w:val="single" w:sz="4" w:space="0" w:color="auto"/>
              <w:right w:val="nil"/>
            </w:tcBorders>
            <w:shd w:val="clear" w:color="000000" w:fill="FABF8F"/>
            <w:vAlign w:val="center"/>
            <w:hideMark/>
          </w:tcPr>
          <w:p w14:paraId="32F0DFB6" w14:textId="77777777" w:rsidR="00807992" w:rsidRPr="00131FB4" w:rsidRDefault="00807992" w:rsidP="00807992">
            <w:pPr>
              <w:spacing w:after="0"/>
              <w:ind w:firstLine="0"/>
              <w:jc w:val="center"/>
              <w:rPr>
                <w:rFonts w:ascii="Arial" w:hAnsi="Arial" w:cs="Arial"/>
                <w:color w:val="000000"/>
                <w:sz w:val="18"/>
                <w:szCs w:val="18"/>
                <w:lang w:val="es-ES" w:eastAsia="es-ES"/>
              </w:rPr>
            </w:pPr>
            <w:r w:rsidRPr="00131FB4">
              <w:rPr>
                <w:rFonts w:ascii="Arial" w:hAnsi="Arial" w:cs="Arial"/>
                <w:color w:val="000000"/>
                <w:sz w:val="18"/>
                <w:szCs w:val="18"/>
                <w:lang w:val="es-ES" w:eastAsia="es-ES"/>
              </w:rPr>
              <w:t>Descripción</w:t>
            </w:r>
          </w:p>
        </w:tc>
        <w:tc>
          <w:tcPr>
            <w:tcW w:w="0" w:type="auto"/>
            <w:tcBorders>
              <w:top w:val="single" w:sz="4" w:space="0" w:color="auto"/>
              <w:left w:val="nil"/>
              <w:bottom w:val="single" w:sz="4" w:space="0" w:color="auto"/>
              <w:right w:val="nil"/>
            </w:tcBorders>
            <w:shd w:val="clear" w:color="000000" w:fill="FABF8F"/>
            <w:vAlign w:val="center"/>
            <w:hideMark/>
          </w:tcPr>
          <w:p w14:paraId="5DC31EFC" w14:textId="77777777" w:rsidR="00807992" w:rsidRPr="00131FB4" w:rsidRDefault="00807992" w:rsidP="00807992">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ejercicio</w:t>
            </w:r>
            <w:r w:rsidRPr="00131FB4">
              <w:rPr>
                <w:rFonts w:ascii="Arial" w:hAnsi="Arial" w:cs="Arial"/>
                <w:color w:val="000000"/>
                <w:sz w:val="18"/>
                <w:szCs w:val="18"/>
                <w:lang w:val="es-ES" w:eastAsia="es-ES"/>
              </w:rPr>
              <w:t xml:space="preserve"> 2020</w:t>
            </w:r>
          </w:p>
        </w:tc>
        <w:tc>
          <w:tcPr>
            <w:tcW w:w="1292" w:type="dxa"/>
            <w:tcBorders>
              <w:top w:val="single" w:sz="4" w:space="0" w:color="auto"/>
              <w:left w:val="nil"/>
              <w:bottom w:val="single" w:sz="4" w:space="0" w:color="auto"/>
              <w:right w:val="nil"/>
            </w:tcBorders>
            <w:shd w:val="clear" w:color="000000" w:fill="FABF8F"/>
            <w:vAlign w:val="center"/>
            <w:hideMark/>
          </w:tcPr>
          <w:p w14:paraId="21888988" w14:textId="77777777" w:rsidR="00807992" w:rsidRPr="00131FB4" w:rsidRDefault="00807992" w:rsidP="00807992">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ejercicio</w:t>
            </w:r>
            <w:r w:rsidRPr="00131FB4">
              <w:rPr>
                <w:rFonts w:ascii="Arial" w:hAnsi="Arial" w:cs="Arial"/>
                <w:color w:val="000000"/>
                <w:sz w:val="18"/>
                <w:szCs w:val="18"/>
                <w:lang w:val="es-ES" w:eastAsia="es-ES"/>
              </w:rPr>
              <w:t xml:space="preserve"> 2021</w:t>
            </w:r>
          </w:p>
        </w:tc>
      </w:tr>
      <w:tr w:rsidR="00807992" w:rsidRPr="00131FB4" w14:paraId="651F7DBA" w14:textId="77777777" w:rsidTr="005D104E">
        <w:trPr>
          <w:trHeight w:val="315"/>
        </w:trPr>
        <w:tc>
          <w:tcPr>
            <w:tcW w:w="0" w:type="auto"/>
            <w:tcBorders>
              <w:top w:val="single" w:sz="4" w:space="0" w:color="auto"/>
              <w:left w:val="nil"/>
              <w:bottom w:val="single" w:sz="2" w:space="0" w:color="auto"/>
              <w:right w:val="nil"/>
            </w:tcBorders>
            <w:shd w:val="clear" w:color="auto" w:fill="auto"/>
            <w:vAlign w:val="center"/>
            <w:hideMark/>
          </w:tcPr>
          <w:p w14:paraId="3B6EB7A4" w14:textId="77777777" w:rsidR="00807992" w:rsidRPr="00131FB4" w:rsidRDefault="00807992" w:rsidP="00807992">
            <w:pPr>
              <w:spacing w:after="0"/>
              <w:ind w:firstLine="0"/>
              <w:jc w:val="center"/>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 xml:space="preserve"> A</w:t>
            </w:r>
          </w:p>
        </w:tc>
        <w:tc>
          <w:tcPr>
            <w:tcW w:w="0" w:type="auto"/>
            <w:tcBorders>
              <w:top w:val="single" w:sz="4" w:space="0" w:color="auto"/>
              <w:left w:val="nil"/>
              <w:bottom w:val="single" w:sz="2" w:space="0" w:color="auto"/>
              <w:right w:val="nil"/>
            </w:tcBorders>
            <w:shd w:val="clear" w:color="auto" w:fill="auto"/>
            <w:vAlign w:val="center"/>
            <w:hideMark/>
          </w:tcPr>
          <w:p w14:paraId="2187D52A" w14:textId="77777777" w:rsidR="00807992" w:rsidRPr="00131FB4" w:rsidRDefault="00807992" w:rsidP="00807992">
            <w:pPr>
              <w:spacing w:after="0"/>
              <w:ind w:firstLine="0"/>
              <w:jc w:val="left"/>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Inmovilizado</w:t>
            </w:r>
          </w:p>
        </w:tc>
        <w:tc>
          <w:tcPr>
            <w:tcW w:w="0" w:type="auto"/>
            <w:tcBorders>
              <w:top w:val="single" w:sz="4" w:space="0" w:color="auto"/>
              <w:left w:val="nil"/>
              <w:bottom w:val="single" w:sz="2" w:space="0" w:color="auto"/>
              <w:right w:val="nil"/>
            </w:tcBorders>
            <w:shd w:val="clear" w:color="auto" w:fill="auto"/>
            <w:noWrap/>
            <w:vAlign w:val="center"/>
            <w:hideMark/>
          </w:tcPr>
          <w:p w14:paraId="730963C7"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1.245.639.376</w:t>
            </w:r>
          </w:p>
        </w:tc>
        <w:tc>
          <w:tcPr>
            <w:tcW w:w="0" w:type="auto"/>
            <w:tcBorders>
              <w:top w:val="single" w:sz="4" w:space="0" w:color="auto"/>
              <w:left w:val="nil"/>
              <w:bottom w:val="single" w:sz="2" w:space="0" w:color="auto"/>
              <w:right w:val="single" w:sz="4" w:space="0" w:color="auto"/>
            </w:tcBorders>
            <w:shd w:val="clear" w:color="auto" w:fill="auto"/>
            <w:noWrap/>
            <w:vAlign w:val="center"/>
            <w:hideMark/>
          </w:tcPr>
          <w:p w14:paraId="4A45B9FC"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1.281.856.934</w:t>
            </w:r>
          </w:p>
        </w:tc>
        <w:tc>
          <w:tcPr>
            <w:tcW w:w="0" w:type="auto"/>
            <w:tcBorders>
              <w:top w:val="single" w:sz="4" w:space="0" w:color="auto"/>
              <w:left w:val="single" w:sz="4" w:space="0" w:color="auto"/>
              <w:bottom w:val="single" w:sz="2" w:space="0" w:color="auto"/>
            </w:tcBorders>
            <w:shd w:val="clear" w:color="auto" w:fill="auto"/>
            <w:vAlign w:val="center"/>
            <w:hideMark/>
          </w:tcPr>
          <w:p w14:paraId="6FFCD994" w14:textId="77777777" w:rsidR="00807992" w:rsidRPr="00131FB4" w:rsidRDefault="00807992" w:rsidP="00807992">
            <w:pPr>
              <w:spacing w:after="0"/>
              <w:ind w:firstLine="0"/>
              <w:jc w:val="center"/>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A</w:t>
            </w:r>
          </w:p>
        </w:tc>
        <w:tc>
          <w:tcPr>
            <w:tcW w:w="0" w:type="auto"/>
            <w:tcBorders>
              <w:top w:val="single" w:sz="4" w:space="0" w:color="auto"/>
              <w:bottom w:val="single" w:sz="2" w:space="0" w:color="auto"/>
              <w:right w:val="nil"/>
            </w:tcBorders>
            <w:shd w:val="clear" w:color="auto" w:fill="auto"/>
            <w:vAlign w:val="center"/>
            <w:hideMark/>
          </w:tcPr>
          <w:p w14:paraId="5233E538" w14:textId="77777777" w:rsidR="00807992" w:rsidRPr="00131FB4" w:rsidRDefault="00807992" w:rsidP="00807992">
            <w:pPr>
              <w:spacing w:after="0"/>
              <w:ind w:firstLine="0"/>
              <w:jc w:val="left"/>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Fondos propios</w:t>
            </w:r>
          </w:p>
        </w:tc>
        <w:tc>
          <w:tcPr>
            <w:tcW w:w="0" w:type="auto"/>
            <w:tcBorders>
              <w:top w:val="single" w:sz="4" w:space="0" w:color="auto"/>
              <w:left w:val="nil"/>
              <w:bottom w:val="single" w:sz="2" w:space="0" w:color="auto"/>
              <w:right w:val="nil"/>
            </w:tcBorders>
            <w:shd w:val="clear" w:color="auto" w:fill="auto"/>
            <w:noWrap/>
            <w:vAlign w:val="center"/>
            <w:hideMark/>
          </w:tcPr>
          <w:p w14:paraId="2BED8942"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1.071.889.266</w:t>
            </w:r>
          </w:p>
        </w:tc>
        <w:tc>
          <w:tcPr>
            <w:tcW w:w="1292" w:type="dxa"/>
            <w:tcBorders>
              <w:top w:val="single" w:sz="4" w:space="0" w:color="auto"/>
              <w:left w:val="nil"/>
              <w:bottom w:val="single" w:sz="2" w:space="0" w:color="auto"/>
              <w:right w:val="nil"/>
            </w:tcBorders>
            <w:shd w:val="clear" w:color="auto" w:fill="auto"/>
            <w:noWrap/>
            <w:vAlign w:val="center"/>
            <w:hideMark/>
          </w:tcPr>
          <w:p w14:paraId="52B782BD"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1.106.370.463</w:t>
            </w:r>
          </w:p>
        </w:tc>
      </w:tr>
      <w:tr w:rsidR="00807992" w:rsidRPr="00131FB4" w14:paraId="77C5825D" w14:textId="77777777" w:rsidTr="005D104E">
        <w:trPr>
          <w:trHeight w:val="198"/>
        </w:trPr>
        <w:tc>
          <w:tcPr>
            <w:tcW w:w="0" w:type="auto"/>
            <w:tcBorders>
              <w:top w:val="single" w:sz="2" w:space="0" w:color="auto"/>
              <w:left w:val="nil"/>
              <w:bottom w:val="single" w:sz="2" w:space="0" w:color="auto"/>
              <w:right w:val="nil"/>
            </w:tcBorders>
            <w:shd w:val="clear" w:color="auto" w:fill="auto"/>
            <w:vAlign w:val="center"/>
            <w:hideMark/>
          </w:tcPr>
          <w:p w14:paraId="04272616"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1</w:t>
            </w:r>
          </w:p>
        </w:tc>
        <w:tc>
          <w:tcPr>
            <w:tcW w:w="0" w:type="auto"/>
            <w:tcBorders>
              <w:top w:val="single" w:sz="2" w:space="0" w:color="auto"/>
              <w:left w:val="nil"/>
              <w:bottom w:val="single" w:sz="2" w:space="0" w:color="auto"/>
              <w:right w:val="nil"/>
            </w:tcBorders>
            <w:shd w:val="clear" w:color="auto" w:fill="auto"/>
            <w:vAlign w:val="center"/>
            <w:hideMark/>
          </w:tcPr>
          <w:p w14:paraId="6CECC17A"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Inmovilizado material</w:t>
            </w:r>
          </w:p>
        </w:tc>
        <w:tc>
          <w:tcPr>
            <w:tcW w:w="0" w:type="auto"/>
            <w:tcBorders>
              <w:top w:val="single" w:sz="2" w:space="0" w:color="auto"/>
              <w:left w:val="nil"/>
              <w:bottom w:val="single" w:sz="2" w:space="0" w:color="auto"/>
              <w:right w:val="nil"/>
            </w:tcBorders>
            <w:shd w:val="clear" w:color="auto" w:fill="auto"/>
            <w:noWrap/>
            <w:vAlign w:val="center"/>
            <w:hideMark/>
          </w:tcPr>
          <w:p w14:paraId="51C75AF5"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558.482.841</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67F949BC"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565.809.481</w:t>
            </w:r>
          </w:p>
        </w:tc>
        <w:tc>
          <w:tcPr>
            <w:tcW w:w="0" w:type="auto"/>
            <w:tcBorders>
              <w:top w:val="single" w:sz="2" w:space="0" w:color="auto"/>
              <w:left w:val="single" w:sz="4" w:space="0" w:color="auto"/>
              <w:bottom w:val="single" w:sz="2" w:space="0" w:color="auto"/>
            </w:tcBorders>
            <w:shd w:val="clear" w:color="auto" w:fill="auto"/>
            <w:vAlign w:val="center"/>
            <w:hideMark/>
          </w:tcPr>
          <w:p w14:paraId="618E9E3E"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1</w:t>
            </w:r>
          </w:p>
        </w:tc>
        <w:tc>
          <w:tcPr>
            <w:tcW w:w="0" w:type="auto"/>
            <w:tcBorders>
              <w:top w:val="single" w:sz="2" w:space="0" w:color="auto"/>
              <w:bottom w:val="single" w:sz="2" w:space="0" w:color="auto"/>
              <w:right w:val="nil"/>
            </w:tcBorders>
            <w:shd w:val="clear" w:color="auto" w:fill="auto"/>
            <w:vAlign w:val="center"/>
            <w:hideMark/>
          </w:tcPr>
          <w:p w14:paraId="37598E69"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Patrimonio y reservas</w:t>
            </w:r>
          </w:p>
        </w:tc>
        <w:tc>
          <w:tcPr>
            <w:tcW w:w="0" w:type="auto"/>
            <w:tcBorders>
              <w:top w:val="single" w:sz="2" w:space="0" w:color="auto"/>
              <w:left w:val="nil"/>
              <w:bottom w:val="single" w:sz="2" w:space="0" w:color="auto"/>
              <w:right w:val="nil"/>
            </w:tcBorders>
            <w:shd w:val="clear" w:color="auto" w:fill="auto"/>
            <w:noWrap/>
            <w:vAlign w:val="center"/>
            <w:hideMark/>
          </w:tcPr>
          <w:p w14:paraId="01B91C7A"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634.882.945</w:t>
            </w:r>
          </w:p>
        </w:tc>
        <w:tc>
          <w:tcPr>
            <w:tcW w:w="1292" w:type="dxa"/>
            <w:tcBorders>
              <w:top w:val="single" w:sz="2" w:space="0" w:color="auto"/>
              <w:left w:val="nil"/>
              <w:bottom w:val="single" w:sz="2" w:space="0" w:color="auto"/>
              <w:right w:val="nil"/>
            </w:tcBorders>
            <w:shd w:val="clear" w:color="auto" w:fill="auto"/>
            <w:noWrap/>
            <w:vAlign w:val="center"/>
            <w:hideMark/>
          </w:tcPr>
          <w:p w14:paraId="35862EFD"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667.009.370</w:t>
            </w:r>
          </w:p>
        </w:tc>
      </w:tr>
      <w:tr w:rsidR="00807992" w:rsidRPr="00131FB4" w14:paraId="034DF631" w14:textId="77777777" w:rsidTr="005D104E">
        <w:trPr>
          <w:trHeight w:val="198"/>
        </w:trPr>
        <w:tc>
          <w:tcPr>
            <w:tcW w:w="0" w:type="auto"/>
            <w:tcBorders>
              <w:top w:val="single" w:sz="2" w:space="0" w:color="auto"/>
              <w:left w:val="nil"/>
              <w:bottom w:val="single" w:sz="2" w:space="0" w:color="auto"/>
              <w:right w:val="nil"/>
            </w:tcBorders>
            <w:shd w:val="clear" w:color="auto" w:fill="auto"/>
            <w:vAlign w:val="center"/>
            <w:hideMark/>
          </w:tcPr>
          <w:p w14:paraId="6F27348D"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2</w:t>
            </w:r>
          </w:p>
        </w:tc>
        <w:tc>
          <w:tcPr>
            <w:tcW w:w="0" w:type="auto"/>
            <w:tcBorders>
              <w:top w:val="single" w:sz="2" w:space="0" w:color="auto"/>
              <w:left w:val="nil"/>
              <w:bottom w:val="single" w:sz="2" w:space="0" w:color="auto"/>
              <w:right w:val="nil"/>
            </w:tcBorders>
            <w:shd w:val="clear" w:color="auto" w:fill="auto"/>
            <w:vAlign w:val="center"/>
            <w:hideMark/>
          </w:tcPr>
          <w:p w14:paraId="4E17EE59"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Inmovilizado inmaterial</w:t>
            </w:r>
          </w:p>
        </w:tc>
        <w:tc>
          <w:tcPr>
            <w:tcW w:w="0" w:type="auto"/>
            <w:tcBorders>
              <w:top w:val="single" w:sz="2" w:space="0" w:color="auto"/>
              <w:left w:val="nil"/>
              <w:bottom w:val="single" w:sz="2" w:space="0" w:color="auto"/>
              <w:right w:val="nil"/>
            </w:tcBorders>
            <w:shd w:val="clear" w:color="auto" w:fill="auto"/>
            <w:noWrap/>
            <w:vAlign w:val="center"/>
            <w:hideMark/>
          </w:tcPr>
          <w:p w14:paraId="071FA02E"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22.803.734</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6350C200"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22.923.903</w:t>
            </w:r>
          </w:p>
        </w:tc>
        <w:tc>
          <w:tcPr>
            <w:tcW w:w="0" w:type="auto"/>
            <w:tcBorders>
              <w:top w:val="single" w:sz="2" w:space="0" w:color="auto"/>
              <w:left w:val="single" w:sz="4" w:space="0" w:color="auto"/>
              <w:bottom w:val="single" w:sz="2" w:space="0" w:color="auto"/>
            </w:tcBorders>
            <w:shd w:val="clear" w:color="auto" w:fill="auto"/>
            <w:vAlign w:val="center"/>
            <w:hideMark/>
          </w:tcPr>
          <w:p w14:paraId="2C2F6A2B"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2</w:t>
            </w:r>
          </w:p>
        </w:tc>
        <w:tc>
          <w:tcPr>
            <w:tcW w:w="0" w:type="auto"/>
            <w:tcBorders>
              <w:top w:val="single" w:sz="2" w:space="0" w:color="auto"/>
              <w:bottom w:val="single" w:sz="2" w:space="0" w:color="auto"/>
              <w:right w:val="nil"/>
            </w:tcBorders>
            <w:shd w:val="clear" w:color="auto" w:fill="auto"/>
            <w:vAlign w:val="center"/>
            <w:hideMark/>
          </w:tcPr>
          <w:p w14:paraId="3208CA3D"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Resultado económico del ejercicio (beneficio)</w:t>
            </w:r>
          </w:p>
        </w:tc>
        <w:tc>
          <w:tcPr>
            <w:tcW w:w="0" w:type="auto"/>
            <w:tcBorders>
              <w:top w:val="single" w:sz="2" w:space="0" w:color="auto"/>
              <w:left w:val="nil"/>
              <w:bottom w:val="single" w:sz="2" w:space="0" w:color="auto"/>
              <w:right w:val="nil"/>
            </w:tcBorders>
            <w:shd w:val="clear" w:color="auto" w:fill="auto"/>
            <w:noWrap/>
            <w:vAlign w:val="center"/>
            <w:hideMark/>
          </w:tcPr>
          <w:p w14:paraId="16435F1A"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31.539.991</w:t>
            </w:r>
          </w:p>
        </w:tc>
        <w:tc>
          <w:tcPr>
            <w:tcW w:w="1292" w:type="dxa"/>
            <w:tcBorders>
              <w:top w:val="single" w:sz="2" w:space="0" w:color="auto"/>
              <w:left w:val="nil"/>
              <w:bottom w:val="single" w:sz="2" w:space="0" w:color="auto"/>
              <w:right w:val="nil"/>
            </w:tcBorders>
            <w:shd w:val="clear" w:color="auto" w:fill="auto"/>
            <w:noWrap/>
            <w:vAlign w:val="center"/>
            <w:hideMark/>
          </w:tcPr>
          <w:p w14:paraId="31A4333A"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20.183.199</w:t>
            </w:r>
          </w:p>
        </w:tc>
      </w:tr>
      <w:tr w:rsidR="00807992" w:rsidRPr="00131FB4" w14:paraId="00DA32E9" w14:textId="77777777" w:rsidTr="005D104E">
        <w:trPr>
          <w:trHeight w:val="198"/>
        </w:trPr>
        <w:tc>
          <w:tcPr>
            <w:tcW w:w="0" w:type="auto"/>
            <w:tcBorders>
              <w:top w:val="single" w:sz="2" w:space="0" w:color="auto"/>
              <w:left w:val="nil"/>
              <w:bottom w:val="single" w:sz="2" w:space="0" w:color="auto"/>
              <w:right w:val="nil"/>
            </w:tcBorders>
            <w:shd w:val="clear" w:color="auto" w:fill="auto"/>
            <w:vAlign w:val="center"/>
            <w:hideMark/>
          </w:tcPr>
          <w:p w14:paraId="60EA592A"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3</w:t>
            </w:r>
          </w:p>
        </w:tc>
        <w:tc>
          <w:tcPr>
            <w:tcW w:w="0" w:type="auto"/>
            <w:tcBorders>
              <w:top w:val="single" w:sz="2" w:space="0" w:color="auto"/>
              <w:left w:val="nil"/>
              <w:bottom w:val="single" w:sz="2" w:space="0" w:color="auto"/>
              <w:right w:val="nil"/>
            </w:tcBorders>
            <w:shd w:val="clear" w:color="auto" w:fill="auto"/>
            <w:vAlign w:val="center"/>
            <w:hideMark/>
          </w:tcPr>
          <w:p w14:paraId="196B9646"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proofErr w:type="spellStart"/>
            <w:r w:rsidRPr="00131FB4">
              <w:rPr>
                <w:rFonts w:ascii="Arial Narrow" w:hAnsi="Arial Narrow" w:cs="Calibri"/>
                <w:color w:val="000000"/>
                <w:sz w:val="18"/>
                <w:szCs w:val="18"/>
                <w:lang w:val="es-ES" w:eastAsia="es-ES"/>
              </w:rPr>
              <w:t>Infraestruct</w:t>
            </w:r>
            <w:proofErr w:type="spellEnd"/>
            <w:r w:rsidRPr="00131FB4">
              <w:rPr>
                <w:rFonts w:ascii="Arial Narrow" w:hAnsi="Arial Narrow" w:cs="Calibri"/>
                <w:color w:val="000000"/>
                <w:sz w:val="18"/>
                <w:szCs w:val="18"/>
                <w:lang w:val="es-ES" w:eastAsia="es-ES"/>
              </w:rPr>
              <w:t xml:space="preserve">. y bienes destinados a uso </w:t>
            </w:r>
            <w:proofErr w:type="spellStart"/>
            <w:r w:rsidRPr="00131FB4">
              <w:rPr>
                <w:rFonts w:ascii="Arial Narrow" w:hAnsi="Arial Narrow" w:cs="Calibri"/>
                <w:color w:val="000000"/>
                <w:sz w:val="18"/>
                <w:szCs w:val="18"/>
                <w:lang w:val="es-ES" w:eastAsia="es-ES"/>
              </w:rPr>
              <w:t>gral.</w:t>
            </w:r>
            <w:proofErr w:type="spellEnd"/>
          </w:p>
        </w:tc>
        <w:tc>
          <w:tcPr>
            <w:tcW w:w="0" w:type="auto"/>
            <w:tcBorders>
              <w:top w:val="single" w:sz="2" w:space="0" w:color="auto"/>
              <w:left w:val="nil"/>
              <w:bottom w:val="single" w:sz="2" w:space="0" w:color="auto"/>
              <w:right w:val="nil"/>
            </w:tcBorders>
            <w:shd w:val="clear" w:color="auto" w:fill="auto"/>
            <w:noWrap/>
            <w:vAlign w:val="center"/>
            <w:hideMark/>
          </w:tcPr>
          <w:p w14:paraId="4F70C921"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655.286.264</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34E0DEB1"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684.040.627</w:t>
            </w:r>
          </w:p>
        </w:tc>
        <w:tc>
          <w:tcPr>
            <w:tcW w:w="0" w:type="auto"/>
            <w:tcBorders>
              <w:top w:val="single" w:sz="2" w:space="0" w:color="auto"/>
              <w:left w:val="single" w:sz="4" w:space="0" w:color="auto"/>
              <w:bottom w:val="single" w:sz="2" w:space="0" w:color="auto"/>
            </w:tcBorders>
            <w:shd w:val="clear" w:color="auto" w:fill="auto"/>
            <w:vAlign w:val="center"/>
            <w:hideMark/>
          </w:tcPr>
          <w:p w14:paraId="31CBEEC3"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3</w:t>
            </w:r>
          </w:p>
        </w:tc>
        <w:tc>
          <w:tcPr>
            <w:tcW w:w="0" w:type="auto"/>
            <w:tcBorders>
              <w:top w:val="single" w:sz="2" w:space="0" w:color="auto"/>
              <w:bottom w:val="single" w:sz="2" w:space="0" w:color="auto"/>
              <w:right w:val="nil"/>
            </w:tcBorders>
            <w:shd w:val="clear" w:color="auto" w:fill="auto"/>
            <w:vAlign w:val="center"/>
            <w:hideMark/>
          </w:tcPr>
          <w:p w14:paraId="77938D19"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Subvenciones de capital</w:t>
            </w:r>
          </w:p>
        </w:tc>
        <w:tc>
          <w:tcPr>
            <w:tcW w:w="0" w:type="auto"/>
            <w:tcBorders>
              <w:top w:val="single" w:sz="2" w:space="0" w:color="auto"/>
              <w:left w:val="nil"/>
              <w:bottom w:val="single" w:sz="2" w:space="0" w:color="auto"/>
              <w:right w:val="nil"/>
            </w:tcBorders>
            <w:shd w:val="clear" w:color="auto" w:fill="auto"/>
            <w:noWrap/>
            <w:vAlign w:val="center"/>
            <w:hideMark/>
          </w:tcPr>
          <w:p w14:paraId="7298E540"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405.466.330</w:t>
            </w:r>
          </w:p>
        </w:tc>
        <w:tc>
          <w:tcPr>
            <w:tcW w:w="1292" w:type="dxa"/>
            <w:tcBorders>
              <w:top w:val="single" w:sz="2" w:space="0" w:color="auto"/>
              <w:left w:val="nil"/>
              <w:bottom w:val="single" w:sz="2" w:space="0" w:color="auto"/>
              <w:right w:val="nil"/>
            </w:tcBorders>
            <w:shd w:val="clear" w:color="auto" w:fill="auto"/>
            <w:noWrap/>
            <w:vAlign w:val="center"/>
            <w:hideMark/>
          </w:tcPr>
          <w:p w14:paraId="6E9FBB1D"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419.177.894</w:t>
            </w:r>
          </w:p>
        </w:tc>
      </w:tr>
      <w:tr w:rsidR="00807992" w:rsidRPr="00131FB4" w14:paraId="65B0BD86" w14:textId="77777777" w:rsidTr="005D104E">
        <w:trPr>
          <w:trHeight w:val="198"/>
        </w:trPr>
        <w:tc>
          <w:tcPr>
            <w:tcW w:w="0" w:type="auto"/>
            <w:tcBorders>
              <w:top w:val="single" w:sz="2" w:space="0" w:color="auto"/>
              <w:left w:val="nil"/>
              <w:bottom w:val="single" w:sz="2" w:space="0" w:color="auto"/>
              <w:right w:val="nil"/>
            </w:tcBorders>
            <w:shd w:val="clear" w:color="auto" w:fill="auto"/>
            <w:vAlign w:val="center"/>
            <w:hideMark/>
          </w:tcPr>
          <w:p w14:paraId="4DDFD35C"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4</w:t>
            </w:r>
          </w:p>
        </w:tc>
        <w:tc>
          <w:tcPr>
            <w:tcW w:w="0" w:type="auto"/>
            <w:tcBorders>
              <w:top w:val="single" w:sz="2" w:space="0" w:color="auto"/>
              <w:left w:val="nil"/>
              <w:bottom w:val="single" w:sz="2" w:space="0" w:color="auto"/>
              <w:right w:val="nil"/>
            </w:tcBorders>
            <w:shd w:val="clear" w:color="auto" w:fill="auto"/>
            <w:vAlign w:val="center"/>
            <w:hideMark/>
          </w:tcPr>
          <w:p w14:paraId="1EBC4B8A"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Bienes comunales</w:t>
            </w:r>
          </w:p>
        </w:tc>
        <w:tc>
          <w:tcPr>
            <w:tcW w:w="0" w:type="auto"/>
            <w:tcBorders>
              <w:top w:val="single" w:sz="2" w:space="0" w:color="auto"/>
              <w:left w:val="nil"/>
              <w:bottom w:val="single" w:sz="2" w:space="0" w:color="auto"/>
              <w:right w:val="nil"/>
            </w:tcBorders>
            <w:shd w:val="clear" w:color="auto" w:fill="auto"/>
            <w:noWrap/>
            <w:vAlign w:val="center"/>
            <w:hideMark/>
          </w:tcPr>
          <w:p w14:paraId="38AAA747"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 </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05E026D6"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 </w:t>
            </w:r>
          </w:p>
        </w:tc>
        <w:tc>
          <w:tcPr>
            <w:tcW w:w="0" w:type="auto"/>
            <w:tcBorders>
              <w:top w:val="single" w:sz="2" w:space="0" w:color="auto"/>
              <w:left w:val="single" w:sz="4" w:space="0" w:color="auto"/>
              <w:bottom w:val="single" w:sz="2" w:space="0" w:color="auto"/>
            </w:tcBorders>
            <w:shd w:val="clear" w:color="auto" w:fill="auto"/>
            <w:vAlign w:val="center"/>
            <w:hideMark/>
          </w:tcPr>
          <w:p w14:paraId="033EA3A2" w14:textId="77777777" w:rsidR="00807992" w:rsidRPr="00131FB4" w:rsidRDefault="00807992" w:rsidP="00807992">
            <w:pPr>
              <w:spacing w:after="0"/>
              <w:ind w:firstLine="0"/>
              <w:jc w:val="center"/>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B</w:t>
            </w:r>
          </w:p>
        </w:tc>
        <w:tc>
          <w:tcPr>
            <w:tcW w:w="0" w:type="auto"/>
            <w:tcBorders>
              <w:top w:val="single" w:sz="2" w:space="0" w:color="auto"/>
              <w:bottom w:val="single" w:sz="2" w:space="0" w:color="auto"/>
              <w:right w:val="nil"/>
            </w:tcBorders>
            <w:shd w:val="clear" w:color="auto" w:fill="auto"/>
            <w:vAlign w:val="center"/>
            <w:hideMark/>
          </w:tcPr>
          <w:p w14:paraId="151820B2" w14:textId="77777777" w:rsidR="00807992" w:rsidRPr="00131FB4" w:rsidRDefault="00807992" w:rsidP="00807992">
            <w:pPr>
              <w:spacing w:after="0"/>
              <w:ind w:firstLine="0"/>
              <w:jc w:val="left"/>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Provisiones para riesgos y gastos</w:t>
            </w:r>
          </w:p>
        </w:tc>
        <w:tc>
          <w:tcPr>
            <w:tcW w:w="0" w:type="auto"/>
            <w:tcBorders>
              <w:top w:val="single" w:sz="2" w:space="0" w:color="auto"/>
              <w:left w:val="nil"/>
              <w:bottom w:val="single" w:sz="2" w:space="0" w:color="auto"/>
              <w:right w:val="nil"/>
            </w:tcBorders>
            <w:shd w:val="clear" w:color="auto" w:fill="auto"/>
            <w:noWrap/>
            <w:vAlign w:val="center"/>
            <w:hideMark/>
          </w:tcPr>
          <w:p w14:paraId="59AB11E6"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213.378.578</w:t>
            </w:r>
          </w:p>
        </w:tc>
        <w:tc>
          <w:tcPr>
            <w:tcW w:w="1292" w:type="dxa"/>
            <w:tcBorders>
              <w:top w:val="single" w:sz="2" w:space="0" w:color="auto"/>
              <w:left w:val="nil"/>
              <w:bottom w:val="single" w:sz="2" w:space="0" w:color="auto"/>
              <w:right w:val="nil"/>
            </w:tcBorders>
            <w:shd w:val="clear" w:color="auto" w:fill="auto"/>
            <w:noWrap/>
            <w:vAlign w:val="center"/>
            <w:hideMark/>
          </w:tcPr>
          <w:p w14:paraId="12DA8F1B"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207.250.560</w:t>
            </w:r>
          </w:p>
        </w:tc>
      </w:tr>
      <w:tr w:rsidR="00807992" w:rsidRPr="00131FB4" w14:paraId="62ED89A1" w14:textId="77777777" w:rsidTr="005D104E">
        <w:trPr>
          <w:trHeight w:val="198"/>
        </w:trPr>
        <w:tc>
          <w:tcPr>
            <w:tcW w:w="0" w:type="auto"/>
            <w:tcBorders>
              <w:top w:val="single" w:sz="2" w:space="0" w:color="auto"/>
              <w:left w:val="nil"/>
              <w:bottom w:val="single" w:sz="2" w:space="0" w:color="auto"/>
              <w:right w:val="nil"/>
            </w:tcBorders>
            <w:shd w:val="clear" w:color="auto" w:fill="auto"/>
            <w:vAlign w:val="center"/>
            <w:hideMark/>
          </w:tcPr>
          <w:p w14:paraId="486398CB"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5</w:t>
            </w:r>
          </w:p>
        </w:tc>
        <w:tc>
          <w:tcPr>
            <w:tcW w:w="0" w:type="auto"/>
            <w:tcBorders>
              <w:top w:val="single" w:sz="2" w:space="0" w:color="auto"/>
              <w:left w:val="nil"/>
              <w:bottom w:val="single" w:sz="2" w:space="0" w:color="auto"/>
              <w:right w:val="nil"/>
            </w:tcBorders>
            <w:shd w:val="clear" w:color="auto" w:fill="auto"/>
            <w:vAlign w:val="center"/>
            <w:hideMark/>
          </w:tcPr>
          <w:p w14:paraId="2FE978CA"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Inmovilizado financiero</w:t>
            </w:r>
          </w:p>
        </w:tc>
        <w:tc>
          <w:tcPr>
            <w:tcW w:w="0" w:type="auto"/>
            <w:tcBorders>
              <w:top w:val="single" w:sz="2" w:space="0" w:color="auto"/>
              <w:left w:val="nil"/>
              <w:bottom w:val="single" w:sz="2" w:space="0" w:color="auto"/>
              <w:right w:val="nil"/>
            </w:tcBorders>
            <w:shd w:val="clear" w:color="auto" w:fill="auto"/>
            <w:noWrap/>
            <w:vAlign w:val="center"/>
            <w:hideMark/>
          </w:tcPr>
          <w:p w14:paraId="2ACBBD71"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9.066.538</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652F6CA5"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9.082.924</w:t>
            </w:r>
          </w:p>
        </w:tc>
        <w:tc>
          <w:tcPr>
            <w:tcW w:w="0" w:type="auto"/>
            <w:tcBorders>
              <w:top w:val="single" w:sz="2" w:space="0" w:color="auto"/>
              <w:left w:val="single" w:sz="4" w:space="0" w:color="auto"/>
              <w:bottom w:val="single" w:sz="2" w:space="0" w:color="auto"/>
            </w:tcBorders>
            <w:shd w:val="clear" w:color="auto" w:fill="auto"/>
            <w:vAlign w:val="center"/>
            <w:hideMark/>
          </w:tcPr>
          <w:p w14:paraId="6767D28D"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4</w:t>
            </w:r>
          </w:p>
        </w:tc>
        <w:tc>
          <w:tcPr>
            <w:tcW w:w="0" w:type="auto"/>
            <w:tcBorders>
              <w:top w:val="single" w:sz="2" w:space="0" w:color="auto"/>
              <w:bottom w:val="single" w:sz="2" w:space="0" w:color="auto"/>
              <w:right w:val="nil"/>
            </w:tcBorders>
            <w:shd w:val="clear" w:color="auto" w:fill="auto"/>
            <w:vAlign w:val="center"/>
            <w:hideMark/>
          </w:tcPr>
          <w:p w14:paraId="1505588C"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xml:space="preserve">Provisiones  </w:t>
            </w:r>
          </w:p>
        </w:tc>
        <w:tc>
          <w:tcPr>
            <w:tcW w:w="0" w:type="auto"/>
            <w:tcBorders>
              <w:top w:val="single" w:sz="2" w:space="0" w:color="auto"/>
              <w:left w:val="nil"/>
              <w:bottom w:val="single" w:sz="2" w:space="0" w:color="auto"/>
              <w:right w:val="nil"/>
            </w:tcBorders>
            <w:shd w:val="clear" w:color="auto" w:fill="auto"/>
            <w:noWrap/>
            <w:vAlign w:val="center"/>
            <w:hideMark/>
          </w:tcPr>
          <w:p w14:paraId="0922A6DD"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213.378.578</w:t>
            </w:r>
          </w:p>
        </w:tc>
        <w:tc>
          <w:tcPr>
            <w:tcW w:w="1292" w:type="dxa"/>
            <w:tcBorders>
              <w:top w:val="single" w:sz="2" w:space="0" w:color="auto"/>
              <w:left w:val="nil"/>
              <w:bottom w:val="single" w:sz="2" w:space="0" w:color="auto"/>
              <w:right w:val="nil"/>
            </w:tcBorders>
            <w:shd w:val="clear" w:color="auto" w:fill="auto"/>
            <w:noWrap/>
            <w:vAlign w:val="center"/>
            <w:hideMark/>
          </w:tcPr>
          <w:p w14:paraId="11682203"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207.250.560</w:t>
            </w:r>
          </w:p>
        </w:tc>
      </w:tr>
      <w:tr w:rsidR="00807992" w:rsidRPr="00131FB4" w14:paraId="2F4AD901" w14:textId="77777777" w:rsidTr="005D104E">
        <w:trPr>
          <w:trHeight w:val="555"/>
        </w:trPr>
        <w:tc>
          <w:tcPr>
            <w:tcW w:w="0" w:type="auto"/>
            <w:tcBorders>
              <w:top w:val="single" w:sz="2" w:space="0" w:color="auto"/>
              <w:left w:val="nil"/>
              <w:bottom w:val="single" w:sz="2" w:space="0" w:color="auto"/>
              <w:right w:val="nil"/>
            </w:tcBorders>
            <w:shd w:val="clear" w:color="auto" w:fill="auto"/>
            <w:vAlign w:val="center"/>
            <w:hideMark/>
          </w:tcPr>
          <w:p w14:paraId="4DC5DCB3" w14:textId="77777777" w:rsidR="00807992" w:rsidRPr="00131FB4" w:rsidRDefault="00807992" w:rsidP="00807992">
            <w:pPr>
              <w:spacing w:after="0"/>
              <w:ind w:firstLine="0"/>
              <w:jc w:val="center"/>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 xml:space="preserve"> B</w:t>
            </w:r>
          </w:p>
        </w:tc>
        <w:tc>
          <w:tcPr>
            <w:tcW w:w="0" w:type="auto"/>
            <w:tcBorders>
              <w:top w:val="single" w:sz="2" w:space="0" w:color="auto"/>
              <w:left w:val="nil"/>
              <w:bottom w:val="single" w:sz="2" w:space="0" w:color="auto"/>
              <w:right w:val="nil"/>
            </w:tcBorders>
            <w:shd w:val="clear" w:color="auto" w:fill="auto"/>
            <w:vAlign w:val="center"/>
            <w:hideMark/>
          </w:tcPr>
          <w:p w14:paraId="3AB0987E" w14:textId="77777777" w:rsidR="00807992" w:rsidRPr="00131FB4" w:rsidRDefault="00807992" w:rsidP="00807992">
            <w:pPr>
              <w:spacing w:after="0"/>
              <w:ind w:firstLine="0"/>
              <w:jc w:val="left"/>
              <w:rPr>
                <w:rFonts w:ascii="Arial Narrow" w:hAnsi="Arial Narrow" w:cs="Calibri"/>
                <w:b/>
                <w:bCs/>
                <w:i/>
                <w:iCs/>
                <w:color w:val="000000"/>
                <w:sz w:val="18"/>
                <w:szCs w:val="18"/>
                <w:lang w:val="es-ES" w:eastAsia="es-ES"/>
              </w:rPr>
            </w:pPr>
            <w:proofErr w:type="gramStart"/>
            <w:r w:rsidRPr="00131FB4">
              <w:rPr>
                <w:rFonts w:ascii="Arial Narrow" w:hAnsi="Arial Narrow" w:cs="Calibri"/>
                <w:b/>
                <w:bCs/>
                <w:i/>
                <w:iCs/>
                <w:color w:val="000000"/>
                <w:sz w:val="18"/>
                <w:szCs w:val="18"/>
                <w:lang w:val="es-ES" w:eastAsia="es-ES"/>
              </w:rPr>
              <w:t>Gastos a distribuir</w:t>
            </w:r>
            <w:proofErr w:type="gramEnd"/>
            <w:r w:rsidRPr="00131FB4">
              <w:rPr>
                <w:rFonts w:ascii="Arial Narrow" w:hAnsi="Arial Narrow" w:cs="Calibri"/>
                <w:b/>
                <w:bCs/>
                <w:i/>
                <w:iCs/>
                <w:color w:val="000000"/>
                <w:sz w:val="18"/>
                <w:szCs w:val="18"/>
                <w:lang w:val="es-ES" w:eastAsia="es-ES"/>
              </w:rPr>
              <w:t xml:space="preserve"> en varios ejercicios</w:t>
            </w:r>
          </w:p>
        </w:tc>
        <w:tc>
          <w:tcPr>
            <w:tcW w:w="0" w:type="auto"/>
            <w:tcBorders>
              <w:top w:val="single" w:sz="2" w:space="0" w:color="auto"/>
              <w:left w:val="nil"/>
              <w:bottom w:val="single" w:sz="2" w:space="0" w:color="auto"/>
              <w:right w:val="nil"/>
            </w:tcBorders>
            <w:shd w:val="clear" w:color="auto" w:fill="auto"/>
            <w:noWrap/>
            <w:vAlign w:val="center"/>
            <w:hideMark/>
          </w:tcPr>
          <w:p w14:paraId="23D6EEF8"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 </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079A67BB"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 </w:t>
            </w:r>
          </w:p>
        </w:tc>
        <w:tc>
          <w:tcPr>
            <w:tcW w:w="0" w:type="auto"/>
            <w:tcBorders>
              <w:top w:val="single" w:sz="2" w:space="0" w:color="auto"/>
              <w:left w:val="single" w:sz="4" w:space="0" w:color="auto"/>
              <w:bottom w:val="single" w:sz="2" w:space="0" w:color="auto"/>
            </w:tcBorders>
            <w:shd w:val="clear" w:color="auto" w:fill="auto"/>
            <w:vAlign w:val="center"/>
            <w:hideMark/>
          </w:tcPr>
          <w:p w14:paraId="498A16EC" w14:textId="77777777" w:rsidR="00807992" w:rsidRPr="00131FB4" w:rsidRDefault="00807992" w:rsidP="00807992">
            <w:pPr>
              <w:spacing w:after="0"/>
              <w:ind w:firstLine="0"/>
              <w:jc w:val="center"/>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C</w:t>
            </w:r>
          </w:p>
        </w:tc>
        <w:tc>
          <w:tcPr>
            <w:tcW w:w="0" w:type="auto"/>
            <w:tcBorders>
              <w:top w:val="single" w:sz="2" w:space="0" w:color="auto"/>
              <w:bottom w:val="single" w:sz="2" w:space="0" w:color="auto"/>
              <w:right w:val="nil"/>
            </w:tcBorders>
            <w:shd w:val="clear" w:color="auto" w:fill="auto"/>
            <w:vAlign w:val="center"/>
            <w:hideMark/>
          </w:tcPr>
          <w:p w14:paraId="519E3918" w14:textId="77777777" w:rsidR="00807992" w:rsidRPr="00131FB4" w:rsidRDefault="00807992" w:rsidP="00807992">
            <w:pPr>
              <w:spacing w:after="0"/>
              <w:ind w:firstLine="0"/>
              <w:jc w:val="left"/>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Acreedores a largo plazo</w:t>
            </w:r>
          </w:p>
        </w:tc>
        <w:tc>
          <w:tcPr>
            <w:tcW w:w="0" w:type="auto"/>
            <w:tcBorders>
              <w:top w:val="single" w:sz="2" w:space="0" w:color="auto"/>
              <w:left w:val="nil"/>
              <w:bottom w:val="single" w:sz="2" w:space="0" w:color="auto"/>
              <w:right w:val="nil"/>
            </w:tcBorders>
            <w:shd w:val="clear" w:color="auto" w:fill="auto"/>
            <w:noWrap/>
            <w:vAlign w:val="center"/>
            <w:hideMark/>
          </w:tcPr>
          <w:p w14:paraId="3E0133FF"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52.634.159</w:t>
            </w:r>
          </w:p>
        </w:tc>
        <w:tc>
          <w:tcPr>
            <w:tcW w:w="1292" w:type="dxa"/>
            <w:tcBorders>
              <w:top w:val="single" w:sz="2" w:space="0" w:color="auto"/>
              <w:left w:val="nil"/>
              <w:bottom w:val="single" w:sz="2" w:space="0" w:color="auto"/>
              <w:right w:val="nil"/>
            </w:tcBorders>
            <w:shd w:val="clear" w:color="auto" w:fill="auto"/>
            <w:noWrap/>
            <w:vAlign w:val="center"/>
            <w:hideMark/>
          </w:tcPr>
          <w:p w14:paraId="4F349527"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49.344.002</w:t>
            </w:r>
          </w:p>
        </w:tc>
      </w:tr>
      <w:tr w:rsidR="00807992" w:rsidRPr="00131FB4" w14:paraId="32CF1318" w14:textId="77777777" w:rsidTr="005D104E">
        <w:trPr>
          <w:trHeight w:val="555"/>
        </w:trPr>
        <w:tc>
          <w:tcPr>
            <w:tcW w:w="0" w:type="auto"/>
            <w:tcBorders>
              <w:top w:val="single" w:sz="2" w:space="0" w:color="auto"/>
              <w:left w:val="nil"/>
              <w:bottom w:val="single" w:sz="2" w:space="0" w:color="auto"/>
              <w:right w:val="nil"/>
            </w:tcBorders>
            <w:shd w:val="clear" w:color="auto" w:fill="auto"/>
            <w:vAlign w:val="center"/>
            <w:hideMark/>
          </w:tcPr>
          <w:p w14:paraId="6573BB0D"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6</w:t>
            </w:r>
          </w:p>
        </w:tc>
        <w:tc>
          <w:tcPr>
            <w:tcW w:w="0" w:type="auto"/>
            <w:tcBorders>
              <w:top w:val="single" w:sz="2" w:space="0" w:color="auto"/>
              <w:left w:val="nil"/>
              <w:bottom w:val="single" w:sz="2" w:space="0" w:color="auto"/>
              <w:right w:val="nil"/>
            </w:tcBorders>
            <w:shd w:val="clear" w:color="auto" w:fill="auto"/>
            <w:vAlign w:val="center"/>
            <w:hideMark/>
          </w:tcPr>
          <w:p w14:paraId="23DBCAB3"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proofErr w:type="gramStart"/>
            <w:r w:rsidRPr="00131FB4">
              <w:rPr>
                <w:rFonts w:ascii="Arial Narrow" w:hAnsi="Arial Narrow" w:cs="Calibri"/>
                <w:color w:val="000000"/>
                <w:sz w:val="18"/>
                <w:szCs w:val="18"/>
                <w:lang w:val="es-ES" w:eastAsia="es-ES"/>
              </w:rPr>
              <w:t>Gastos a cancelar</w:t>
            </w:r>
            <w:proofErr w:type="gramEnd"/>
          </w:p>
        </w:tc>
        <w:tc>
          <w:tcPr>
            <w:tcW w:w="0" w:type="auto"/>
            <w:tcBorders>
              <w:top w:val="single" w:sz="2" w:space="0" w:color="auto"/>
              <w:left w:val="nil"/>
              <w:bottom w:val="single" w:sz="2" w:space="0" w:color="auto"/>
              <w:right w:val="nil"/>
            </w:tcBorders>
            <w:shd w:val="clear" w:color="auto" w:fill="auto"/>
            <w:noWrap/>
            <w:vAlign w:val="center"/>
            <w:hideMark/>
          </w:tcPr>
          <w:p w14:paraId="41FBFADC"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 </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7AD3AED9"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 </w:t>
            </w:r>
          </w:p>
        </w:tc>
        <w:tc>
          <w:tcPr>
            <w:tcW w:w="0" w:type="auto"/>
            <w:tcBorders>
              <w:top w:val="single" w:sz="2" w:space="0" w:color="auto"/>
              <w:left w:val="single" w:sz="4" w:space="0" w:color="auto"/>
              <w:bottom w:val="single" w:sz="2" w:space="0" w:color="auto"/>
            </w:tcBorders>
            <w:shd w:val="clear" w:color="auto" w:fill="auto"/>
            <w:vAlign w:val="center"/>
            <w:hideMark/>
          </w:tcPr>
          <w:p w14:paraId="25E7AE60"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4</w:t>
            </w:r>
          </w:p>
        </w:tc>
        <w:tc>
          <w:tcPr>
            <w:tcW w:w="0" w:type="auto"/>
            <w:tcBorders>
              <w:top w:val="single" w:sz="2" w:space="0" w:color="auto"/>
              <w:bottom w:val="single" w:sz="2" w:space="0" w:color="auto"/>
              <w:right w:val="nil"/>
            </w:tcBorders>
            <w:shd w:val="clear" w:color="auto" w:fill="auto"/>
            <w:vAlign w:val="center"/>
            <w:hideMark/>
          </w:tcPr>
          <w:p w14:paraId="44194FF3"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xml:space="preserve">Empréstitos, </w:t>
            </w:r>
            <w:proofErr w:type="spellStart"/>
            <w:r w:rsidRPr="00131FB4">
              <w:rPr>
                <w:rFonts w:ascii="Arial Narrow" w:hAnsi="Arial Narrow" w:cs="Calibri"/>
                <w:color w:val="000000"/>
                <w:sz w:val="18"/>
                <w:szCs w:val="18"/>
                <w:lang w:val="es-ES" w:eastAsia="es-ES"/>
              </w:rPr>
              <w:t>préstam</w:t>
            </w:r>
            <w:proofErr w:type="spellEnd"/>
            <w:r w:rsidRPr="00131FB4">
              <w:rPr>
                <w:rFonts w:ascii="Arial Narrow" w:hAnsi="Arial Narrow" w:cs="Calibri"/>
                <w:color w:val="000000"/>
                <w:sz w:val="18"/>
                <w:szCs w:val="18"/>
                <w:lang w:val="es-ES" w:eastAsia="es-ES"/>
              </w:rPr>
              <w:t>. y fianzas y depósitos recibidos</w:t>
            </w:r>
          </w:p>
        </w:tc>
        <w:tc>
          <w:tcPr>
            <w:tcW w:w="0" w:type="auto"/>
            <w:tcBorders>
              <w:top w:val="single" w:sz="2" w:space="0" w:color="auto"/>
              <w:left w:val="nil"/>
              <w:bottom w:val="single" w:sz="2" w:space="0" w:color="auto"/>
              <w:right w:val="nil"/>
            </w:tcBorders>
            <w:shd w:val="clear" w:color="auto" w:fill="auto"/>
            <w:noWrap/>
            <w:vAlign w:val="center"/>
            <w:hideMark/>
          </w:tcPr>
          <w:p w14:paraId="1A1CE42A"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52.634.159</w:t>
            </w:r>
          </w:p>
        </w:tc>
        <w:tc>
          <w:tcPr>
            <w:tcW w:w="1292" w:type="dxa"/>
            <w:tcBorders>
              <w:top w:val="single" w:sz="2" w:space="0" w:color="auto"/>
              <w:left w:val="nil"/>
              <w:bottom w:val="single" w:sz="2" w:space="0" w:color="auto"/>
              <w:right w:val="nil"/>
            </w:tcBorders>
            <w:shd w:val="clear" w:color="auto" w:fill="auto"/>
            <w:noWrap/>
            <w:vAlign w:val="center"/>
            <w:hideMark/>
          </w:tcPr>
          <w:p w14:paraId="6169CC4A"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49.344.002</w:t>
            </w:r>
          </w:p>
        </w:tc>
      </w:tr>
      <w:tr w:rsidR="00807992" w:rsidRPr="00131FB4" w14:paraId="1C73476C" w14:textId="77777777" w:rsidTr="005D104E">
        <w:trPr>
          <w:trHeight w:val="315"/>
        </w:trPr>
        <w:tc>
          <w:tcPr>
            <w:tcW w:w="0" w:type="auto"/>
            <w:tcBorders>
              <w:top w:val="single" w:sz="2" w:space="0" w:color="auto"/>
              <w:left w:val="nil"/>
              <w:bottom w:val="single" w:sz="2" w:space="0" w:color="auto"/>
              <w:right w:val="nil"/>
            </w:tcBorders>
            <w:shd w:val="clear" w:color="auto" w:fill="auto"/>
            <w:vAlign w:val="center"/>
            <w:hideMark/>
          </w:tcPr>
          <w:p w14:paraId="4D1C3BE3" w14:textId="77777777" w:rsidR="00807992" w:rsidRPr="00131FB4" w:rsidRDefault="00807992" w:rsidP="00807992">
            <w:pPr>
              <w:spacing w:after="0"/>
              <w:ind w:firstLine="0"/>
              <w:jc w:val="center"/>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 xml:space="preserve"> C</w:t>
            </w:r>
          </w:p>
        </w:tc>
        <w:tc>
          <w:tcPr>
            <w:tcW w:w="0" w:type="auto"/>
            <w:tcBorders>
              <w:top w:val="single" w:sz="2" w:space="0" w:color="auto"/>
              <w:left w:val="nil"/>
              <w:bottom w:val="single" w:sz="2" w:space="0" w:color="auto"/>
              <w:right w:val="nil"/>
            </w:tcBorders>
            <w:shd w:val="clear" w:color="auto" w:fill="auto"/>
            <w:vAlign w:val="center"/>
            <w:hideMark/>
          </w:tcPr>
          <w:p w14:paraId="4F3247D5" w14:textId="77777777" w:rsidR="00807992" w:rsidRPr="00131FB4" w:rsidRDefault="00807992" w:rsidP="00807992">
            <w:pPr>
              <w:spacing w:after="0"/>
              <w:ind w:firstLine="0"/>
              <w:jc w:val="left"/>
              <w:rPr>
                <w:rFonts w:ascii="Arial Narrow" w:hAnsi="Arial Narrow" w:cs="Calibri"/>
                <w:b/>
                <w:bCs/>
                <w:i/>
                <w:iCs/>
                <w:color w:val="000000"/>
                <w:sz w:val="18"/>
                <w:szCs w:val="18"/>
                <w:lang w:val="es-ES" w:eastAsia="es-ES"/>
              </w:rPr>
            </w:pPr>
            <w:proofErr w:type="spellStart"/>
            <w:r w:rsidRPr="00131FB4">
              <w:rPr>
                <w:rFonts w:ascii="Arial Narrow" w:hAnsi="Arial Narrow" w:cs="Calibri"/>
                <w:b/>
                <w:bCs/>
                <w:i/>
                <w:iCs/>
                <w:color w:val="000000"/>
                <w:sz w:val="18"/>
                <w:szCs w:val="18"/>
                <w:lang w:val="es-ES" w:eastAsia="es-ES"/>
              </w:rPr>
              <w:t>CIrculante</w:t>
            </w:r>
            <w:proofErr w:type="spellEnd"/>
          </w:p>
        </w:tc>
        <w:tc>
          <w:tcPr>
            <w:tcW w:w="0" w:type="auto"/>
            <w:tcBorders>
              <w:top w:val="single" w:sz="2" w:space="0" w:color="auto"/>
              <w:left w:val="nil"/>
              <w:bottom w:val="single" w:sz="2" w:space="0" w:color="auto"/>
              <w:right w:val="nil"/>
            </w:tcBorders>
            <w:shd w:val="clear" w:color="auto" w:fill="auto"/>
            <w:noWrap/>
            <w:vAlign w:val="center"/>
            <w:hideMark/>
          </w:tcPr>
          <w:p w14:paraId="56FAA473"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128.780.098</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6883A318"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139.857.034</w:t>
            </w:r>
          </w:p>
        </w:tc>
        <w:tc>
          <w:tcPr>
            <w:tcW w:w="0" w:type="auto"/>
            <w:tcBorders>
              <w:top w:val="single" w:sz="2" w:space="0" w:color="auto"/>
              <w:left w:val="single" w:sz="4" w:space="0" w:color="auto"/>
              <w:bottom w:val="single" w:sz="2" w:space="0" w:color="auto"/>
            </w:tcBorders>
            <w:shd w:val="clear" w:color="auto" w:fill="auto"/>
            <w:vAlign w:val="center"/>
            <w:hideMark/>
          </w:tcPr>
          <w:p w14:paraId="1D14CF53" w14:textId="77777777" w:rsidR="00807992" w:rsidRPr="00131FB4" w:rsidRDefault="00807992" w:rsidP="00807992">
            <w:pPr>
              <w:spacing w:after="0"/>
              <w:ind w:firstLine="0"/>
              <w:jc w:val="center"/>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D</w:t>
            </w:r>
          </w:p>
        </w:tc>
        <w:tc>
          <w:tcPr>
            <w:tcW w:w="0" w:type="auto"/>
            <w:tcBorders>
              <w:top w:val="single" w:sz="2" w:space="0" w:color="auto"/>
              <w:bottom w:val="single" w:sz="2" w:space="0" w:color="auto"/>
              <w:right w:val="nil"/>
            </w:tcBorders>
            <w:shd w:val="clear" w:color="auto" w:fill="auto"/>
            <w:vAlign w:val="center"/>
            <w:hideMark/>
          </w:tcPr>
          <w:p w14:paraId="42626371" w14:textId="77777777" w:rsidR="00807992" w:rsidRPr="00131FB4" w:rsidRDefault="00807992" w:rsidP="00807992">
            <w:pPr>
              <w:spacing w:after="0"/>
              <w:ind w:firstLine="0"/>
              <w:jc w:val="left"/>
              <w:rPr>
                <w:rFonts w:ascii="Arial Narrow" w:hAnsi="Arial Narrow" w:cs="Calibri"/>
                <w:b/>
                <w:bCs/>
                <w:i/>
                <w:iCs/>
                <w:color w:val="000000"/>
                <w:sz w:val="18"/>
                <w:szCs w:val="18"/>
                <w:lang w:val="es-ES" w:eastAsia="es-ES"/>
              </w:rPr>
            </w:pPr>
            <w:r w:rsidRPr="00131FB4">
              <w:rPr>
                <w:rFonts w:ascii="Arial Narrow" w:hAnsi="Arial Narrow" w:cs="Calibri"/>
                <w:b/>
                <w:bCs/>
                <w:i/>
                <w:iCs/>
                <w:color w:val="000000"/>
                <w:sz w:val="18"/>
                <w:szCs w:val="18"/>
                <w:lang w:val="es-ES" w:eastAsia="es-ES"/>
              </w:rPr>
              <w:t>Acreedores a corto plazo</w:t>
            </w:r>
          </w:p>
        </w:tc>
        <w:tc>
          <w:tcPr>
            <w:tcW w:w="0" w:type="auto"/>
            <w:tcBorders>
              <w:top w:val="single" w:sz="2" w:space="0" w:color="auto"/>
              <w:left w:val="nil"/>
              <w:bottom w:val="single" w:sz="2" w:space="0" w:color="auto"/>
              <w:right w:val="nil"/>
            </w:tcBorders>
            <w:shd w:val="clear" w:color="auto" w:fill="auto"/>
            <w:noWrap/>
            <w:vAlign w:val="center"/>
            <w:hideMark/>
          </w:tcPr>
          <w:p w14:paraId="538DBA0B"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36.517.471</w:t>
            </w:r>
          </w:p>
        </w:tc>
        <w:tc>
          <w:tcPr>
            <w:tcW w:w="1292" w:type="dxa"/>
            <w:tcBorders>
              <w:top w:val="single" w:sz="2" w:space="0" w:color="auto"/>
              <w:left w:val="nil"/>
              <w:bottom w:val="single" w:sz="2" w:space="0" w:color="auto"/>
              <w:right w:val="nil"/>
            </w:tcBorders>
            <w:shd w:val="clear" w:color="auto" w:fill="auto"/>
            <w:noWrap/>
            <w:vAlign w:val="center"/>
            <w:hideMark/>
          </w:tcPr>
          <w:p w14:paraId="7F272995" w14:textId="77777777" w:rsidR="00807992" w:rsidRPr="00131FB4" w:rsidRDefault="00807992" w:rsidP="00807992">
            <w:pPr>
              <w:spacing w:after="0"/>
              <w:ind w:firstLine="0"/>
              <w:jc w:val="right"/>
              <w:rPr>
                <w:rFonts w:ascii="Arial Narrow" w:hAnsi="Arial Narrow" w:cs="Calibri"/>
                <w:b/>
                <w:bCs/>
                <w:color w:val="000000"/>
                <w:sz w:val="17"/>
                <w:szCs w:val="17"/>
                <w:lang w:val="es-ES" w:eastAsia="es-ES"/>
              </w:rPr>
            </w:pPr>
            <w:r w:rsidRPr="00131FB4">
              <w:rPr>
                <w:rFonts w:ascii="Arial Narrow" w:hAnsi="Arial Narrow" w:cs="Calibri"/>
                <w:b/>
                <w:bCs/>
                <w:color w:val="000000"/>
                <w:sz w:val="17"/>
                <w:szCs w:val="17"/>
                <w:lang w:val="es-ES" w:eastAsia="es-ES"/>
              </w:rPr>
              <w:t>58.748.944</w:t>
            </w:r>
          </w:p>
        </w:tc>
      </w:tr>
      <w:tr w:rsidR="00807992" w:rsidRPr="00131FB4" w14:paraId="4635C961" w14:textId="77777777" w:rsidTr="005D104E">
        <w:trPr>
          <w:trHeight w:val="198"/>
        </w:trPr>
        <w:tc>
          <w:tcPr>
            <w:tcW w:w="0" w:type="auto"/>
            <w:tcBorders>
              <w:top w:val="single" w:sz="2" w:space="0" w:color="auto"/>
              <w:left w:val="nil"/>
              <w:bottom w:val="single" w:sz="2" w:space="0" w:color="auto"/>
              <w:right w:val="nil"/>
            </w:tcBorders>
            <w:shd w:val="clear" w:color="auto" w:fill="auto"/>
            <w:vAlign w:val="center"/>
            <w:hideMark/>
          </w:tcPr>
          <w:p w14:paraId="0D87AB51"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7</w:t>
            </w:r>
          </w:p>
        </w:tc>
        <w:tc>
          <w:tcPr>
            <w:tcW w:w="0" w:type="auto"/>
            <w:tcBorders>
              <w:top w:val="single" w:sz="2" w:space="0" w:color="auto"/>
              <w:left w:val="nil"/>
              <w:bottom w:val="single" w:sz="2" w:space="0" w:color="auto"/>
              <w:right w:val="nil"/>
            </w:tcBorders>
            <w:shd w:val="clear" w:color="auto" w:fill="auto"/>
            <w:vAlign w:val="center"/>
            <w:hideMark/>
          </w:tcPr>
          <w:p w14:paraId="28C3F4EE"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Existencias</w:t>
            </w:r>
          </w:p>
        </w:tc>
        <w:tc>
          <w:tcPr>
            <w:tcW w:w="0" w:type="auto"/>
            <w:tcBorders>
              <w:top w:val="single" w:sz="2" w:space="0" w:color="auto"/>
              <w:left w:val="nil"/>
              <w:bottom w:val="single" w:sz="2" w:space="0" w:color="auto"/>
              <w:right w:val="nil"/>
            </w:tcBorders>
            <w:shd w:val="clear" w:color="auto" w:fill="auto"/>
            <w:noWrap/>
            <w:vAlign w:val="center"/>
            <w:hideMark/>
          </w:tcPr>
          <w:p w14:paraId="00981246"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10.331.398</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6501C9AA"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11.799.053</w:t>
            </w:r>
          </w:p>
        </w:tc>
        <w:tc>
          <w:tcPr>
            <w:tcW w:w="0" w:type="auto"/>
            <w:tcBorders>
              <w:top w:val="single" w:sz="2" w:space="0" w:color="auto"/>
              <w:left w:val="single" w:sz="4" w:space="0" w:color="auto"/>
              <w:bottom w:val="single" w:sz="2" w:space="0" w:color="auto"/>
            </w:tcBorders>
            <w:shd w:val="clear" w:color="auto" w:fill="auto"/>
            <w:vAlign w:val="center"/>
            <w:hideMark/>
          </w:tcPr>
          <w:p w14:paraId="10A26E7B"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5</w:t>
            </w:r>
          </w:p>
        </w:tc>
        <w:tc>
          <w:tcPr>
            <w:tcW w:w="0" w:type="auto"/>
            <w:tcBorders>
              <w:top w:val="single" w:sz="2" w:space="0" w:color="auto"/>
              <w:bottom w:val="single" w:sz="2" w:space="0" w:color="auto"/>
              <w:right w:val="nil"/>
            </w:tcBorders>
            <w:shd w:val="clear" w:color="auto" w:fill="auto"/>
            <w:vAlign w:val="center"/>
            <w:hideMark/>
          </w:tcPr>
          <w:p w14:paraId="42751CF4"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xml:space="preserve">Acreedores de </w:t>
            </w:r>
            <w:proofErr w:type="spellStart"/>
            <w:r w:rsidRPr="00131FB4">
              <w:rPr>
                <w:rFonts w:ascii="Arial Narrow" w:hAnsi="Arial Narrow" w:cs="Calibri"/>
                <w:color w:val="000000"/>
                <w:sz w:val="18"/>
                <w:szCs w:val="18"/>
                <w:lang w:val="es-ES" w:eastAsia="es-ES"/>
              </w:rPr>
              <w:t>pptos</w:t>
            </w:r>
            <w:proofErr w:type="spellEnd"/>
            <w:r w:rsidRPr="00131FB4">
              <w:rPr>
                <w:rFonts w:ascii="Arial Narrow" w:hAnsi="Arial Narrow" w:cs="Calibri"/>
                <w:color w:val="000000"/>
                <w:sz w:val="18"/>
                <w:szCs w:val="18"/>
                <w:lang w:val="es-ES" w:eastAsia="es-ES"/>
              </w:rPr>
              <w:t>. cerrados y extrapresupuestarios</w:t>
            </w:r>
          </w:p>
        </w:tc>
        <w:tc>
          <w:tcPr>
            <w:tcW w:w="0" w:type="auto"/>
            <w:tcBorders>
              <w:top w:val="single" w:sz="2" w:space="0" w:color="auto"/>
              <w:left w:val="nil"/>
              <w:bottom w:val="single" w:sz="2" w:space="0" w:color="auto"/>
              <w:right w:val="nil"/>
            </w:tcBorders>
            <w:shd w:val="clear" w:color="auto" w:fill="auto"/>
            <w:noWrap/>
            <w:vAlign w:val="center"/>
            <w:hideMark/>
          </w:tcPr>
          <w:p w14:paraId="21E4A64B"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36.477.900</w:t>
            </w:r>
          </w:p>
        </w:tc>
        <w:tc>
          <w:tcPr>
            <w:tcW w:w="1292" w:type="dxa"/>
            <w:tcBorders>
              <w:top w:val="single" w:sz="2" w:space="0" w:color="auto"/>
              <w:left w:val="nil"/>
              <w:bottom w:val="single" w:sz="2" w:space="0" w:color="auto"/>
              <w:right w:val="nil"/>
            </w:tcBorders>
            <w:shd w:val="clear" w:color="auto" w:fill="auto"/>
            <w:noWrap/>
            <w:vAlign w:val="center"/>
            <w:hideMark/>
          </w:tcPr>
          <w:p w14:paraId="5BCC4311"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58.706.801</w:t>
            </w:r>
          </w:p>
        </w:tc>
      </w:tr>
      <w:tr w:rsidR="00807992" w:rsidRPr="00131FB4" w14:paraId="1DF99DDB" w14:textId="77777777" w:rsidTr="005D104E">
        <w:trPr>
          <w:trHeight w:val="198"/>
        </w:trPr>
        <w:tc>
          <w:tcPr>
            <w:tcW w:w="0" w:type="auto"/>
            <w:tcBorders>
              <w:top w:val="single" w:sz="2" w:space="0" w:color="auto"/>
              <w:left w:val="nil"/>
              <w:bottom w:val="single" w:sz="2" w:space="0" w:color="auto"/>
              <w:right w:val="nil"/>
            </w:tcBorders>
            <w:shd w:val="clear" w:color="auto" w:fill="auto"/>
            <w:vAlign w:val="center"/>
            <w:hideMark/>
          </w:tcPr>
          <w:p w14:paraId="187B5ECA"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8</w:t>
            </w:r>
          </w:p>
        </w:tc>
        <w:tc>
          <w:tcPr>
            <w:tcW w:w="0" w:type="auto"/>
            <w:tcBorders>
              <w:top w:val="single" w:sz="2" w:space="0" w:color="auto"/>
              <w:left w:val="nil"/>
              <w:bottom w:val="single" w:sz="2" w:space="0" w:color="auto"/>
              <w:right w:val="nil"/>
            </w:tcBorders>
            <w:shd w:val="clear" w:color="auto" w:fill="auto"/>
            <w:vAlign w:val="center"/>
            <w:hideMark/>
          </w:tcPr>
          <w:p w14:paraId="4FF028F9"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Deudores</w:t>
            </w:r>
          </w:p>
        </w:tc>
        <w:tc>
          <w:tcPr>
            <w:tcW w:w="0" w:type="auto"/>
            <w:tcBorders>
              <w:top w:val="single" w:sz="2" w:space="0" w:color="auto"/>
              <w:left w:val="nil"/>
              <w:bottom w:val="single" w:sz="2" w:space="0" w:color="auto"/>
              <w:right w:val="nil"/>
            </w:tcBorders>
            <w:shd w:val="clear" w:color="auto" w:fill="auto"/>
            <w:noWrap/>
            <w:vAlign w:val="center"/>
            <w:hideMark/>
          </w:tcPr>
          <w:p w14:paraId="4B60BE22"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35.965.273</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596B0AD9"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39.405.184</w:t>
            </w:r>
          </w:p>
        </w:tc>
        <w:tc>
          <w:tcPr>
            <w:tcW w:w="0" w:type="auto"/>
            <w:tcBorders>
              <w:top w:val="single" w:sz="2" w:space="0" w:color="auto"/>
              <w:left w:val="single" w:sz="4" w:space="0" w:color="auto"/>
              <w:bottom w:val="single" w:sz="2" w:space="0" w:color="auto"/>
            </w:tcBorders>
            <w:shd w:val="clear" w:color="auto" w:fill="auto"/>
            <w:vAlign w:val="center"/>
            <w:hideMark/>
          </w:tcPr>
          <w:p w14:paraId="7A8C0144"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6</w:t>
            </w:r>
          </w:p>
        </w:tc>
        <w:tc>
          <w:tcPr>
            <w:tcW w:w="0" w:type="auto"/>
            <w:tcBorders>
              <w:top w:val="single" w:sz="2" w:space="0" w:color="auto"/>
              <w:bottom w:val="single" w:sz="2" w:space="0" w:color="auto"/>
              <w:right w:val="nil"/>
            </w:tcBorders>
            <w:shd w:val="clear" w:color="auto" w:fill="auto"/>
            <w:vAlign w:val="center"/>
            <w:hideMark/>
          </w:tcPr>
          <w:p w14:paraId="6819971F"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xml:space="preserve">Partidas </w:t>
            </w:r>
            <w:proofErr w:type="spellStart"/>
            <w:r w:rsidRPr="00131FB4">
              <w:rPr>
                <w:rFonts w:ascii="Arial Narrow" w:hAnsi="Arial Narrow" w:cs="Calibri"/>
                <w:color w:val="000000"/>
                <w:sz w:val="18"/>
                <w:szCs w:val="18"/>
                <w:lang w:val="es-ES" w:eastAsia="es-ES"/>
              </w:rPr>
              <w:t>ptes</w:t>
            </w:r>
            <w:proofErr w:type="spellEnd"/>
            <w:r w:rsidRPr="00131FB4">
              <w:rPr>
                <w:rFonts w:ascii="Arial Narrow" w:hAnsi="Arial Narrow" w:cs="Calibri"/>
                <w:color w:val="000000"/>
                <w:sz w:val="18"/>
                <w:szCs w:val="18"/>
                <w:lang w:val="es-ES" w:eastAsia="es-ES"/>
              </w:rPr>
              <w:t xml:space="preserve"> de </w:t>
            </w:r>
            <w:proofErr w:type="spellStart"/>
            <w:r w:rsidRPr="00131FB4">
              <w:rPr>
                <w:rFonts w:ascii="Arial Narrow" w:hAnsi="Arial Narrow" w:cs="Calibri"/>
                <w:color w:val="000000"/>
                <w:sz w:val="18"/>
                <w:szCs w:val="18"/>
                <w:lang w:val="es-ES" w:eastAsia="es-ES"/>
              </w:rPr>
              <w:t>aplic</w:t>
            </w:r>
            <w:proofErr w:type="spellEnd"/>
            <w:r w:rsidRPr="00131FB4">
              <w:rPr>
                <w:rFonts w:ascii="Arial Narrow" w:hAnsi="Arial Narrow" w:cs="Calibri"/>
                <w:color w:val="000000"/>
                <w:sz w:val="18"/>
                <w:szCs w:val="18"/>
                <w:lang w:val="es-ES" w:eastAsia="es-ES"/>
              </w:rPr>
              <w:t>. y ajustes periodificación</w:t>
            </w:r>
          </w:p>
        </w:tc>
        <w:tc>
          <w:tcPr>
            <w:tcW w:w="0" w:type="auto"/>
            <w:tcBorders>
              <w:top w:val="single" w:sz="2" w:space="0" w:color="auto"/>
              <w:left w:val="nil"/>
              <w:bottom w:val="single" w:sz="2" w:space="0" w:color="auto"/>
              <w:right w:val="nil"/>
            </w:tcBorders>
            <w:shd w:val="clear" w:color="auto" w:fill="auto"/>
            <w:noWrap/>
            <w:vAlign w:val="center"/>
            <w:hideMark/>
          </w:tcPr>
          <w:p w14:paraId="38C75F32"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39.570</w:t>
            </w:r>
          </w:p>
        </w:tc>
        <w:tc>
          <w:tcPr>
            <w:tcW w:w="1292" w:type="dxa"/>
            <w:tcBorders>
              <w:top w:val="single" w:sz="2" w:space="0" w:color="auto"/>
              <w:left w:val="nil"/>
              <w:bottom w:val="single" w:sz="2" w:space="0" w:color="auto"/>
              <w:right w:val="nil"/>
            </w:tcBorders>
            <w:shd w:val="clear" w:color="auto" w:fill="auto"/>
            <w:noWrap/>
            <w:vAlign w:val="center"/>
            <w:hideMark/>
          </w:tcPr>
          <w:p w14:paraId="539BE052"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42.143</w:t>
            </w:r>
          </w:p>
        </w:tc>
      </w:tr>
      <w:tr w:rsidR="00807992" w:rsidRPr="00131FB4" w14:paraId="3747C0AF" w14:textId="77777777" w:rsidTr="005D104E">
        <w:trPr>
          <w:trHeight w:val="198"/>
        </w:trPr>
        <w:tc>
          <w:tcPr>
            <w:tcW w:w="0" w:type="auto"/>
            <w:tcBorders>
              <w:top w:val="single" w:sz="2" w:space="0" w:color="auto"/>
              <w:left w:val="nil"/>
              <w:bottom w:val="single" w:sz="2" w:space="0" w:color="auto"/>
              <w:right w:val="nil"/>
            </w:tcBorders>
            <w:shd w:val="clear" w:color="auto" w:fill="auto"/>
            <w:vAlign w:val="center"/>
            <w:hideMark/>
          </w:tcPr>
          <w:p w14:paraId="0C299BE6"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9</w:t>
            </w:r>
          </w:p>
        </w:tc>
        <w:tc>
          <w:tcPr>
            <w:tcW w:w="0" w:type="auto"/>
            <w:tcBorders>
              <w:top w:val="single" w:sz="2" w:space="0" w:color="auto"/>
              <w:left w:val="nil"/>
              <w:bottom w:val="single" w:sz="2" w:space="0" w:color="auto"/>
              <w:right w:val="nil"/>
            </w:tcBorders>
            <w:shd w:val="clear" w:color="auto" w:fill="auto"/>
            <w:vAlign w:val="center"/>
            <w:hideMark/>
          </w:tcPr>
          <w:p w14:paraId="334E8904"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Cuentas financieras</w:t>
            </w:r>
          </w:p>
        </w:tc>
        <w:tc>
          <w:tcPr>
            <w:tcW w:w="0" w:type="auto"/>
            <w:tcBorders>
              <w:top w:val="single" w:sz="2" w:space="0" w:color="auto"/>
              <w:left w:val="nil"/>
              <w:bottom w:val="single" w:sz="2" w:space="0" w:color="auto"/>
              <w:right w:val="nil"/>
            </w:tcBorders>
            <w:shd w:val="clear" w:color="auto" w:fill="auto"/>
            <w:noWrap/>
            <w:vAlign w:val="center"/>
            <w:hideMark/>
          </w:tcPr>
          <w:p w14:paraId="66EB3CB6"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82.452.404</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6984FF49"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88.504.607</w:t>
            </w:r>
          </w:p>
        </w:tc>
        <w:tc>
          <w:tcPr>
            <w:tcW w:w="0" w:type="auto"/>
            <w:tcBorders>
              <w:top w:val="single" w:sz="2" w:space="0" w:color="auto"/>
              <w:left w:val="single" w:sz="4" w:space="0" w:color="auto"/>
              <w:bottom w:val="single" w:sz="2" w:space="0" w:color="auto"/>
            </w:tcBorders>
            <w:shd w:val="clear" w:color="auto" w:fill="auto"/>
            <w:vAlign w:val="center"/>
            <w:hideMark/>
          </w:tcPr>
          <w:p w14:paraId="2E428650"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w:t>
            </w:r>
          </w:p>
        </w:tc>
        <w:tc>
          <w:tcPr>
            <w:tcW w:w="0" w:type="auto"/>
            <w:tcBorders>
              <w:top w:val="single" w:sz="2" w:space="0" w:color="auto"/>
              <w:bottom w:val="single" w:sz="2" w:space="0" w:color="auto"/>
              <w:right w:val="nil"/>
            </w:tcBorders>
            <w:shd w:val="clear" w:color="auto" w:fill="auto"/>
            <w:vAlign w:val="center"/>
            <w:hideMark/>
          </w:tcPr>
          <w:p w14:paraId="49276907"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w:t>
            </w:r>
          </w:p>
        </w:tc>
        <w:tc>
          <w:tcPr>
            <w:tcW w:w="0" w:type="auto"/>
            <w:tcBorders>
              <w:top w:val="single" w:sz="2" w:space="0" w:color="auto"/>
              <w:left w:val="nil"/>
              <w:bottom w:val="single" w:sz="2" w:space="0" w:color="auto"/>
              <w:right w:val="nil"/>
            </w:tcBorders>
            <w:shd w:val="clear" w:color="auto" w:fill="auto"/>
            <w:noWrap/>
            <w:vAlign w:val="center"/>
            <w:hideMark/>
          </w:tcPr>
          <w:p w14:paraId="07F513B4"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 </w:t>
            </w:r>
          </w:p>
        </w:tc>
        <w:tc>
          <w:tcPr>
            <w:tcW w:w="1292" w:type="dxa"/>
            <w:tcBorders>
              <w:top w:val="single" w:sz="2" w:space="0" w:color="auto"/>
              <w:left w:val="nil"/>
              <w:bottom w:val="single" w:sz="2" w:space="0" w:color="auto"/>
              <w:right w:val="nil"/>
            </w:tcBorders>
            <w:shd w:val="clear" w:color="auto" w:fill="auto"/>
            <w:vAlign w:val="center"/>
            <w:hideMark/>
          </w:tcPr>
          <w:p w14:paraId="600191EB" w14:textId="77777777" w:rsidR="00807992" w:rsidRPr="00131FB4" w:rsidRDefault="00807992" w:rsidP="00807992">
            <w:pPr>
              <w:spacing w:after="0"/>
              <w:ind w:firstLine="0"/>
              <w:jc w:val="righ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w:t>
            </w:r>
          </w:p>
        </w:tc>
      </w:tr>
      <w:tr w:rsidR="00807992" w:rsidRPr="00131FB4" w14:paraId="4289F102" w14:textId="77777777" w:rsidTr="005D104E">
        <w:trPr>
          <w:trHeight w:val="555"/>
        </w:trPr>
        <w:tc>
          <w:tcPr>
            <w:tcW w:w="0" w:type="auto"/>
            <w:tcBorders>
              <w:top w:val="single" w:sz="2" w:space="0" w:color="auto"/>
              <w:left w:val="nil"/>
              <w:bottom w:val="single" w:sz="2" w:space="0" w:color="auto"/>
              <w:right w:val="nil"/>
            </w:tcBorders>
            <w:shd w:val="clear" w:color="auto" w:fill="auto"/>
            <w:vAlign w:val="center"/>
            <w:hideMark/>
          </w:tcPr>
          <w:p w14:paraId="56B7CB05"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10</w:t>
            </w:r>
          </w:p>
        </w:tc>
        <w:tc>
          <w:tcPr>
            <w:tcW w:w="0" w:type="auto"/>
            <w:tcBorders>
              <w:top w:val="single" w:sz="2" w:space="0" w:color="auto"/>
              <w:left w:val="nil"/>
              <w:bottom w:val="single" w:sz="2" w:space="0" w:color="auto"/>
              <w:right w:val="nil"/>
            </w:tcBorders>
            <w:shd w:val="clear" w:color="auto" w:fill="auto"/>
            <w:vAlign w:val="center"/>
            <w:hideMark/>
          </w:tcPr>
          <w:p w14:paraId="63F469AA"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proofErr w:type="spellStart"/>
            <w:r w:rsidRPr="00131FB4">
              <w:rPr>
                <w:rFonts w:ascii="Arial Narrow" w:hAnsi="Arial Narrow" w:cs="Calibri"/>
                <w:color w:val="000000"/>
                <w:sz w:val="18"/>
                <w:szCs w:val="18"/>
                <w:lang w:val="es-ES" w:eastAsia="es-ES"/>
              </w:rPr>
              <w:t>Siruac</w:t>
            </w:r>
            <w:proofErr w:type="spellEnd"/>
            <w:r w:rsidRPr="00131FB4">
              <w:rPr>
                <w:rFonts w:ascii="Arial Narrow" w:hAnsi="Arial Narrow" w:cs="Calibri"/>
                <w:color w:val="000000"/>
                <w:sz w:val="18"/>
                <w:szCs w:val="18"/>
                <w:lang w:val="es-ES" w:eastAsia="es-ES"/>
              </w:rPr>
              <w:t xml:space="preserve">. Transitorias de </w:t>
            </w:r>
            <w:proofErr w:type="spellStart"/>
            <w:r w:rsidRPr="00131FB4">
              <w:rPr>
                <w:rFonts w:ascii="Arial Narrow" w:hAnsi="Arial Narrow" w:cs="Calibri"/>
                <w:color w:val="000000"/>
                <w:sz w:val="18"/>
                <w:szCs w:val="18"/>
                <w:lang w:val="es-ES" w:eastAsia="es-ES"/>
              </w:rPr>
              <w:t>financ</w:t>
            </w:r>
            <w:proofErr w:type="spellEnd"/>
            <w:r w:rsidRPr="00131FB4">
              <w:rPr>
                <w:rFonts w:ascii="Arial Narrow" w:hAnsi="Arial Narrow" w:cs="Calibri"/>
                <w:color w:val="000000"/>
                <w:sz w:val="18"/>
                <w:szCs w:val="18"/>
                <w:lang w:val="es-ES" w:eastAsia="es-ES"/>
              </w:rPr>
              <w:t>., ajustes periodificación pendiente de aplicación</w:t>
            </w:r>
          </w:p>
        </w:tc>
        <w:tc>
          <w:tcPr>
            <w:tcW w:w="0" w:type="auto"/>
            <w:tcBorders>
              <w:top w:val="single" w:sz="2" w:space="0" w:color="auto"/>
              <w:left w:val="nil"/>
              <w:bottom w:val="single" w:sz="2" w:space="0" w:color="auto"/>
              <w:right w:val="nil"/>
            </w:tcBorders>
            <w:shd w:val="clear" w:color="auto" w:fill="auto"/>
            <w:noWrap/>
            <w:vAlign w:val="center"/>
            <w:hideMark/>
          </w:tcPr>
          <w:p w14:paraId="32867959"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31.024</w:t>
            </w:r>
          </w:p>
        </w:tc>
        <w:tc>
          <w:tcPr>
            <w:tcW w:w="0" w:type="auto"/>
            <w:tcBorders>
              <w:top w:val="single" w:sz="2" w:space="0" w:color="auto"/>
              <w:left w:val="nil"/>
              <w:bottom w:val="single" w:sz="2" w:space="0" w:color="auto"/>
              <w:right w:val="single" w:sz="4" w:space="0" w:color="auto"/>
            </w:tcBorders>
            <w:shd w:val="clear" w:color="auto" w:fill="auto"/>
            <w:noWrap/>
            <w:vAlign w:val="center"/>
            <w:hideMark/>
          </w:tcPr>
          <w:p w14:paraId="6BEA15F5"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148.189</w:t>
            </w:r>
          </w:p>
        </w:tc>
        <w:tc>
          <w:tcPr>
            <w:tcW w:w="0" w:type="auto"/>
            <w:tcBorders>
              <w:top w:val="single" w:sz="2" w:space="0" w:color="auto"/>
              <w:left w:val="single" w:sz="4" w:space="0" w:color="auto"/>
              <w:bottom w:val="single" w:sz="2" w:space="0" w:color="auto"/>
            </w:tcBorders>
            <w:shd w:val="clear" w:color="auto" w:fill="auto"/>
            <w:vAlign w:val="center"/>
            <w:hideMark/>
          </w:tcPr>
          <w:p w14:paraId="0E5954EA"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w:t>
            </w:r>
          </w:p>
        </w:tc>
        <w:tc>
          <w:tcPr>
            <w:tcW w:w="0" w:type="auto"/>
            <w:tcBorders>
              <w:top w:val="single" w:sz="2" w:space="0" w:color="auto"/>
              <w:bottom w:val="single" w:sz="2" w:space="0" w:color="auto"/>
              <w:right w:val="nil"/>
            </w:tcBorders>
            <w:shd w:val="clear" w:color="auto" w:fill="auto"/>
            <w:vAlign w:val="center"/>
            <w:hideMark/>
          </w:tcPr>
          <w:p w14:paraId="141B40B2"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w:t>
            </w:r>
          </w:p>
        </w:tc>
        <w:tc>
          <w:tcPr>
            <w:tcW w:w="0" w:type="auto"/>
            <w:tcBorders>
              <w:top w:val="single" w:sz="2" w:space="0" w:color="auto"/>
              <w:left w:val="nil"/>
              <w:bottom w:val="single" w:sz="2" w:space="0" w:color="auto"/>
              <w:right w:val="nil"/>
            </w:tcBorders>
            <w:shd w:val="clear" w:color="auto" w:fill="auto"/>
            <w:noWrap/>
            <w:vAlign w:val="center"/>
            <w:hideMark/>
          </w:tcPr>
          <w:p w14:paraId="748D9C2A"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 </w:t>
            </w:r>
          </w:p>
        </w:tc>
        <w:tc>
          <w:tcPr>
            <w:tcW w:w="1292" w:type="dxa"/>
            <w:tcBorders>
              <w:top w:val="single" w:sz="2" w:space="0" w:color="auto"/>
              <w:left w:val="nil"/>
              <w:bottom w:val="single" w:sz="2" w:space="0" w:color="auto"/>
              <w:right w:val="nil"/>
            </w:tcBorders>
            <w:shd w:val="clear" w:color="auto" w:fill="auto"/>
            <w:vAlign w:val="center"/>
            <w:hideMark/>
          </w:tcPr>
          <w:p w14:paraId="77ACFD9A" w14:textId="77777777" w:rsidR="00807992" w:rsidRPr="00131FB4" w:rsidRDefault="00807992" w:rsidP="00807992">
            <w:pPr>
              <w:spacing w:after="0"/>
              <w:ind w:firstLine="0"/>
              <w:jc w:val="righ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w:t>
            </w:r>
          </w:p>
        </w:tc>
      </w:tr>
      <w:tr w:rsidR="00807992" w:rsidRPr="00131FB4" w14:paraId="3437E0E2" w14:textId="77777777" w:rsidTr="005D104E">
        <w:trPr>
          <w:trHeight w:val="555"/>
        </w:trPr>
        <w:tc>
          <w:tcPr>
            <w:tcW w:w="0" w:type="auto"/>
            <w:tcBorders>
              <w:top w:val="single" w:sz="2" w:space="0" w:color="auto"/>
              <w:left w:val="nil"/>
              <w:bottom w:val="single" w:sz="4" w:space="0" w:color="auto"/>
              <w:right w:val="nil"/>
            </w:tcBorders>
            <w:shd w:val="clear" w:color="auto" w:fill="auto"/>
            <w:vAlign w:val="center"/>
            <w:hideMark/>
          </w:tcPr>
          <w:p w14:paraId="40EFC181"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11</w:t>
            </w:r>
          </w:p>
        </w:tc>
        <w:tc>
          <w:tcPr>
            <w:tcW w:w="0" w:type="auto"/>
            <w:tcBorders>
              <w:top w:val="single" w:sz="2" w:space="0" w:color="auto"/>
              <w:left w:val="nil"/>
              <w:bottom w:val="single" w:sz="4" w:space="0" w:color="auto"/>
              <w:right w:val="nil"/>
            </w:tcBorders>
            <w:shd w:val="clear" w:color="auto" w:fill="auto"/>
            <w:vAlign w:val="center"/>
            <w:hideMark/>
          </w:tcPr>
          <w:p w14:paraId="48DF3B4B"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proofErr w:type="spellStart"/>
            <w:r w:rsidRPr="00131FB4">
              <w:rPr>
                <w:rFonts w:ascii="Arial Narrow" w:hAnsi="Arial Narrow" w:cs="Calibri"/>
                <w:color w:val="000000"/>
                <w:sz w:val="18"/>
                <w:szCs w:val="18"/>
                <w:lang w:val="es-ES" w:eastAsia="es-ES"/>
              </w:rPr>
              <w:t>Rtdo</w:t>
            </w:r>
            <w:proofErr w:type="spellEnd"/>
            <w:r w:rsidRPr="00131FB4">
              <w:rPr>
                <w:rFonts w:ascii="Arial Narrow" w:hAnsi="Arial Narrow" w:cs="Calibri"/>
                <w:color w:val="000000"/>
                <w:sz w:val="18"/>
                <w:szCs w:val="18"/>
                <w:lang w:val="es-ES" w:eastAsia="es-ES"/>
              </w:rPr>
              <w:t>. pendiente de aplicación (</w:t>
            </w:r>
            <w:proofErr w:type="spellStart"/>
            <w:r w:rsidRPr="00131FB4">
              <w:rPr>
                <w:rFonts w:ascii="Arial Narrow" w:hAnsi="Arial Narrow" w:cs="Calibri"/>
                <w:color w:val="000000"/>
                <w:sz w:val="18"/>
                <w:szCs w:val="18"/>
                <w:lang w:val="es-ES" w:eastAsia="es-ES"/>
              </w:rPr>
              <w:t>pérd</w:t>
            </w:r>
            <w:proofErr w:type="spellEnd"/>
            <w:r w:rsidRPr="00131FB4">
              <w:rPr>
                <w:rFonts w:ascii="Arial Narrow" w:hAnsi="Arial Narrow" w:cs="Calibri"/>
                <w:color w:val="000000"/>
                <w:sz w:val="18"/>
                <w:szCs w:val="18"/>
                <w:lang w:val="es-ES" w:eastAsia="es-ES"/>
              </w:rPr>
              <w:t xml:space="preserve">. del </w:t>
            </w:r>
            <w:proofErr w:type="spellStart"/>
            <w:r w:rsidRPr="00131FB4">
              <w:rPr>
                <w:rFonts w:ascii="Arial Narrow" w:hAnsi="Arial Narrow" w:cs="Calibri"/>
                <w:color w:val="000000"/>
                <w:sz w:val="18"/>
                <w:szCs w:val="18"/>
                <w:lang w:val="es-ES" w:eastAsia="es-ES"/>
              </w:rPr>
              <w:t>ejer</w:t>
            </w:r>
            <w:proofErr w:type="spellEnd"/>
            <w:r w:rsidRPr="00131FB4">
              <w:rPr>
                <w:rFonts w:ascii="Arial Narrow" w:hAnsi="Arial Narrow" w:cs="Calibri"/>
                <w:color w:val="000000"/>
                <w:sz w:val="18"/>
                <w:szCs w:val="18"/>
                <w:lang w:val="es-ES" w:eastAsia="es-ES"/>
              </w:rPr>
              <w:t>.)</w:t>
            </w:r>
          </w:p>
        </w:tc>
        <w:tc>
          <w:tcPr>
            <w:tcW w:w="0" w:type="auto"/>
            <w:tcBorders>
              <w:top w:val="single" w:sz="2" w:space="0" w:color="auto"/>
              <w:left w:val="nil"/>
              <w:bottom w:val="single" w:sz="4" w:space="0" w:color="auto"/>
              <w:right w:val="nil"/>
            </w:tcBorders>
            <w:shd w:val="clear" w:color="auto" w:fill="auto"/>
            <w:noWrap/>
            <w:vAlign w:val="center"/>
            <w:hideMark/>
          </w:tcPr>
          <w:p w14:paraId="36F28663"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 </w:t>
            </w:r>
          </w:p>
        </w:tc>
        <w:tc>
          <w:tcPr>
            <w:tcW w:w="0" w:type="auto"/>
            <w:tcBorders>
              <w:top w:val="single" w:sz="2" w:space="0" w:color="auto"/>
              <w:left w:val="nil"/>
              <w:bottom w:val="single" w:sz="4" w:space="0" w:color="auto"/>
              <w:right w:val="single" w:sz="4" w:space="0" w:color="auto"/>
            </w:tcBorders>
            <w:shd w:val="clear" w:color="auto" w:fill="auto"/>
            <w:noWrap/>
            <w:vAlign w:val="center"/>
            <w:hideMark/>
          </w:tcPr>
          <w:p w14:paraId="111A4B26"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 </w:t>
            </w:r>
          </w:p>
        </w:tc>
        <w:tc>
          <w:tcPr>
            <w:tcW w:w="0" w:type="auto"/>
            <w:tcBorders>
              <w:top w:val="single" w:sz="2" w:space="0" w:color="auto"/>
              <w:left w:val="single" w:sz="4" w:space="0" w:color="auto"/>
              <w:bottom w:val="single" w:sz="4" w:space="0" w:color="auto"/>
            </w:tcBorders>
            <w:shd w:val="clear" w:color="auto" w:fill="auto"/>
            <w:vAlign w:val="center"/>
            <w:hideMark/>
          </w:tcPr>
          <w:p w14:paraId="38C1B9B6" w14:textId="77777777" w:rsidR="00807992" w:rsidRPr="00131FB4" w:rsidRDefault="00807992" w:rsidP="00807992">
            <w:pPr>
              <w:spacing w:after="0"/>
              <w:ind w:firstLine="0"/>
              <w:jc w:val="center"/>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w:t>
            </w:r>
          </w:p>
        </w:tc>
        <w:tc>
          <w:tcPr>
            <w:tcW w:w="0" w:type="auto"/>
            <w:tcBorders>
              <w:top w:val="single" w:sz="2" w:space="0" w:color="auto"/>
              <w:bottom w:val="single" w:sz="4" w:space="0" w:color="auto"/>
              <w:right w:val="nil"/>
            </w:tcBorders>
            <w:shd w:val="clear" w:color="auto" w:fill="auto"/>
            <w:vAlign w:val="center"/>
            <w:hideMark/>
          </w:tcPr>
          <w:p w14:paraId="7AFE4AD6" w14:textId="77777777" w:rsidR="00807992" w:rsidRPr="00131FB4" w:rsidRDefault="00807992" w:rsidP="00807992">
            <w:pPr>
              <w:spacing w:after="0"/>
              <w:ind w:firstLine="0"/>
              <w:jc w:val="lef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w:t>
            </w:r>
          </w:p>
        </w:tc>
        <w:tc>
          <w:tcPr>
            <w:tcW w:w="0" w:type="auto"/>
            <w:tcBorders>
              <w:top w:val="single" w:sz="2" w:space="0" w:color="auto"/>
              <w:left w:val="nil"/>
              <w:bottom w:val="single" w:sz="4" w:space="0" w:color="auto"/>
              <w:right w:val="nil"/>
            </w:tcBorders>
            <w:shd w:val="clear" w:color="auto" w:fill="auto"/>
            <w:noWrap/>
            <w:vAlign w:val="center"/>
            <w:hideMark/>
          </w:tcPr>
          <w:p w14:paraId="0889FE23" w14:textId="77777777" w:rsidR="00807992" w:rsidRPr="00131FB4" w:rsidRDefault="00807992" w:rsidP="00807992">
            <w:pPr>
              <w:spacing w:after="0"/>
              <w:ind w:firstLine="0"/>
              <w:jc w:val="right"/>
              <w:rPr>
                <w:rFonts w:ascii="Arial Narrow" w:hAnsi="Arial Narrow" w:cs="Calibri"/>
                <w:color w:val="000000"/>
                <w:sz w:val="17"/>
                <w:szCs w:val="17"/>
                <w:lang w:val="es-ES" w:eastAsia="es-ES"/>
              </w:rPr>
            </w:pPr>
            <w:r w:rsidRPr="00131FB4">
              <w:rPr>
                <w:rFonts w:ascii="Arial Narrow" w:hAnsi="Arial Narrow" w:cs="Calibri"/>
                <w:color w:val="000000"/>
                <w:sz w:val="17"/>
                <w:szCs w:val="17"/>
                <w:lang w:val="es-ES" w:eastAsia="es-ES"/>
              </w:rPr>
              <w:t> </w:t>
            </w:r>
          </w:p>
        </w:tc>
        <w:tc>
          <w:tcPr>
            <w:tcW w:w="1292" w:type="dxa"/>
            <w:tcBorders>
              <w:top w:val="single" w:sz="2" w:space="0" w:color="auto"/>
              <w:left w:val="nil"/>
              <w:bottom w:val="single" w:sz="4" w:space="0" w:color="auto"/>
              <w:right w:val="nil"/>
            </w:tcBorders>
            <w:shd w:val="clear" w:color="auto" w:fill="auto"/>
            <w:vAlign w:val="center"/>
            <w:hideMark/>
          </w:tcPr>
          <w:p w14:paraId="30E74B13" w14:textId="77777777" w:rsidR="00807992" w:rsidRPr="00131FB4" w:rsidRDefault="00807992" w:rsidP="00807992">
            <w:pPr>
              <w:spacing w:after="0"/>
              <w:ind w:firstLine="0"/>
              <w:jc w:val="right"/>
              <w:rPr>
                <w:rFonts w:ascii="Arial Narrow" w:hAnsi="Arial Narrow" w:cs="Calibri"/>
                <w:color w:val="000000"/>
                <w:sz w:val="18"/>
                <w:szCs w:val="18"/>
                <w:lang w:val="es-ES" w:eastAsia="es-ES"/>
              </w:rPr>
            </w:pPr>
            <w:r w:rsidRPr="00131FB4">
              <w:rPr>
                <w:rFonts w:ascii="Arial Narrow" w:hAnsi="Arial Narrow" w:cs="Calibri"/>
                <w:color w:val="000000"/>
                <w:sz w:val="18"/>
                <w:szCs w:val="18"/>
                <w:lang w:val="es-ES" w:eastAsia="es-ES"/>
              </w:rPr>
              <w:t> </w:t>
            </w:r>
          </w:p>
        </w:tc>
      </w:tr>
      <w:tr w:rsidR="00807992" w:rsidRPr="00CA5DFB" w14:paraId="6073777B" w14:textId="77777777" w:rsidTr="005D104E">
        <w:trPr>
          <w:trHeight w:val="255"/>
        </w:trPr>
        <w:tc>
          <w:tcPr>
            <w:tcW w:w="0" w:type="auto"/>
            <w:tcBorders>
              <w:top w:val="single" w:sz="4" w:space="0" w:color="auto"/>
              <w:left w:val="nil"/>
              <w:bottom w:val="single" w:sz="4" w:space="0" w:color="auto"/>
              <w:right w:val="nil"/>
            </w:tcBorders>
            <w:shd w:val="clear" w:color="auto" w:fill="FABF8F" w:themeFill="accent6" w:themeFillTint="99"/>
            <w:vAlign w:val="center"/>
            <w:hideMark/>
          </w:tcPr>
          <w:p w14:paraId="5EBB14CB" w14:textId="77777777" w:rsidR="00807992" w:rsidRPr="00CA5DFB" w:rsidRDefault="00807992" w:rsidP="00807992">
            <w:pPr>
              <w:spacing w:after="0"/>
              <w:ind w:firstLine="0"/>
              <w:jc w:val="left"/>
              <w:rPr>
                <w:rFonts w:ascii="Arial" w:hAnsi="Arial" w:cs="Arial"/>
                <w:color w:val="000000"/>
                <w:sz w:val="18"/>
                <w:szCs w:val="18"/>
                <w:lang w:val="es-ES" w:eastAsia="es-ES"/>
              </w:rPr>
            </w:pPr>
            <w:r w:rsidRPr="00CA5DFB">
              <w:rPr>
                <w:rFonts w:ascii="Arial" w:hAnsi="Arial" w:cs="Arial"/>
                <w:color w:val="000000"/>
                <w:sz w:val="18"/>
                <w:szCs w:val="18"/>
                <w:lang w:val="es-ES" w:eastAsia="es-ES"/>
              </w:rPr>
              <w:t xml:space="preserve"> </w:t>
            </w:r>
          </w:p>
        </w:tc>
        <w:tc>
          <w:tcPr>
            <w:tcW w:w="0" w:type="auto"/>
            <w:tcBorders>
              <w:top w:val="single" w:sz="4" w:space="0" w:color="auto"/>
              <w:left w:val="nil"/>
              <w:bottom w:val="single" w:sz="4" w:space="0" w:color="auto"/>
              <w:right w:val="nil"/>
            </w:tcBorders>
            <w:shd w:val="clear" w:color="auto" w:fill="FABF8F" w:themeFill="accent6" w:themeFillTint="99"/>
            <w:vAlign w:val="center"/>
            <w:hideMark/>
          </w:tcPr>
          <w:p w14:paraId="4A198FA7" w14:textId="77777777" w:rsidR="00807992" w:rsidRPr="00CA5DFB" w:rsidRDefault="00807992" w:rsidP="00807992">
            <w:pPr>
              <w:spacing w:after="0"/>
              <w:ind w:firstLine="0"/>
              <w:jc w:val="left"/>
              <w:rPr>
                <w:rFonts w:ascii="Arial" w:hAnsi="Arial" w:cs="Arial"/>
                <w:color w:val="000000"/>
                <w:sz w:val="18"/>
                <w:szCs w:val="18"/>
                <w:lang w:val="es-ES" w:eastAsia="es-ES"/>
              </w:rPr>
            </w:pPr>
            <w:proofErr w:type="gramStart"/>
            <w:r w:rsidRPr="00CA5DFB">
              <w:rPr>
                <w:rFonts w:ascii="Arial" w:hAnsi="Arial" w:cs="Arial"/>
                <w:color w:val="000000"/>
                <w:sz w:val="18"/>
                <w:szCs w:val="18"/>
                <w:lang w:val="es-ES" w:eastAsia="es-ES"/>
              </w:rPr>
              <w:t>Total</w:t>
            </w:r>
            <w:proofErr w:type="gramEnd"/>
            <w:r w:rsidRPr="00CA5DFB">
              <w:rPr>
                <w:rFonts w:ascii="Arial" w:hAnsi="Arial" w:cs="Arial"/>
                <w:color w:val="000000"/>
                <w:sz w:val="18"/>
                <w:szCs w:val="18"/>
                <w:lang w:val="es-ES" w:eastAsia="es-ES"/>
              </w:rPr>
              <w:t xml:space="preserve"> Activo</w:t>
            </w:r>
          </w:p>
        </w:tc>
        <w:tc>
          <w:tcPr>
            <w:tcW w:w="0" w:type="auto"/>
            <w:tcBorders>
              <w:top w:val="single" w:sz="4" w:space="0" w:color="auto"/>
              <w:left w:val="nil"/>
              <w:bottom w:val="single" w:sz="4" w:space="0" w:color="auto"/>
              <w:right w:val="nil"/>
            </w:tcBorders>
            <w:shd w:val="clear" w:color="auto" w:fill="FABF8F" w:themeFill="accent6" w:themeFillTint="99"/>
            <w:noWrap/>
            <w:vAlign w:val="center"/>
            <w:hideMark/>
          </w:tcPr>
          <w:p w14:paraId="51A8E6B0" w14:textId="77777777" w:rsidR="00807992" w:rsidRPr="00CA5DFB" w:rsidRDefault="00807992" w:rsidP="00807992">
            <w:pPr>
              <w:spacing w:after="0"/>
              <w:ind w:firstLine="0"/>
              <w:jc w:val="right"/>
              <w:rPr>
                <w:rFonts w:ascii="Arial" w:hAnsi="Arial" w:cs="Arial"/>
                <w:color w:val="000000"/>
                <w:sz w:val="18"/>
                <w:szCs w:val="18"/>
                <w:lang w:val="es-ES" w:eastAsia="es-ES"/>
              </w:rPr>
            </w:pPr>
            <w:r w:rsidRPr="00CA5DFB">
              <w:rPr>
                <w:rFonts w:ascii="Arial" w:hAnsi="Arial" w:cs="Arial"/>
                <w:color w:val="000000"/>
                <w:sz w:val="18"/>
                <w:szCs w:val="18"/>
                <w:lang w:val="es-ES" w:eastAsia="es-ES"/>
              </w:rPr>
              <w:t>1.374.419.474</w:t>
            </w:r>
          </w:p>
        </w:tc>
        <w:tc>
          <w:tcPr>
            <w:tcW w:w="0" w:type="auto"/>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57A6D2CA" w14:textId="77777777" w:rsidR="00807992" w:rsidRPr="00CA5DFB" w:rsidRDefault="00807992" w:rsidP="00807992">
            <w:pPr>
              <w:spacing w:after="0"/>
              <w:ind w:firstLine="0"/>
              <w:jc w:val="right"/>
              <w:rPr>
                <w:rFonts w:ascii="Arial" w:hAnsi="Arial" w:cs="Arial"/>
                <w:color w:val="000000"/>
                <w:sz w:val="18"/>
                <w:szCs w:val="18"/>
                <w:lang w:val="es-ES" w:eastAsia="es-ES"/>
              </w:rPr>
            </w:pPr>
            <w:r w:rsidRPr="00CA5DFB">
              <w:rPr>
                <w:rFonts w:ascii="Arial" w:hAnsi="Arial" w:cs="Arial"/>
                <w:color w:val="000000"/>
                <w:sz w:val="18"/>
                <w:szCs w:val="18"/>
                <w:lang w:val="es-ES" w:eastAsia="es-ES"/>
              </w:rPr>
              <w:t>1.421.713.968</w:t>
            </w:r>
          </w:p>
        </w:tc>
        <w:tc>
          <w:tcPr>
            <w:tcW w:w="0" w:type="auto"/>
            <w:tcBorders>
              <w:top w:val="single" w:sz="4" w:space="0" w:color="auto"/>
              <w:left w:val="single" w:sz="4" w:space="0" w:color="auto"/>
              <w:bottom w:val="single" w:sz="4" w:space="0" w:color="auto"/>
            </w:tcBorders>
            <w:shd w:val="clear" w:color="auto" w:fill="FABF8F" w:themeFill="accent6" w:themeFillTint="99"/>
            <w:vAlign w:val="center"/>
            <w:hideMark/>
          </w:tcPr>
          <w:p w14:paraId="35F17BF4" w14:textId="77777777" w:rsidR="00807992" w:rsidRPr="00CA5DFB" w:rsidRDefault="00807992" w:rsidP="00807992">
            <w:pPr>
              <w:spacing w:after="0"/>
              <w:ind w:firstLine="0"/>
              <w:jc w:val="left"/>
              <w:rPr>
                <w:rFonts w:ascii="Arial" w:hAnsi="Arial" w:cs="Arial"/>
                <w:color w:val="000000"/>
                <w:sz w:val="18"/>
                <w:szCs w:val="18"/>
                <w:lang w:val="es-ES" w:eastAsia="es-ES"/>
              </w:rPr>
            </w:pPr>
            <w:r w:rsidRPr="00CA5DFB">
              <w:rPr>
                <w:rFonts w:ascii="Arial" w:hAnsi="Arial" w:cs="Arial"/>
                <w:color w:val="000000"/>
                <w:sz w:val="18"/>
                <w:szCs w:val="18"/>
                <w:lang w:val="es-ES" w:eastAsia="es-ES"/>
              </w:rPr>
              <w:t xml:space="preserve"> </w:t>
            </w:r>
          </w:p>
        </w:tc>
        <w:tc>
          <w:tcPr>
            <w:tcW w:w="0" w:type="auto"/>
            <w:tcBorders>
              <w:top w:val="single" w:sz="4" w:space="0" w:color="auto"/>
              <w:bottom w:val="single" w:sz="4" w:space="0" w:color="auto"/>
              <w:right w:val="nil"/>
            </w:tcBorders>
            <w:shd w:val="clear" w:color="auto" w:fill="FABF8F" w:themeFill="accent6" w:themeFillTint="99"/>
            <w:vAlign w:val="center"/>
            <w:hideMark/>
          </w:tcPr>
          <w:p w14:paraId="0C2D210D" w14:textId="77777777" w:rsidR="00807992" w:rsidRPr="00CA5DFB" w:rsidRDefault="00807992" w:rsidP="00807992">
            <w:pPr>
              <w:spacing w:after="0"/>
              <w:ind w:firstLine="0"/>
              <w:jc w:val="left"/>
              <w:rPr>
                <w:rFonts w:ascii="Arial" w:hAnsi="Arial" w:cs="Arial"/>
                <w:color w:val="000000"/>
                <w:sz w:val="18"/>
                <w:szCs w:val="18"/>
                <w:lang w:val="es-ES" w:eastAsia="es-ES"/>
              </w:rPr>
            </w:pPr>
            <w:proofErr w:type="gramStart"/>
            <w:r w:rsidRPr="00CA5DFB">
              <w:rPr>
                <w:rFonts w:ascii="Arial" w:hAnsi="Arial" w:cs="Arial"/>
                <w:color w:val="000000"/>
                <w:sz w:val="18"/>
                <w:szCs w:val="18"/>
                <w:lang w:val="es-ES" w:eastAsia="es-ES"/>
              </w:rPr>
              <w:t>Total</w:t>
            </w:r>
            <w:proofErr w:type="gramEnd"/>
            <w:r w:rsidRPr="00CA5DFB">
              <w:rPr>
                <w:rFonts w:ascii="Arial" w:hAnsi="Arial" w:cs="Arial"/>
                <w:color w:val="000000"/>
                <w:sz w:val="18"/>
                <w:szCs w:val="18"/>
                <w:lang w:val="es-ES" w:eastAsia="es-ES"/>
              </w:rPr>
              <w:t xml:space="preserve"> Pasivo</w:t>
            </w:r>
          </w:p>
        </w:tc>
        <w:tc>
          <w:tcPr>
            <w:tcW w:w="0" w:type="auto"/>
            <w:tcBorders>
              <w:top w:val="single" w:sz="4" w:space="0" w:color="auto"/>
              <w:left w:val="nil"/>
              <w:bottom w:val="single" w:sz="4" w:space="0" w:color="auto"/>
              <w:right w:val="nil"/>
            </w:tcBorders>
            <w:shd w:val="clear" w:color="auto" w:fill="FABF8F" w:themeFill="accent6" w:themeFillTint="99"/>
            <w:noWrap/>
            <w:vAlign w:val="center"/>
            <w:hideMark/>
          </w:tcPr>
          <w:p w14:paraId="3A59A84B" w14:textId="77777777" w:rsidR="00807992" w:rsidRPr="00CA5DFB" w:rsidRDefault="00807992" w:rsidP="00807992">
            <w:pPr>
              <w:spacing w:after="0"/>
              <w:ind w:firstLine="0"/>
              <w:jc w:val="right"/>
              <w:rPr>
                <w:rFonts w:ascii="Arial" w:hAnsi="Arial" w:cs="Arial"/>
                <w:color w:val="000000"/>
                <w:sz w:val="18"/>
                <w:szCs w:val="18"/>
                <w:lang w:val="es-ES" w:eastAsia="es-ES"/>
              </w:rPr>
            </w:pPr>
            <w:r w:rsidRPr="00CA5DFB">
              <w:rPr>
                <w:rFonts w:ascii="Arial" w:hAnsi="Arial" w:cs="Arial"/>
                <w:color w:val="000000"/>
                <w:sz w:val="18"/>
                <w:szCs w:val="18"/>
                <w:lang w:val="es-ES" w:eastAsia="es-ES"/>
              </w:rPr>
              <w:t>1.374.419.474</w:t>
            </w:r>
          </w:p>
        </w:tc>
        <w:tc>
          <w:tcPr>
            <w:tcW w:w="1292" w:type="dxa"/>
            <w:tcBorders>
              <w:top w:val="single" w:sz="4" w:space="0" w:color="auto"/>
              <w:left w:val="nil"/>
              <w:bottom w:val="single" w:sz="4" w:space="0" w:color="auto"/>
              <w:right w:val="nil"/>
            </w:tcBorders>
            <w:shd w:val="clear" w:color="auto" w:fill="FABF8F" w:themeFill="accent6" w:themeFillTint="99"/>
            <w:noWrap/>
            <w:vAlign w:val="center"/>
            <w:hideMark/>
          </w:tcPr>
          <w:p w14:paraId="1C9A2468" w14:textId="77777777" w:rsidR="00807992" w:rsidRPr="00CA5DFB" w:rsidRDefault="00807992" w:rsidP="00807992">
            <w:pPr>
              <w:spacing w:after="0"/>
              <w:ind w:firstLine="0"/>
              <w:jc w:val="right"/>
              <w:rPr>
                <w:rFonts w:ascii="Arial" w:hAnsi="Arial" w:cs="Arial"/>
                <w:color w:val="000000"/>
                <w:sz w:val="18"/>
                <w:szCs w:val="18"/>
                <w:lang w:val="es-ES" w:eastAsia="es-ES"/>
              </w:rPr>
            </w:pPr>
            <w:r w:rsidRPr="00CA5DFB">
              <w:rPr>
                <w:rFonts w:ascii="Arial" w:hAnsi="Arial" w:cs="Arial"/>
                <w:color w:val="000000"/>
                <w:sz w:val="18"/>
                <w:szCs w:val="18"/>
                <w:lang w:val="es-ES" w:eastAsia="es-ES"/>
              </w:rPr>
              <w:t>1.421.713.968</w:t>
            </w:r>
          </w:p>
        </w:tc>
      </w:tr>
    </w:tbl>
    <w:p w14:paraId="48BB9162" w14:textId="77777777" w:rsidR="00807992" w:rsidRDefault="00807992" w:rsidP="00807992">
      <w:pPr>
        <w:keepLines/>
        <w:tabs>
          <w:tab w:val="right" w:pos="2835"/>
          <w:tab w:val="right" w:pos="3969"/>
          <w:tab w:val="right" w:pos="5103"/>
          <w:tab w:val="right" w:pos="6237"/>
          <w:tab w:val="right" w:pos="7371"/>
        </w:tabs>
        <w:spacing w:after="240"/>
        <w:ind w:firstLine="0"/>
        <w:jc w:val="left"/>
        <w:rPr>
          <w:rFonts w:ascii="Arial" w:hAnsi="Arial"/>
          <w:spacing w:val="6"/>
          <w:sz w:val="18"/>
          <w:szCs w:val="24"/>
        </w:rPr>
      </w:pPr>
    </w:p>
    <w:p w14:paraId="5EC5456D" w14:textId="77777777" w:rsidR="00807992" w:rsidRDefault="00807992" w:rsidP="00807992">
      <w:pPr>
        <w:keepLines/>
        <w:tabs>
          <w:tab w:val="right" w:pos="2835"/>
          <w:tab w:val="right" w:pos="3969"/>
          <w:tab w:val="right" w:pos="5103"/>
          <w:tab w:val="right" w:pos="6237"/>
          <w:tab w:val="right" w:pos="7371"/>
        </w:tabs>
        <w:spacing w:after="240"/>
        <w:ind w:firstLine="0"/>
        <w:jc w:val="left"/>
        <w:rPr>
          <w:rFonts w:ascii="Arial" w:hAnsi="Arial"/>
          <w:spacing w:val="6"/>
          <w:sz w:val="18"/>
          <w:szCs w:val="24"/>
        </w:rPr>
      </w:pPr>
    </w:p>
    <w:p w14:paraId="510544DB" w14:textId="77777777" w:rsidR="00807992" w:rsidRDefault="00807992" w:rsidP="00807992">
      <w:pPr>
        <w:spacing w:after="0"/>
        <w:ind w:firstLine="0"/>
        <w:jc w:val="left"/>
        <w:rPr>
          <w:rFonts w:ascii="Arial" w:hAnsi="Arial"/>
          <w:spacing w:val="6"/>
          <w:sz w:val="18"/>
          <w:szCs w:val="24"/>
        </w:rPr>
      </w:pPr>
      <w:r>
        <w:rPr>
          <w:rFonts w:ascii="Arial" w:hAnsi="Arial"/>
          <w:spacing w:val="6"/>
          <w:sz w:val="18"/>
          <w:szCs w:val="24"/>
        </w:rPr>
        <w:br w:type="page"/>
      </w:r>
    </w:p>
    <w:p w14:paraId="522F72BA" w14:textId="77777777" w:rsidR="00807992" w:rsidRPr="00CA5DFB" w:rsidRDefault="00807992" w:rsidP="00CA5DFB">
      <w:pPr>
        <w:pStyle w:val="atitulo1"/>
      </w:pPr>
      <w:bookmarkStart w:id="79" w:name="_Toc118266021"/>
      <w:bookmarkStart w:id="80" w:name="_Toc129243483"/>
      <w:r w:rsidRPr="00CA5DFB">
        <w:lastRenderedPageBreak/>
        <w:t>Apéndice 2. Delimitación del Sector Público del Ayuntamiento de Pamplona</w:t>
      </w:r>
      <w:bookmarkEnd w:id="79"/>
      <w:bookmarkEnd w:id="80"/>
    </w:p>
    <w:bookmarkEnd w:id="6"/>
    <w:bookmarkEnd w:id="7"/>
    <w:p w14:paraId="01513C5D" w14:textId="77777777" w:rsidR="00807992" w:rsidRDefault="00807992" w:rsidP="00807992">
      <w:pPr>
        <w:tabs>
          <w:tab w:val="center" w:pos="2835"/>
          <w:tab w:val="center" w:pos="3969"/>
          <w:tab w:val="center" w:pos="5103"/>
          <w:tab w:val="center" w:pos="6237"/>
          <w:tab w:val="center" w:pos="7371"/>
        </w:tabs>
        <w:ind w:firstLine="284"/>
        <w:rPr>
          <w:spacing w:val="6"/>
          <w:sz w:val="26"/>
          <w:szCs w:val="24"/>
        </w:rPr>
      </w:pPr>
      <w:r w:rsidRPr="00883886">
        <w:rPr>
          <w:spacing w:val="6"/>
          <w:sz w:val="26"/>
          <w:szCs w:val="24"/>
        </w:rPr>
        <w:t>El Sector Público está integrado, en 202</w:t>
      </w:r>
      <w:r>
        <w:rPr>
          <w:spacing w:val="6"/>
          <w:sz w:val="26"/>
          <w:szCs w:val="24"/>
        </w:rPr>
        <w:t xml:space="preserve">1, a efectos de la </w:t>
      </w:r>
      <w:r w:rsidR="006C3898">
        <w:rPr>
          <w:spacing w:val="6"/>
          <w:sz w:val="26"/>
          <w:szCs w:val="24"/>
        </w:rPr>
        <w:t>L</w:t>
      </w:r>
      <w:r w:rsidR="0079721A">
        <w:rPr>
          <w:spacing w:val="6"/>
          <w:sz w:val="26"/>
          <w:szCs w:val="24"/>
        </w:rPr>
        <w:t xml:space="preserve">ey Foral 6/1990, de 2 de julio, de la Administración Local de Navarra (en adelante </w:t>
      </w:r>
      <w:r w:rsidR="001933A8">
        <w:rPr>
          <w:spacing w:val="6"/>
          <w:sz w:val="26"/>
          <w:szCs w:val="24"/>
        </w:rPr>
        <w:t>L</w:t>
      </w:r>
      <w:r w:rsidR="00826657">
        <w:rPr>
          <w:spacing w:val="6"/>
          <w:sz w:val="26"/>
          <w:szCs w:val="24"/>
        </w:rPr>
        <w:t>FALN</w:t>
      </w:r>
      <w:r w:rsidR="0079721A">
        <w:rPr>
          <w:spacing w:val="6"/>
          <w:sz w:val="26"/>
          <w:szCs w:val="24"/>
        </w:rPr>
        <w:t>)</w:t>
      </w:r>
      <w:r w:rsidR="00826657">
        <w:rPr>
          <w:spacing w:val="6"/>
          <w:sz w:val="26"/>
          <w:szCs w:val="24"/>
        </w:rPr>
        <w:t xml:space="preserve"> </w:t>
      </w:r>
      <w:r w:rsidR="006C3898">
        <w:rPr>
          <w:spacing w:val="6"/>
          <w:sz w:val="26"/>
          <w:szCs w:val="24"/>
        </w:rPr>
        <w:t>p</w:t>
      </w:r>
      <w:r>
        <w:rPr>
          <w:spacing w:val="6"/>
          <w:sz w:val="26"/>
          <w:szCs w:val="24"/>
        </w:rPr>
        <w:t>or:</w:t>
      </w:r>
    </w:p>
    <w:p w14:paraId="248579C1" w14:textId="77777777" w:rsidR="00807992" w:rsidRDefault="00807992" w:rsidP="00807992">
      <w:pPr>
        <w:numPr>
          <w:ilvl w:val="0"/>
          <w:numId w:val="2"/>
        </w:numPr>
        <w:tabs>
          <w:tab w:val="clear" w:pos="502"/>
          <w:tab w:val="left" w:pos="480"/>
          <w:tab w:val="num" w:pos="7448"/>
        </w:tabs>
        <w:spacing w:after="80"/>
        <w:ind w:left="120"/>
        <w:rPr>
          <w:spacing w:val="6"/>
          <w:sz w:val="26"/>
          <w:szCs w:val="26"/>
          <w:lang w:val="es-ES"/>
        </w:rPr>
      </w:pPr>
      <w:r w:rsidRPr="00883886">
        <w:rPr>
          <w:spacing w:val="6"/>
          <w:sz w:val="26"/>
          <w:szCs w:val="26"/>
          <w:lang w:val="es-ES"/>
        </w:rPr>
        <w:t>El Ayuntamiento de Pamplona</w:t>
      </w:r>
    </w:p>
    <w:p w14:paraId="2F9C9CE9" w14:textId="77777777" w:rsidR="00807992" w:rsidRPr="00883886" w:rsidRDefault="00807992" w:rsidP="00807992">
      <w:pPr>
        <w:tabs>
          <w:tab w:val="center" w:pos="2835"/>
          <w:tab w:val="center" w:pos="3969"/>
          <w:tab w:val="center" w:pos="5103"/>
          <w:tab w:val="center" w:pos="6237"/>
          <w:tab w:val="center" w:pos="7371"/>
        </w:tabs>
        <w:ind w:firstLine="284"/>
        <w:rPr>
          <w:spacing w:val="6"/>
          <w:sz w:val="26"/>
          <w:szCs w:val="24"/>
        </w:rPr>
      </w:pPr>
      <w:r w:rsidRPr="00883886">
        <w:rPr>
          <w:spacing w:val="6"/>
          <w:sz w:val="26"/>
          <w:szCs w:val="24"/>
        </w:rPr>
        <w:t xml:space="preserve">La organización municipal la conforman, entre otros, los siguientes órganos: el Pleno, la Junta de Gobierno Local y la Alcaldía. </w:t>
      </w:r>
    </w:p>
    <w:p w14:paraId="263C53AD" w14:textId="77777777" w:rsidR="00807992" w:rsidRPr="00883886" w:rsidRDefault="00807992" w:rsidP="00807992">
      <w:pPr>
        <w:tabs>
          <w:tab w:val="center" w:pos="2835"/>
          <w:tab w:val="center" w:pos="3969"/>
          <w:tab w:val="center" w:pos="5103"/>
          <w:tab w:val="center" w:pos="6237"/>
          <w:tab w:val="center" w:pos="7371"/>
        </w:tabs>
        <w:ind w:firstLine="284"/>
        <w:rPr>
          <w:spacing w:val="6"/>
          <w:sz w:val="26"/>
          <w:szCs w:val="24"/>
        </w:rPr>
      </w:pPr>
      <w:r w:rsidRPr="00883886">
        <w:rPr>
          <w:spacing w:val="6"/>
          <w:sz w:val="26"/>
          <w:szCs w:val="24"/>
        </w:rPr>
        <w:t xml:space="preserve">La estructura administrativa del ayuntamiento en 2021 está formada por nueve áreas, incluida Alcaldía. El resto de </w:t>
      </w:r>
      <w:r w:rsidR="00962B2B">
        <w:rPr>
          <w:spacing w:val="6"/>
          <w:sz w:val="26"/>
          <w:szCs w:val="24"/>
        </w:rPr>
        <w:t xml:space="preserve">las </w:t>
      </w:r>
      <w:r w:rsidRPr="00883886">
        <w:rPr>
          <w:spacing w:val="6"/>
          <w:sz w:val="26"/>
          <w:szCs w:val="24"/>
        </w:rPr>
        <w:t>áreas dependen de los concejales delegados.</w:t>
      </w:r>
    </w:p>
    <w:p w14:paraId="7362D871" w14:textId="77777777" w:rsidR="00807992" w:rsidRPr="00667DFF" w:rsidRDefault="00807992" w:rsidP="00807992">
      <w:pPr>
        <w:numPr>
          <w:ilvl w:val="0"/>
          <w:numId w:val="2"/>
        </w:numPr>
        <w:tabs>
          <w:tab w:val="clear" w:pos="502"/>
          <w:tab w:val="left" w:pos="480"/>
          <w:tab w:val="num" w:pos="7448"/>
        </w:tabs>
        <w:spacing w:after="80"/>
        <w:ind w:left="120"/>
        <w:rPr>
          <w:spacing w:val="6"/>
          <w:sz w:val="26"/>
          <w:szCs w:val="26"/>
          <w:lang w:val="es-ES"/>
        </w:rPr>
      </w:pPr>
      <w:r>
        <w:rPr>
          <w:spacing w:val="6"/>
          <w:sz w:val="26"/>
          <w:szCs w:val="26"/>
          <w:lang w:val="es-ES"/>
        </w:rPr>
        <w:t>Organismos Autónomos:</w:t>
      </w:r>
    </w:p>
    <w:p w14:paraId="32165F46" w14:textId="77777777" w:rsidR="00807992" w:rsidRPr="00667DFF" w:rsidRDefault="00807992" w:rsidP="00807992">
      <w:pPr>
        <w:spacing w:after="80"/>
        <w:ind w:firstLine="284"/>
        <w:rPr>
          <w:spacing w:val="6"/>
          <w:sz w:val="26"/>
          <w:szCs w:val="26"/>
        </w:rPr>
      </w:pPr>
      <w:r w:rsidRPr="00667DFF">
        <w:rPr>
          <w:spacing w:val="6"/>
          <w:sz w:val="26"/>
          <w:szCs w:val="26"/>
        </w:rPr>
        <w:t>Escuelas Infantiles Municipales: gestión del servicio de escuelas infantiles.</w:t>
      </w:r>
    </w:p>
    <w:p w14:paraId="1F51D82C" w14:textId="77777777" w:rsidR="00807992" w:rsidRPr="00667DFF" w:rsidRDefault="00807992" w:rsidP="00807992">
      <w:pPr>
        <w:spacing w:after="80"/>
        <w:ind w:firstLine="284"/>
        <w:rPr>
          <w:spacing w:val="6"/>
          <w:sz w:val="26"/>
          <w:szCs w:val="26"/>
        </w:rPr>
      </w:pPr>
      <w:r w:rsidRPr="00667DFF">
        <w:rPr>
          <w:spacing w:val="6"/>
          <w:sz w:val="26"/>
          <w:szCs w:val="26"/>
        </w:rPr>
        <w:t>Gerencia Municipal de Urbanismo: gestión urbanística en el término municipal de Pamplona.</w:t>
      </w:r>
    </w:p>
    <w:p w14:paraId="21DEDE5D" w14:textId="77777777" w:rsidR="00807992" w:rsidRPr="00667DFF" w:rsidRDefault="00807992" w:rsidP="00807992">
      <w:pPr>
        <w:numPr>
          <w:ilvl w:val="0"/>
          <w:numId w:val="2"/>
        </w:numPr>
        <w:tabs>
          <w:tab w:val="clear" w:pos="502"/>
          <w:tab w:val="left" w:pos="480"/>
          <w:tab w:val="num" w:pos="7448"/>
        </w:tabs>
        <w:spacing w:after="80"/>
        <w:ind w:left="120"/>
        <w:rPr>
          <w:spacing w:val="6"/>
          <w:sz w:val="26"/>
          <w:szCs w:val="26"/>
          <w:lang w:val="es-ES"/>
        </w:rPr>
      </w:pPr>
      <w:r w:rsidRPr="00667DFF">
        <w:rPr>
          <w:spacing w:val="6"/>
          <w:sz w:val="26"/>
          <w:szCs w:val="26"/>
          <w:lang w:val="es-ES"/>
        </w:rPr>
        <w:t>Sociedades Mercantiles:</w:t>
      </w:r>
    </w:p>
    <w:p w14:paraId="7E05491C" w14:textId="77777777" w:rsidR="00807992" w:rsidRPr="00667DFF" w:rsidRDefault="00807992" w:rsidP="00807992">
      <w:pPr>
        <w:spacing w:after="160"/>
        <w:ind w:firstLine="284"/>
        <w:rPr>
          <w:spacing w:val="6"/>
          <w:sz w:val="26"/>
          <w:szCs w:val="26"/>
        </w:rPr>
      </w:pPr>
      <w:r w:rsidRPr="00667DFF">
        <w:rPr>
          <w:spacing w:val="6"/>
          <w:sz w:val="26"/>
          <w:szCs w:val="26"/>
        </w:rPr>
        <w:t>Las sociedades mercantiles en las que el ayuntamiento tiene participación mayoritaria son:</w:t>
      </w:r>
    </w:p>
    <w:tbl>
      <w:tblPr>
        <w:tblW w:w="5000" w:type="pct"/>
        <w:jc w:val="center"/>
        <w:tblCellMar>
          <w:left w:w="80" w:type="dxa"/>
          <w:right w:w="80" w:type="dxa"/>
        </w:tblCellMar>
        <w:tblLook w:val="0000" w:firstRow="0" w:lastRow="0" w:firstColumn="0" w:lastColumn="0" w:noHBand="0" w:noVBand="0"/>
      </w:tblPr>
      <w:tblGrid>
        <w:gridCol w:w="4112"/>
        <w:gridCol w:w="1703"/>
        <w:gridCol w:w="2974"/>
      </w:tblGrid>
      <w:tr w:rsidR="00807992" w:rsidRPr="00667DFF" w14:paraId="27BD64A9" w14:textId="77777777" w:rsidTr="00D25103">
        <w:trPr>
          <w:cantSplit/>
          <w:trHeight w:val="255"/>
          <w:jc w:val="center"/>
        </w:trPr>
        <w:tc>
          <w:tcPr>
            <w:tcW w:w="2339" w:type="pct"/>
            <w:tcBorders>
              <w:top w:val="single" w:sz="4" w:space="0" w:color="auto"/>
              <w:left w:val="nil"/>
              <w:bottom w:val="single" w:sz="4" w:space="0" w:color="auto"/>
              <w:right w:val="nil"/>
            </w:tcBorders>
            <w:shd w:val="clear" w:color="auto" w:fill="FABF8F" w:themeFill="accent6" w:themeFillTint="99"/>
            <w:vAlign w:val="center"/>
          </w:tcPr>
          <w:p w14:paraId="2BD2A146" w14:textId="77777777" w:rsidR="00807992" w:rsidRPr="00667DFF" w:rsidRDefault="00807992" w:rsidP="00807992">
            <w:pPr>
              <w:keepLines/>
              <w:tabs>
                <w:tab w:val="right" w:pos="2835"/>
                <w:tab w:val="right" w:pos="3969"/>
                <w:tab w:val="right" w:pos="5103"/>
                <w:tab w:val="right" w:pos="6237"/>
                <w:tab w:val="right" w:pos="7255"/>
                <w:tab w:val="right" w:pos="7371"/>
              </w:tabs>
              <w:spacing w:after="0"/>
              <w:ind w:firstLine="0"/>
              <w:jc w:val="left"/>
              <w:rPr>
                <w:rFonts w:ascii="Arial" w:hAnsi="Arial" w:cs="Arial"/>
                <w:spacing w:val="6"/>
                <w:sz w:val="18"/>
                <w:szCs w:val="18"/>
              </w:rPr>
            </w:pPr>
            <w:r w:rsidRPr="00667DFF">
              <w:rPr>
                <w:rFonts w:ascii="Arial" w:hAnsi="Arial" w:cs="Arial"/>
                <w:spacing w:val="6"/>
                <w:sz w:val="18"/>
                <w:szCs w:val="18"/>
              </w:rPr>
              <w:t>Empresa</w:t>
            </w:r>
          </w:p>
        </w:tc>
        <w:tc>
          <w:tcPr>
            <w:tcW w:w="969" w:type="pct"/>
            <w:tcBorders>
              <w:top w:val="single" w:sz="4" w:space="0" w:color="auto"/>
              <w:left w:val="nil"/>
              <w:bottom w:val="single" w:sz="4" w:space="0" w:color="auto"/>
              <w:right w:val="nil"/>
            </w:tcBorders>
            <w:shd w:val="clear" w:color="auto" w:fill="FABF8F" w:themeFill="accent6" w:themeFillTint="99"/>
            <w:vAlign w:val="center"/>
          </w:tcPr>
          <w:p w14:paraId="4A81B5B3" w14:textId="77777777" w:rsidR="00807992" w:rsidRPr="00667DFF" w:rsidRDefault="00807992" w:rsidP="00807992">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18"/>
              </w:rPr>
            </w:pPr>
            <w:r w:rsidRPr="00667DFF">
              <w:rPr>
                <w:rFonts w:ascii="Arial" w:hAnsi="Arial" w:cs="Arial"/>
                <w:spacing w:val="6"/>
                <w:sz w:val="18"/>
                <w:szCs w:val="18"/>
              </w:rPr>
              <w:t>% participación</w:t>
            </w:r>
          </w:p>
        </w:tc>
        <w:tc>
          <w:tcPr>
            <w:tcW w:w="1692" w:type="pct"/>
            <w:tcBorders>
              <w:top w:val="single" w:sz="4" w:space="0" w:color="auto"/>
              <w:left w:val="nil"/>
              <w:bottom w:val="single" w:sz="4" w:space="0" w:color="auto"/>
              <w:right w:val="nil"/>
            </w:tcBorders>
            <w:shd w:val="clear" w:color="auto" w:fill="FABF8F" w:themeFill="accent6" w:themeFillTint="99"/>
            <w:vAlign w:val="center"/>
          </w:tcPr>
          <w:p w14:paraId="6D246180" w14:textId="77777777" w:rsidR="00807992" w:rsidRPr="00667DFF" w:rsidRDefault="00807992" w:rsidP="005A0253">
            <w:pPr>
              <w:keepLines/>
              <w:tabs>
                <w:tab w:val="right" w:pos="2835"/>
                <w:tab w:val="right" w:pos="3969"/>
                <w:tab w:val="right" w:pos="5103"/>
                <w:tab w:val="right" w:pos="6237"/>
                <w:tab w:val="right" w:pos="7371"/>
              </w:tabs>
              <w:spacing w:after="0"/>
              <w:ind w:left="376" w:firstLine="0"/>
              <w:jc w:val="right"/>
              <w:rPr>
                <w:rFonts w:ascii="Arial" w:hAnsi="Arial" w:cs="Arial"/>
                <w:spacing w:val="6"/>
                <w:sz w:val="18"/>
                <w:szCs w:val="18"/>
              </w:rPr>
            </w:pPr>
            <w:r w:rsidRPr="00667DFF">
              <w:rPr>
                <w:rFonts w:ascii="Arial" w:hAnsi="Arial" w:cs="Arial"/>
                <w:spacing w:val="6"/>
                <w:sz w:val="18"/>
                <w:szCs w:val="18"/>
              </w:rPr>
              <w:t>Objeto social</w:t>
            </w:r>
          </w:p>
        </w:tc>
      </w:tr>
      <w:tr w:rsidR="00807992" w:rsidRPr="00667DFF" w14:paraId="0D0BE42C" w14:textId="77777777" w:rsidTr="00D25103">
        <w:trPr>
          <w:cantSplit/>
          <w:trHeight w:val="198"/>
          <w:jc w:val="center"/>
        </w:trPr>
        <w:tc>
          <w:tcPr>
            <w:tcW w:w="2339" w:type="pct"/>
            <w:tcBorders>
              <w:top w:val="single" w:sz="4" w:space="0" w:color="auto"/>
              <w:bottom w:val="single" w:sz="2" w:space="0" w:color="auto"/>
            </w:tcBorders>
            <w:vAlign w:val="center"/>
          </w:tcPr>
          <w:p w14:paraId="27CB764C" w14:textId="77777777" w:rsidR="00807992" w:rsidRPr="00667DFF" w:rsidRDefault="00807992" w:rsidP="00807992">
            <w:pPr>
              <w:keepLines/>
              <w:tabs>
                <w:tab w:val="right" w:pos="2835"/>
                <w:tab w:val="right" w:pos="3969"/>
                <w:tab w:val="right" w:pos="5103"/>
                <w:tab w:val="right" w:pos="6237"/>
                <w:tab w:val="right" w:pos="7255"/>
                <w:tab w:val="right" w:pos="7371"/>
              </w:tabs>
              <w:spacing w:after="0"/>
              <w:ind w:firstLine="0"/>
              <w:jc w:val="left"/>
              <w:rPr>
                <w:rFonts w:ascii="Arial Narrow" w:hAnsi="Arial Narrow"/>
                <w:spacing w:val="6"/>
                <w:szCs w:val="24"/>
              </w:rPr>
            </w:pPr>
            <w:proofErr w:type="spellStart"/>
            <w:r w:rsidRPr="00667DFF">
              <w:rPr>
                <w:rFonts w:ascii="Arial Narrow" w:hAnsi="Arial Narrow"/>
                <w:spacing w:val="6"/>
                <w:szCs w:val="24"/>
              </w:rPr>
              <w:t>Comiruña</w:t>
            </w:r>
            <w:proofErr w:type="spellEnd"/>
            <w:r w:rsidRPr="00667DFF">
              <w:rPr>
                <w:rFonts w:ascii="Arial Narrow" w:hAnsi="Arial Narrow"/>
                <w:spacing w:val="6"/>
                <w:szCs w:val="24"/>
              </w:rPr>
              <w:t>, S.A.</w:t>
            </w:r>
          </w:p>
        </w:tc>
        <w:tc>
          <w:tcPr>
            <w:tcW w:w="969" w:type="pct"/>
            <w:tcBorders>
              <w:top w:val="single" w:sz="4" w:space="0" w:color="auto"/>
              <w:bottom w:val="single" w:sz="2" w:space="0" w:color="auto"/>
            </w:tcBorders>
            <w:vAlign w:val="center"/>
          </w:tcPr>
          <w:p w14:paraId="4385FF5A" w14:textId="77777777" w:rsidR="00807992" w:rsidRPr="00667DFF" w:rsidRDefault="00807992" w:rsidP="00807992">
            <w:pPr>
              <w:keepLines/>
              <w:tabs>
                <w:tab w:val="right" w:pos="2835"/>
                <w:tab w:val="right" w:pos="3969"/>
                <w:tab w:val="right" w:pos="5103"/>
                <w:tab w:val="right" w:pos="6237"/>
                <w:tab w:val="right" w:pos="7255"/>
                <w:tab w:val="right" w:pos="7371"/>
              </w:tabs>
              <w:spacing w:after="0"/>
              <w:ind w:firstLine="0"/>
              <w:jc w:val="center"/>
              <w:rPr>
                <w:rFonts w:ascii="Arial Narrow" w:hAnsi="Arial Narrow"/>
                <w:spacing w:val="6"/>
                <w:szCs w:val="24"/>
              </w:rPr>
            </w:pPr>
            <w:r w:rsidRPr="00667DFF">
              <w:rPr>
                <w:rFonts w:ascii="Arial Narrow" w:hAnsi="Arial Narrow"/>
                <w:spacing w:val="6"/>
                <w:szCs w:val="24"/>
              </w:rPr>
              <w:t>100</w:t>
            </w:r>
          </w:p>
        </w:tc>
        <w:tc>
          <w:tcPr>
            <w:tcW w:w="1692" w:type="pct"/>
            <w:tcBorders>
              <w:top w:val="single" w:sz="4" w:space="0" w:color="auto"/>
              <w:bottom w:val="single" w:sz="2" w:space="0" w:color="auto"/>
            </w:tcBorders>
            <w:vAlign w:val="center"/>
          </w:tcPr>
          <w:p w14:paraId="06A1ECF3" w14:textId="77777777" w:rsidR="00807992" w:rsidRPr="00667DFF" w:rsidRDefault="00807992" w:rsidP="005A0253">
            <w:pPr>
              <w:keepLines/>
              <w:tabs>
                <w:tab w:val="right" w:pos="2835"/>
                <w:tab w:val="right" w:pos="3969"/>
                <w:tab w:val="right" w:pos="5103"/>
                <w:tab w:val="right" w:pos="6237"/>
                <w:tab w:val="right" w:pos="7255"/>
                <w:tab w:val="right" w:pos="7371"/>
              </w:tabs>
              <w:spacing w:after="0"/>
              <w:ind w:left="376" w:firstLine="0"/>
              <w:jc w:val="right"/>
              <w:rPr>
                <w:rFonts w:ascii="Arial Narrow" w:hAnsi="Arial Narrow"/>
                <w:spacing w:val="6"/>
                <w:szCs w:val="24"/>
              </w:rPr>
            </w:pPr>
            <w:r w:rsidRPr="00667DFF">
              <w:rPr>
                <w:rFonts w:ascii="Arial Narrow" w:hAnsi="Arial Narrow"/>
                <w:spacing w:val="6"/>
                <w:szCs w:val="24"/>
              </w:rPr>
              <w:t>Mercados minoristas</w:t>
            </w:r>
          </w:p>
        </w:tc>
      </w:tr>
      <w:tr w:rsidR="00807992" w:rsidRPr="00667DFF" w14:paraId="5592ACA1" w14:textId="77777777" w:rsidTr="00826657">
        <w:trPr>
          <w:cantSplit/>
          <w:trHeight w:val="198"/>
          <w:jc w:val="center"/>
        </w:trPr>
        <w:tc>
          <w:tcPr>
            <w:tcW w:w="2339" w:type="pct"/>
            <w:tcBorders>
              <w:top w:val="single" w:sz="2" w:space="0" w:color="auto"/>
              <w:left w:val="nil"/>
              <w:bottom w:val="single" w:sz="2" w:space="0" w:color="auto"/>
              <w:right w:val="nil"/>
            </w:tcBorders>
            <w:vAlign w:val="center"/>
          </w:tcPr>
          <w:p w14:paraId="1C3D20D0" w14:textId="77777777" w:rsidR="00807992" w:rsidRPr="00667DFF" w:rsidRDefault="00807992" w:rsidP="001A6BF8">
            <w:pPr>
              <w:keepLines/>
              <w:tabs>
                <w:tab w:val="right" w:pos="2835"/>
                <w:tab w:val="right" w:pos="3969"/>
                <w:tab w:val="right" w:pos="5103"/>
                <w:tab w:val="right" w:pos="6237"/>
                <w:tab w:val="right" w:pos="7255"/>
                <w:tab w:val="right" w:pos="7371"/>
              </w:tabs>
              <w:spacing w:after="0"/>
              <w:ind w:firstLine="0"/>
              <w:jc w:val="left"/>
              <w:rPr>
                <w:rFonts w:ascii="Arial Narrow" w:hAnsi="Arial Narrow"/>
                <w:spacing w:val="6"/>
                <w:szCs w:val="24"/>
              </w:rPr>
            </w:pPr>
            <w:r w:rsidRPr="00667DFF">
              <w:rPr>
                <w:rFonts w:ascii="Arial Narrow" w:hAnsi="Arial Narrow"/>
                <w:spacing w:val="6"/>
                <w:szCs w:val="24"/>
              </w:rPr>
              <w:t>Pamplona Centro Histórico, S.A.</w:t>
            </w:r>
            <w:r>
              <w:rPr>
                <w:rFonts w:ascii="Arial Narrow" w:hAnsi="Arial Narrow"/>
                <w:spacing w:val="6"/>
                <w:szCs w:val="24"/>
              </w:rPr>
              <w:t xml:space="preserve"> </w:t>
            </w:r>
          </w:p>
        </w:tc>
        <w:tc>
          <w:tcPr>
            <w:tcW w:w="969" w:type="pct"/>
            <w:tcBorders>
              <w:top w:val="single" w:sz="2" w:space="0" w:color="auto"/>
              <w:left w:val="nil"/>
              <w:bottom w:val="single" w:sz="2" w:space="0" w:color="auto"/>
              <w:right w:val="nil"/>
            </w:tcBorders>
            <w:vAlign w:val="center"/>
          </w:tcPr>
          <w:p w14:paraId="70208135" w14:textId="77777777" w:rsidR="00807992" w:rsidRPr="00667DFF" w:rsidRDefault="00807992" w:rsidP="00807992">
            <w:pPr>
              <w:keepLines/>
              <w:tabs>
                <w:tab w:val="right" w:pos="2835"/>
                <w:tab w:val="right" w:pos="3969"/>
                <w:tab w:val="right" w:pos="5103"/>
                <w:tab w:val="right" w:pos="6237"/>
                <w:tab w:val="right" w:pos="7255"/>
                <w:tab w:val="right" w:pos="7371"/>
              </w:tabs>
              <w:spacing w:after="0"/>
              <w:ind w:firstLine="0"/>
              <w:jc w:val="center"/>
              <w:rPr>
                <w:rFonts w:ascii="Arial Narrow" w:hAnsi="Arial Narrow"/>
                <w:spacing w:val="6"/>
                <w:szCs w:val="24"/>
              </w:rPr>
            </w:pPr>
            <w:r w:rsidRPr="00667DFF">
              <w:rPr>
                <w:rFonts w:ascii="Arial Narrow" w:hAnsi="Arial Narrow"/>
                <w:spacing w:val="6"/>
                <w:szCs w:val="24"/>
              </w:rPr>
              <w:t>100</w:t>
            </w:r>
          </w:p>
        </w:tc>
        <w:tc>
          <w:tcPr>
            <w:tcW w:w="1692" w:type="pct"/>
            <w:tcBorders>
              <w:top w:val="single" w:sz="2" w:space="0" w:color="auto"/>
              <w:left w:val="nil"/>
              <w:bottom w:val="single" w:sz="2" w:space="0" w:color="auto"/>
              <w:right w:val="nil"/>
            </w:tcBorders>
            <w:vAlign w:val="center"/>
          </w:tcPr>
          <w:p w14:paraId="2A09D08E" w14:textId="77777777" w:rsidR="00807992" w:rsidRPr="00667DFF" w:rsidRDefault="007E55E1" w:rsidP="005A0253">
            <w:pPr>
              <w:keepLines/>
              <w:tabs>
                <w:tab w:val="right" w:pos="2835"/>
                <w:tab w:val="right" w:pos="3969"/>
                <w:tab w:val="right" w:pos="5103"/>
                <w:tab w:val="right" w:pos="6237"/>
                <w:tab w:val="right" w:pos="7255"/>
                <w:tab w:val="right" w:pos="7371"/>
              </w:tabs>
              <w:spacing w:after="0"/>
              <w:ind w:left="376" w:firstLine="0"/>
              <w:jc w:val="right"/>
              <w:rPr>
                <w:rFonts w:ascii="Arial Narrow" w:hAnsi="Arial Narrow"/>
                <w:spacing w:val="6"/>
                <w:szCs w:val="24"/>
              </w:rPr>
            </w:pPr>
            <w:r>
              <w:rPr>
                <w:rFonts w:ascii="Arial Narrow" w:hAnsi="Arial Narrow"/>
                <w:spacing w:val="6"/>
                <w:szCs w:val="24"/>
              </w:rPr>
              <w:t>Urbanismo c</w:t>
            </w:r>
            <w:r w:rsidR="00807992" w:rsidRPr="00667DFF">
              <w:rPr>
                <w:rFonts w:ascii="Arial Narrow" w:hAnsi="Arial Narrow"/>
                <w:spacing w:val="6"/>
                <w:szCs w:val="24"/>
              </w:rPr>
              <w:t>entro histórico</w:t>
            </w:r>
          </w:p>
        </w:tc>
      </w:tr>
      <w:tr w:rsidR="00807992" w:rsidRPr="00667DFF" w14:paraId="76670BF0" w14:textId="77777777" w:rsidTr="00826657">
        <w:trPr>
          <w:cantSplit/>
          <w:trHeight w:val="198"/>
          <w:jc w:val="center"/>
        </w:trPr>
        <w:tc>
          <w:tcPr>
            <w:tcW w:w="2339" w:type="pct"/>
            <w:tcBorders>
              <w:top w:val="single" w:sz="2" w:space="0" w:color="auto"/>
              <w:left w:val="nil"/>
              <w:bottom w:val="single" w:sz="2" w:space="0" w:color="auto"/>
              <w:right w:val="nil"/>
            </w:tcBorders>
            <w:vAlign w:val="center"/>
          </w:tcPr>
          <w:p w14:paraId="76F57C8B" w14:textId="77777777" w:rsidR="00807992" w:rsidRPr="00667DFF" w:rsidRDefault="00807992" w:rsidP="001A6BF8">
            <w:pPr>
              <w:keepLines/>
              <w:tabs>
                <w:tab w:val="right" w:pos="2835"/>
                <w:tab w:val="right" w:pos="3969"/>
                <w:tab w:val="right" w:pos="5103"/>
                <w:tab w:val="right" w:pos="6237"/>
                <w:tab w:val="right" w:pos="7255"/>
                <w:tab w:val="right" w:pos="7371"/>
              </w:tabs>
              <w:spacing w:after="0"/>
              <w:ind w:firstLine="0"/>
              <w:jc w:val="left"/>
              <w:rPr>
                <w:rFonts w:ascii="Arial Narrow" w:hAnsi="Arial Narrow"/>
                <w:spacing w:val="6"/>
                <w:szCs w:val="24"/>
              </w:rPr>
            </w:pPr>
            <w:r>
              <w:rPr>
                <w:rFonts w:ascii="Arial Narrow" w:hAnsi="Arial Narrow"/>
                <w:spacing w:val="6"/>
                <w:szCs w:val="24"/>
              </w:rPr>
              <w:t>Servicio</w:t>
            </w:r>
            <w:r w:rsidR="001A6BF8">
              <w:rPr>
                <w:rFonts w:ascii="Arial Narrow" w:hAnsi="Arial Narrow"/>
                <w:spacing w:val="6"/>
                <w:szCs w:val="24"/>
              </w:rPr>
              <w:t xml:space="preserve"> Atención a Domicilio S.L.U. </w:t>
            </w:r>
          </w:p>
        </w:tc>
        <w:tc>
          <w:tcPr>
            <w:tcW w:w="969" w:type="pct"/>
            <w:tcBorders>
              <w:top w:val="single" w:sz="2" w:space="0" w:color="auto"/>
              <w:left w:val="nil"/>
              <w:bottom w:val="single" w:sz="2" w:space="0" w:color="auto"/>
              <w:right w:val="nil"/>
            </w:tcBorders>
            <w:vAlign w:val="center"/>
          </w:tcPr>
          <w:p w14:paraId="42B7DB74" w14:textId="77777777" w:rsidR="00807992" w:rsidRPr="00667DFF" w:rsidRDefault="00807992" w:rsidP="00807992">
            <w:pPr>
              <w:keepLines/>
              <w:tabs>
                <w:tab w:val="right" w:pos="2835"/>
                <w:tab w:val="right" w:pos="3969"/>
                <w:tab w:val="right" w:pos="5103"/>
                <w:tab w:val="right" w:pos="6237"/>
                <w:tab w:val="right" w:pos="7255"/>
                <w:tab w:val="right" w:pos="7371"/>
              </w:tabs>
              <w:spacing w:after="0"/>
              <w:ind w:firstLine="0"/>
              <w:jc w:val="center"/>
              <w:rPr>
                <w:rFonts w:ascii="Arial Narrow" w:hAnsi="Arial Narrow"/>
                <w:spacing w:val="6"/>
                <w:szCs w:val="24"/>
              </w:rPr>
            </w:pPr>
            <w:r w:rsidRPr="00667DFF">
              <w:rPr>
                <w:rFonts w:ascii="Arial Narrow" w:hAnsi="Arial Narrow"/>
                <w:spacing w:val="6"/>
                <w:szCs w:val="24"/>
              </w:rPr>
              <w:t>100</w:t>
            </w:r>
          </w:p>
        </w:tc>
        <w:tc>
          <w:tcPr>
            <w:tcW w:w="1692" w:type="pct"/>
            <w:tcBorders>
              <w:top w:val="single" w:sz="2" w:space="0" w:color="auto"/>
              <w:left w:val="nil"/>
              <w:bottom w:val="single" w:sz="2" w:space="0" w:color="auto"/>
              <w:right w:val="nil"/>
            </w:tcBorders>
            <w:vAlign w:val="center"/>
          </w:tcPr>
          <w:p w14:paraId="226ACDD4" w14:textId="77777777" w:rsidR="00807992" w:rsidRPr="00667DFF" w:rsidRDefault="00807992" w:rsidP="005A0253">
            <w:pPr>
              <w:keepLines/>
              <w:tabs>
                <w:tab w:val="right" w:pos="2835"/>
                <w:tab w:val="right" w:pos="3969"/>
                <w:tab w:val="right" w:pos="5103"/>
                <w:tab w:val="right" w:pos="6237"/>
                <w:tab w:val="right" w:pos="7255"/>
                <w:tab w:val="right" w:pos="7371"/>
              </w:tabs>
              <w:spacing w:after="0"/>
              <w:ind w:left="376" w:firstLine="0"/>
              <w:jc w:val="right"/>
              <w:rPr>
                <w:rFonts w:ascii="Arial Narrow" w:hAnsi="Arial Narrow"/>
                <w:spacing w:val="6"/>
                <w:szCs w:val="24"/>
              </w:rPr>
            </w:pPr>
            <w:r>
              <w:rPr>
                <w:rFonts w:ascii="Arial Narrow" w:hAnsi="Arial Narrow"/>
                <w:spacing w:val="6"/>
                <w:szCs w:val="24"/>
              </w:rPr>
              <w:t>Servicio atención a domicilio</w:t>
            </w:r>
          </w:p>
        </w:tc>
      </w:tr>
      <w:tr w:rsidR="00807992" w:rsidRPr="00667DFF" w14:paraId="06588BDD" w14:textId="77777777" w:rsidTr="00D25103">
        <w:trPr>
          <w:cantSplit/>
          <w:trHeight w:val="198"/>
          <w:jc w:val="center"/>
        </w:trPr>
        <w:tc>
          <w:tcPr>
            <w:tcW w:w="2339" w:type="pct"/>
            <w:tcBorders>
              <w:top w:val="single" w:sz="2" w:space="0" w:color="auto"/>
              <w:left w:val="nil"/>
              <w:bottom w:val="single" w:sz="4" w:space="0" w:color="auto"/>
              <w:right w:val="nil"/>
            </w:tcBorders>
            <w:vAlign w:val="center"/>
          </w:tcPr>
          <w:p w14:paraId="6A41F2CA" w14:textId="77777777" w:rsidR="00807992" w:rsidRPr="00667DFF" w:rsidRDefault="00807992" w:rsidP="00807992">
            <w:pPr>
              <w:keepLines/>
              <w:tabs>
                <w:tab w:val="right" w:pos="2835"/>
                <w:tab w:val="right" w:pos="3969"/>
                <w:tab w:val="right" w:pos="5103"/>
                <w:tab w:val="right" w:pos="6237"/>
                <w:tab w:val="right" w:pos="7255"/>
                <w:tab w:val="right" w:pos="7371"/>
              </w:tabs>
              <w:spacing w:after="0"/>
              <w:ind w:firstLine="0"/>
              <w:jc w:val="left"/>
              <w:rPr>
                <w:rFonts w:ascii="Arial Narrow" w:hAnsi="Arial Narrow"/>
                <w:spacing w:val="6"/>
                <w:szCs w:val="24"/>
              </w:rPr>
            </w:pPr>
            <w:proofErr w:type="spellStart"/>
            <w:r w:rsidRPr="00667DFF">
              <w:rPr>
                <w:rFonts w:ascii="Arial Narrow" w:hAnsi="Arial Narrow"/>
                <w:spacing w:val="6"/>
                <w:szCs w:val="24"/>
              </w:rPr>
              <w:t>Animsa</w:t>
            </w:r>
            <w:proofErr w:type="spellEnd"/>
            <w:r w:rsidRPr="00667DFF">
              <w:rPr>
                <w:rFonts w:ascii="Arial Narrow" w:hAnsi="Arial Narrow"/>
                <w:spacing w:val="6"/>
                <w:szCs w:val="24"/>
              </w:rPr>
              <w:t>, S.A.</w:t>
            </w:r>
          </w:p>
        </w:tc>
        <w:tc>
          <w:tcPr>
            <w:tcW w:w="969" w:type="pct"/>
            <w:tcBorders>
              <w:top w:val="single" w:sz="2" w:space="0" w:color="auto"/>
              <w:left w:val="nil"/>
              <w:bottom w:val="single" w:sz="4" w:space="0" w:color="auto"/>
              <w:right w:val="nil"/>
            </w:tcBorders>
            <w:vAlign w:val="center"/>
          </w:tcPr>
          <w:p w14:paraId="7F0C3247" w14:textId="77777777" w:rsidR="00807992" w:rsidRPr="00667DFF" w:rsidRDefault="00807992" w:rsidP="00807992">
            <w:pPr>
              <w:keepLines/>
              <w:tabs>
                <w:tab w:val="right" w:pos="2835"/>
                <w:tab w:val="right" w:pos="3969"/>
                <w:tab w:val="right" w:pos="5103"/>
                <w:tab w:val="right" w:pos="6237"/>
                <w:tab w:val="right" w:pos="7255"/>
                <w:tab w:val="right" w:pos="7371"/>
              </w:tabs>
              <w:spacing w:after="0"/>
              <w:ind w:firstLine="0"/>
              <w:jc w:val="center"/>
              <w:rPr>
                <w:rFonts w:ascii="Arial Narrow" w:hAnsi="Arial Narrow"/>
                <w:spacing w:val="6"/>
                <w:szCs w:val="24"/>
              </w:rPr>
            </w:pPr>
            <w:r w:rsidRPr="00667DFF">
              <w:rPr>
                <w:rFonts w:ascii="Arial Narrow" w:hAnsi="Arial Narrow"/>
                <w:spacing w:val="6"/>
                <w:szCs w:val="24"/>
              </w:rPr>
              <w:t>77,69</w:t>
            </w:r>
          </w:p>
        </w:tc>
        <w:tc>
          <w:tcPr>
            <w:tcW w:w="1692" w:type="pct"/>
            <w:tcBorders>
              <w:top w:val="single" w:sz="2" w:space="0" w:color="auto"/>
              <w:left w:val="nil"/>
              <w:bottom w:val="single" w:sz="4" w:space="0" w:color="auto"/>
              <w:right w:val="nil"/>
            </w:tcBorders>
            <w:vAlign w:val="center"/>
          </w:tcPr>
          <w:p w14:paraId="11F1DA83" w14:textId="77777777" w:rsidR="00807992" w:rsidRPr="00667DFF" w:rsidRDefault="00807992" w:rsidP="005A0253">
            <w:pPr>
              <w:keepLines/>
              <w:tabs>
                <w:tab w:val="right" w:pos="2835"/>
                <w:tab w:val="right" w:pos="3969"/>
                <w:tab w:val="right" w:pos="5103"/>
                <w:tab w:val="right" w:pos="6237"/>
                <w:tab w:val="right" w:pos="7255"/>
                <w:tab w:val="right" w:pos="7371"/>
              </w:tabs>
              <w:spacing w:after="0"/>
              <w:ind w:left="376" w:firstLine="0"/>
              <w:jc w:val="right"/>
              <w:rPr>
                <w:rFonts w:ascii="Arial Narrow" w:hAnsi="Arial Narrow"/>
                <w:spacing w:val="6"/>
                <w:szCs w:val="24"/>
              </w:rPr>
            </w:pPr>
            <w:r w:rsidRPr="00667DFF">
              <w:rPr>
                <w:rFonts w:ascii="Arial Narrow" w:hAnsi="Arial Narrow"/>
                <w:spacing w:val="6"/>
                <w:szCs w:val="24"/>
              </w:rPr>
              <w:t>Informática municipal</w:t>
            </w:r>
          </w:p>
        </w:tc>
      </w:tr>
      <w:tr w:rsidR="00807992" w:rsidRPr="00667DFF" w14:paraId="17C84232" w14:textId="77777777" w:rsidTr="00D25103">
        <w:trPr>
          <w:cantSplit/>
          <w:trHeight w:val="198"/>
          <w:jc w:val="center"/>
        </w:trPr>
        <w:tc>
          <w:tcPr>
            <w:tcW w:w="2339" w:type="pct"/>
            <w:tcBorders>
              <w:top w:val="single" w:sz="4" w:space="0" w:color="auto"/>
              <w:left w:val="nil"/>
              <w:bottom w:val="single" w:sz="4" w:space="0" w:color="auto"/>
              <w:right w:val="nil"/>
            </w:tcBorders>
            <w:vAlign w:val="center"/>
          </w:tcPr>
          <w:p w14:paraId="0DFA6093" w14:textId="77777777" w:rsidR="00807992" w:rsidRPr="00667DFF" w:rsidRDefault="00807992" w:rsidP="00807992">
            <w:pPr>
              <w:keepLines/>
              <w:tabs>
                <w:tab w:val="right" w:pos="2835"/>
                <w:tab w:val="right" w:pos="3969"/>
                <w:tab w:val="right" w:pos="5103"/>
                <w:tab w:val="right" w:pos="6237"/>
                <w:tab w:val="right" w:pos="7255"/>
                <w:tab w:val="right" w:pos="7371"/>
              </w:tabs>
              <w:spacing w:after="0"/>
              <w:ind w:firstLine="0"/>
              <w:jc w:val="left"/>
              <w:rPr>
                <w:rFonts w:ascii="Arial Narrow" w:hAnsi="Arial Narrow"/>
                <w:spacing w:val="6"/>
                <w:szCs w:val="24"/>
              </w:rPr>
            </w:pPr>
            <w:proofErr w:type="spellStart"/>
            <w:r w:rsidRPr="00667DFF">
              <w:rPr>
                <w:rFonts w:ascii="Arial Narrow" w:hAnsi="Arial Narrow"/>
                <w:spacing w:val="6"/>
                <w:szCs w:val="24"/>
              </w:rPr>
              <w:t>Mercairuña</w:t>
            </w:r>
            <w:proofErr w:type="spellEnd"/>
            <w:r w:rsidRPr="00667DFF">
              <w:rPr>
                <w:rFonts w:ascii="Arial Narrow" w:hAnsi="Arial Narrow"/>
                <w:spacing w:val="6"/>
                <w:szCs w:val="24"/>
              </w:rPr>
              <w:t>, S.A.</w:t>
            </w:r>
          </w:p>
        </w:tc>
        <w:tc>
          <w:tcPr>
            <w:tcW w:w="969" w:type="pct"/>
            <w:tcBorders>
              <w:top w:val="single" w:sz="4" w:space="0" w:color="auto"/>
              <w:left w:val="nil"/>
              <w:bottom w:val="single" w:sz="4" w:space="0" w:color="auto"/>
              <w:right w:val="nil"/>
            </w:tcBorders>
            <w:vAlign w:val="center"/>
          </w:tcPr>
          <w:p w14:paraId="59579F39" w14:textId="77777777" w:rsidR="00807992" w:rsidRPr="00667DFF" w:rsidRDefault="00807992" w:rsidP="00807992">
            <w:pPr>
              <w:keepLines/>
              <w:tabs>
                <w:tab w:val="right" w:pos="2835"/>
                <w:tab w:val="right" w:pos="3969"/>
                <w:tab w:val="right" w:pos="5103"/>
                <w:tab w:val="right" w:pos="6237"/>
                <w:tab w:val="right" w:pos="7255"/>
                <w:tab w:val="right" w:pos="7371"/>
              </w:tabs>
              <w:spacing w:after="0"/>
              <w:ind w:firstLine="0"/>
              <w:jc w:val="center"/>
              <w:rPr>
                <w:rFonts w:ascii="Arial Narrow" w:hAnsi="Arial Narrow"/>
                <w:spacing w:val="6"/>
                <w:szCs w:val="24"/>
              </w:rPr>
            </w:pPr>
            <w:r w:rsidRPr="00667DFF">
              <w:rPr>
                <w:rFonts w:ascii="Arial Narrow" w:hAnsi="Arial Narrow"/>
                <w:spacing w:val="6"/>
                <w:szCs w:val="24"/>
              </w:rPr>
              <w:t>51</w:t>
            </w:r>
          </w:p>
        </w:tc>
        <w:tc>
          <w:tcPr>
            <w:tcW w:w="1692" w:type="pct"/>
            <w:tcBorders>
              <w:top w:val="single" w:sz="4" w:space="0" w:color="auto"/>
              <w:left w:val="nil"/>
              <w:bottom w:val="single" w:sz="4" w:space="0" w:color="auto"/>
              <w:right w:val="nil"/>
            </w:tcBorders>
            <w:vAlign w:val="center"/>
          </w:tcPr>
          <w:p w14:paraId="118433EA" w14:textId="77777777" w:rsidR="00807992" w:rsidRPr="00667DFF" w:rsidRDefault="00807992" w:rsidP="005A0253">
            <w:pPr>
              <w:keepLines/>
              <w:tabs>
                <w:tab w:val="right" w:pos="2835"/>
                <w:tab w:val="right" w:pos="3969"/>
                <w:tab w:val="right" w:pos="5103"/>
                <w:tab w:val="right" w:pos="6237"/>
                <w:tab w:val="right" w:pos="7255"/>
                <w:tab w:val="right" w:pos="7371"/>
              </w:tabs>
              <w:spacing w:after="0"/>
              <w:ind w:left="376" w:firstLine="0"/>
              <w:jc w:val="right"/>
              <w:rPr>
                <w:rFonts w:ascii="Arial Narrow" w:hAnsi="Arial Narrow"/>
                <w:spacing w:val="6"/>
                <w:szCs w:val="24"/>
              </w:rPr>
            </w:pPr>
            <w:r w:rsidRPr="00667DFF">
              <w:rPr>
                <w:rFonts w:ascii="Arial Narrow" w:hAnsi="Arial Narrow"/>
                <w:spacing w:val="6"/>
                <w:szCs w:val="24"/>
              </w:rPr>
              <w:t>Mercados mayoristas</w:t>
            </w:r>
          </w:p>
        </w:tc>
      </w:tr>
    </w:tbl>
    <w:p w14:paraId="78A035C1" w14:textId="77777777" w:rsidR="00807992" w:rsidRPr="00667DFF" w:rsidRDefault="00807992" w:rsidP="00807992">
      <w:pPr>
        <w:spacing w:before="120" w:after="80"/>
        <w:ind w:firstLine="0"/>
        <w:rPr>
          <w:spacing w:val="6"/>
          <w:sz w:val="26"/>
          <w:szCs w:val="26"/>
        </w:rPr>
      </w:pPr>
    </w:p>
    <w:p w14:paraId="353B12CB" w14:textId="77777777" w:rsidR="00807992" w:rsidRPr="00792974" w:rsidRDefault="00807992" w:rsidP="00807992">
      <w:pPr>
        <w:numPr>
          <w:ilvl w:val="0"/>
          <w:numId w:val="2"/>
        </w:numPr>
        <w:tabs>
          <w:tab w:val="clear" w:pos="502"/>
          <w:tab w:val="left" w:pos="480"/>
          <w:tab w:val="num" w:pos="7448"/>
        </w:tabs>
        <w:spacing w:after="80"/>
        <w:ind w:left="120"/>
        <w:rPr>
          <w:spacing w:val="6"/>
          <w:sz w:val="26"/>
          <w:szCs w:val="26"/>
        </w:rPr>
      </w:pPr>
      <w:r w:rsidRPr="00792974">
        <w:rPr>
          <w:spacing w:val="6"/>
          <w:sz w:val="26"/>
          <w:szCs w:val="26"/>
          <w:lang w:val="es-ES"/>
        </w:rPr>
        <w:t>Fundación Teatro Gayarre</w:t>
      </w:r>
      <w:r w:rsidRPr="00792974">
        <w:rPr>
          <w:spacing w:val="6"/>
          <w:sz w:val="26"/>
          <w:szCs w:val="26"/>
        </w:rPr>
        <w:t>, para la gestión y administración de este teatro.</w:t>
      </w:r>
    </w:p>
    <w:p w14:paraId="364CBBF4" w14:textId="77777777" w:rsidR="00807992" w:rsidRPr="00792974" w:rsidRDefault="00807992" w:rsidP="00807992">
      <w:pPr>
        <w:spacing w:after="80"/>
        <w:ind w:firstLine="284"/>
        <w:rPr>
          <w:spacing w:val="4"/>
          <w:sz w:val="26"/>
          <w:szCs w:val="26"/>
        </w:rPr>
      </w:pPr>
      <w:r w:rsidRPr="00792974">
        <w:rPr>
          <w:spacing w:val="4"/>
          <w:sz w:val="26"/>
          <w:szCs w:val="26"/>
        </w:rPr>
        <w:t>Además, la Fundación Casa de Misericordia, dedicada a la prestación de asistencia a la tercera edad, está vinculada al ayuntamiento desde hace más de 300 ejerc</w:t>
      </w:r>
      <w:r w:rsidR="00257C3B">
        <w:rPr>
          <w:spacing w:val="4"/>
          <w:sz w:val="26"/>
          <w:szCs w:val="26"/>
        </w:rPr>
        <w:t>icios, si bien se trata de una f</w:t>
      </w:r>
      <w:r w:rsidRPr="00792974">
        <w:rPr>
          <w:spacing w:val="4"/>
          <w:sz w:val="26"/>
          <w:szCs w:val="26"/>
        </w:rPr>
        <w:t>undación privada.</w:t>
      </w:r>
    </w:p>
    <w:p w14:paraId="38D3610C" w14:textId="77777777" w:rsidR="000D7AE1" w:rsidRDefault="00807992" w:rsidP="00807992">
      <w:pPr>
        <w:spacing w:after="100"/>
        <w:ind w:firstLine="284"/>
        <w:rPr>
          <w:spacing w:val="6"/>
          <w:sz w:val="26"/>
          <w:szCs w:val="26"/>
        </w:rPr>
      </w:pPr>
      <w:r w:rsidRPr="00667DFF">
        <w:rPr>
          <w:spacing w:val="6"/>
          <w:sz w:val="26"/>
          <w:szCs w:val="26"/>
        </w:rPr>
        <w:t>La composición del ayuntamiento y sus entes dependientes se muestra en el siguiente gráfico:</w:t>
      </w:r>
    </w:p>
    <w:p w14:paraId="203EE84C" w14:textId="77777777" w:rsidR="000D7AE1" w:rsidRDefault="000D7AE1" w:rsidP="00807992">
      <w:pPr>
        <w:tabs>
          <w:tab w:val="center" w:pos="2835"/>
          <w:tab w:val="center" w:pos="3969"/>
          <w:tab w:val="center" w:pos="5103"/>
          <w:tab w:val="center" w:pos="6237"/>
          <w:tab w:val="center" w:pos="7371"/>
        </w:tabs>
        <w:ind w:firstLine="284"/>
        <w:rPr>
          <w:spacing w:val="6"/>
          <w:sz w:val="26"/>
          <w:szCs w:val="24"/>
        </w:rPr>
        <w:sectPr w:rsidR="000D7AE1" w:rsidSect="00F513C9">
          <w:footerReference w:type="default" r:id="rId15"/>
          <w:pgSz w:w="11907" w:h="16840" w:code="9"/>
          <w:pgMar w:top="2109" w:right="1559" w:bottom="1644" w:left="1559" w:header="369" w:footer="136" w:gutter="0"/>
          <w:cols w:space="720"/>
          <w:docGrid w:linePitch="360"/>
        </w:sectPr>
      </w:pPr>
    </w:p>
    <w:p w14:paraId="28626468" w14:textId="77777777" w:rsidR="00807992" w:rsidRPr="00667DFF" w:rsidRDefault="00807992"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p>
    <w:p w14:paraId="61B2B77B" w14:textId="77777777" w:rsidR="00807992" w:rsidRPr="00667DFF" w:rsidRDefault="00807992"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41856" behindDoc="0" locked="0" layoutInCell="1" allowOverlap="1" wp14:anchorId="3DEB9AB2" wp14:editId="129A6A0C">
                <wp:simplePos x="0" y="0"/>
                <wp:positionH relativeFrom="column">
                  <wp:posOffset>2887980</wp:posOffset>
                </wp:positionH>
                <wp:positionV relativeFrom="paragraph">
                  <wp:posOffset>92710</wp:posOffset>
                </wp:positionV>
                <wp:extent cx="2759075" cy="434975"/>
                <wp:effectExtent l="0" t="0" r="22225" b="22225"/>
                <wp:wrapNone/>
                <wp:docPr id="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434975"/>
                        </a:xfrm>
                        <a:prstGeom prst="rect">
                          <a:avLst/>
                        </a:prstGeom>
                        <a:solidFill>
                          <a:srgbClr val="FFFFFF"/>
                        </a:solidFill>
                        <a:ln w="6350">
                          <a:solidFill>
                            <a:srgbClr val="000000"/>
                          </a:solidFill>
                          <a:miter lim="800000"/>
                          <a:headEnd/>
                          <a:tailEnd/>
                        </a:ln>
                      </wps:spPr>
                      <wps:txbx>
                        <w:txbxContent>
                          <w:p w14:paraId="2BEFB176" w14:textId="77777777" w:rsidR="001933A8" w:rsidRPr="00F07734" w:rsidRDefault="001933A8" w:rsidP="00807992">
                            <w:pPr>
                              <w:spacing w:before="120" w:after="0"/>
                              <w:ind w:firstLine="0"/>
                              <w:jc w:val="center"/>
                              <w:rPr>
                                <w:rFonts w:ascii="Arial" w:hAnsi="Arial" w:cs="Arial"/>
                                <w:sz w:val="22"/>
                                <w:szCs w:val="22"/>
                              </w:rPr>
                            </w:pPr>
                            <w:r w:rsidRPr="00F07734">
                              <w:rPr>
                                <w:rFonts w:ascii="Arial" w:hAnsi="Arial" w:cs="Arial"/>
                                <w:sz w:val="22"/>
                                <w:szCs w:val="22"/>
                              </w:rPr>
                              <w:t>Ayuntamiento de Pamplona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B9AB2" id="Rectangle 54" o:spid="_x0000_s1027" style="position:absolute;left:0;text-align:left;margin-left:227.4pt;margin-top:7.3pt;width:217.25pt;height:3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" strokeweight=".5pt">
                <v:textbox>
                  <w:txbxContent>
                    <w:p w14:paraId="2BEFB176" w14:textId="77777777" w:rsidR="001933A8" w:rsidRPr="00F07734" w:rsidRDefault="001933A8" w:rsidP="00807992">
                      <w:pPr>
                        <w:spacing w:before="120" w:after="0"/>
                        <w:ind w:firstLine="0"/>
                        <w:jc w:val="center"/>
                        <w:rPr>
                          <w:rFonts w:ascii="Arial" w:hAnsi="Arial" w:cs="Arial"/>
                          <w:sz w:val="22"/>
                          <w:szCs w:val="22"/>
                        </w:rPr>
                      </w:pPr>
                      <w:r w:rsidRPr="00F07734">
                        <w:rPr>
                          <w:rFonts w:ascii="Arial" w:hAnsi="Arial" w:cs="Arial"/>
                          <w:sz w:val="22"/>
                          <w:szCs w:val="22"/>
                        </w:rPr>
                        <w:t>Ayuntamiento de Pamplona</w:t>
                      </w:r>
                    </w:p>
                  </w:txbxContent>
                </v:textbox>
              </v:rect>
            </w:pict>
          </mc:Fallback>
        </mc:AlternateContent>
      </w:r>
    </w:p>
    <w:p w14:paraId="2035D163" w14:textId="77777777" w:rsidR="00807992" w:rsidRPr="00667DFF" w:rsidRDefault="009C568C"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Pr>
          <w:rFonts w:ascii="Arial" w:eastAsia="Calibri" w:hAnsi="Arial" w:cs="Arial"/>
          <w:noProof/>
          <w:sz w:val="24"/>
          <w:lang w:val="es-ES" w:eastAsia="es-ES"/>
        </w:rPr>
        <mc:AlternateContent>
          <mc:Choice Requires="wps">
            <w:drawing>
              <wp:anchor distT="0" distB="0" distL="114300" distR="114300" simplePos="0" relativeHeight="251722240" behindDoc="0" locked="0" layoutInCell="1" allowOverlap="1" wp14:anchorId="48E2F77F" wp14:editId="463D9243">
                <wp:simplePos x="0" y="0"/>
                <wp:positionH relativeFrom="column">
                  <wp:posOffset>7652385</wp:posOffset>
                </wp:positionH>
                <wp:positionV relativeFrom="paragraph">
                  <wp:posOffset>40640</wp:posOffset>
                </wp:positionV>
                <wp:extent cx="9525" cy="542925"/>
                <wp:effectExtent l="0" t="0" r="28575" b="28575"/>
                <wp:wrapNone/>
                <wp:docPr id="9" name="Conector recto 9"/>
                <wp:cNvGraphicFramePr/>
                <a:graphic xmlns:a="http://schemas.openxmlformats.org/drawingml/2006/main">
                  <a:graphicData uri="http://schemas.microsoft.com/office/word/2010/wordprocessingShape">
                    <wps:wsp>
                      <wps:cNvCnPr/>
                      <wps:spPr>
                        <a:xfrm>
                          <a:off x="0" y="0"/>
                          <a:ext cx="952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E3999" id="Conector recto 9"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602.55pt,3.2pt" to="603.3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" strokecolor="black [3040]"/>
            </w:pict>
          </mc:Fallback>
        </mc:AlternateContent>
      </w:r>
      <w:r w:rsidR="001C23D4">
        <w:rPr>
          <w:rFonts w:ascii="Arial" w:eastAsia="Calibri" w:hAnsi="Arial" w:cs="Arial"/>
          <w:noProof/>
          <w:sz w:val="24"/>
          <w:lang w:val="es-ES" w:eastAsia="es-ES"/>
        </w:rPr>
        <mc:AlternateContent>
          <mc:Choice Requires="wps">
            <w:drawing>
              <wp:anchor distT="0" distB="0" distL="114300" distR="114300" simplePos="0" relativeHeight="251712000" behindDoc="0" locked="0" layoutInCell="1" allowOverlap="1" wp14:anchorId="4320E6FC" wp14:editId="604A38CC">
                <wp:simplePos x="0" y="0"/>
                <wp:positionH relativeFrom="column">
                  <wp:posOffset>5671185</wp:posOffset>
                </wp:positionH>
                <wp:positionV relativeFrom="paragraph">
                  <wp:posOffset>31115</wp:posOffset>
                </wp:positionV>
                <wp:extent cx="2000250" cy="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262E4" id="Conector recto 10"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446.55pt,2.45pt" to="60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" strokecolor="black [3040]"/>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34688" behindDoc="0" locked="0" layoutInCell="1" allowOverlap="1" wp14:anchorId="1A71CF7D" wp14:editId="1B31BF09">
                <wp:simplePos x="0" y="0"/>
                <wp:positionH relativeFrom="column">
                  <wp:posOffset>1082675</wp:posOffset>
                </wp:positionH>
                <wp:positionV relativeFrom="paragraph">
                  <wp:posOffset>119380</wp:posOffset>
                </wp:positionV>
                <wp:extent cx="5080" cy="618490"/>
                <wp:effectExtent l="6350" t="5080" r="7620" b="5080"/>
                <wp:wrapNone/>
                <wp:docPr id="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1849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85F3C" id="Line 4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9.4pt" to="85.6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M8LQIAAGQ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" strokeweight=".5pt">
                <v:stroke startarrowwidth="narrow" startarrowlength="short" endarrowwidth="narrow" endarrowlength="short"/>
              </v:line>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40832" behindDoc="0" locked="0" layoutInCell="1" allowOverlap="1" wp14:anchorId="5E7A80D4" wp14:editId="1CAD2693">
                <wp:simplePos x="0" y="0"/>
                <wp:positionH relativeFrom="column">
                  <wp:posOffset>1070610</wp:posOffset>
                </wp:positionH>
                <wp:positionV relativeFrom="paragraph">
                  <wp:posOffset>107315</wp:posOffset>
                </wp:positionV>
                <wp:extent cx="3815715" cy="11430"/>
                <wp:effectExtent l="13335" t="12065" r="9525" b="5080"/>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1143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5B66" id="Line 5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8.45pt" to="38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" strokeweight=".5pt">
                <v:stroke startarrowwidth="narrow" startarrowlength="short" endarrowwidth="narrow" endarrowlength="short"/>
              </v:line>
            </w:pict>
          </mc:Fallback>
        </mc:AlternateContent>
      </w:r>
    </w:p>
    <w:p w14:paraId="4BAE856D" w14:textId="77777777" w:rsidR="00807992" w:rsidRPr="00667DFF" w:rsidRDefault="00807992"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p>
    <w:p w14:paraId="014184DD" w14:textId="77777777" w:rsidR="00807992" w:rsidRPr="00667DFF" w:rsidRDefault="001C23D4"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54144" behindDoc="0" locked="0" layoutInCell="1" allowOverlap="1" wp14:anchorId="39AD9BE9" wp14:editId="5443108F">
                <wp:simplePos x="0" y="0"/>
                <wp:positionH relativeFrom="margin">
                  <wp:posOffset>6699885</wp:posOffset>
                </wp:positionH>
                <wp:positionV relativeFrom="paragraph">
                  <wp:posOffset>45720</wp:posOffset>
                </wp:positionV>
                <wp:extent cx="1695450" cy="268605"/>
                <wp:effectExtent l="0" t="0" r="19050" b="17145"/>
                <wp:wrapNone/>
                <wp:docPr id="4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68605"/>
                        </a:xfrm>
                        <a:prstGeom prst="rect">
                          <a:avLst/>
                        </a:prstGeom>
                        <a:solidFill>
                          <a:srgbClr val="FFFFFF"/>
                        </a:solidFill>
                        <a:ln w="3175">
                          <a:solidFill>
                            <a:srgbClr val="000000"/>
                          </a:solidFill>
                          <a:miter lim="800000"/>
                          <a:headEnd/>
                          <a:tailEnd/>
                        </a:ln>
                      </wps:spPr>
                      <wps:txbx>
                        <w:txbxContent>
                          <w:p w14:paraId="7CE1C560" w14:textId="77777777" w:rsidR="001933A8" w:rsidRPr="00F07734" w:rsidRDefault="001933A8" w:rsidP="00807992">
                            <w:pPr>
                              <w:spacing w:before="60" w:after="0"/>
                              <w:ind w:firstLine="0"/>
                              <w:jc w:val="center"/>
                              <w:rPr>
                                <w:rFonts w:ascii="Arial" w:hAnsi="Arial" w:cs="Arial"/>
                                <w:lang w:val="es-ES"/>
                              </w:rPr>
                            </w:pPr>
                            <w:r w:rsidRPr="00F07734">
                              <w:rPr>
                                <w:rFonts w:ascii="Arial" w:hAnsi="Arial" w:cs="Arial"/>
                                <w:lang w:val="es-ES"/>
                              </w:rPr>
                              <w:t>Fundaciones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D9BE9" id="Rectangle 65" o:spid="_x0000_s1028" style="position:absolute;left:0;text-align:left;margin-left:527.55pt;margin-top:3.6pt;width:133.5pt;height:21.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" strokeweight=".25pt">
                <v:textbox inset="1pt,1pt,1pt,1pt">
                  <w:txbxContent>
                    <w:p w14:paraId="7CE1C560" w14:textId="77777777" w:rsidR="001933A8" w:rsidRPr="00F07734" w:rsidRDefault="001933A8" w:rsidP="00807992">
                      <w:pPr>
                        <w:spacing w:before="60" w:after="0"/>
                        <w:ind w:firstLine="0"/>
                        <w:jc w:val="center"/>
                        <w:rPr>
                          <w:rFonts w:ascii="Arial" w:hAnsi="Arial" w:cs="Arial"/>
                          <w:lang w:val="es-ES"/>
                        </w:rPr>
                      </w:pPr>
                      <w:r w:rsidRPr="00F07734">
                        <w:rPr>
                          <w:rFonts w:ascii="Arial" w:hAnsi="Arial" w:cs="Arial"/>
                          <w:lang w:val="es-ES"/>
                        </w:rPr>
                        <w:t>Fundaciones</w:t>
                      </w:r>
                    </w:p>
                  </w:txbxContent>
                </v:textbox>
                <w10:wrap anchorx="margin"/>
              </v:rect>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39808" behindDoc="0" locked="0" layoutInCell="1" allowOverlap="1" wp14:anchorId="2BDF32C4" wp14:editId="2CAB4380">
                <wp:simplePos x="0" y="0"/>
                <wp:positionH relativeFrom="column">
                  <wp:posOffset>3523615</wp:posOffset>
                </wp:positionH>
                <wp:positionV relativeFrom="paragraph">
                  <wp:posOffset>5715</wp:posOffset>
                </wp:positionV>
                <wp:extent cx="1962785" cy="268605"/>
                <wp:effectExtent l="8890" t="5715" r="9525" b="11430"/>
                <wp:wrapNone/>
                <wp:docPr id="4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68605"/>
                        </a:xfrm>
                        <a:prstGeom prst="rect">
                          <a:avLst/>
                        </a:prstGeom>
                        <a:solidFill>
                          <a:srgbClr val="FFFFFF"/>
                        </a:solidFill>
                        <a:ln w="3175">
                          <a:solidFill>
                            <a:srgbClr val="000000"/>
                          </a:solidFill>
                          <a:miter lim="800000"/>
                          <a:headEnd/>
                          <a:tailEnd/>
                        </a:ln>
                      </wps:spPr>
                      <wps:txbx>
                        <w:txbxContent>
                          <w:p w14:paraId="3D356052" w14:textId="77777777" w:rsidR="001933A8" w:rsidRPr="00F07734" w:rsidRDefault="001933A8" w:rsidP="00807992">
                            <w:pPr>
                              <w:spacing w:before="60" w:after="0"/>
                              <w:ind w:firstLine="0"/>
                              <w:jc w:val="center"/>
                              <w:rPr>
                                <w:rFonts w:ascii="Arial" w:hAnsi="Arial" w:cs="Arial"/>
                              </w:rPr>
                            </w:pPr>
                            <w:r w:rsidRPr="00F07734">
                              <w:rPr>
                                <w:rFonts w:ascii="Arial" w:hAnsi="Arial" w:cs="Arial"/>
                              </w:rPr>
                              <w:t>Sector público empresarial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32C4" id="Rectangle 52" o:spid="_x0000_s1029" style="position:absolute;left:0;text-align:left;margin-left:277.45pt;margin-top:.45pt;width:154.55pt;height:2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" strokeweight=".25pt">
                <v:textbox inset="1pt,1pt,1pt,1pt">
                  <w:txbxContent>
                    <w:p w14:paraId="3D356052" w14:textId="77777777" w:rsidR="001933A8" w:rsidRPr="00F07734" w:rsidRDefault="001933A8" w:rsidP="00807992">
                      <w:pPr>
                        <w:spacing w:before="60" w:after="0"/>
                        <w:ind w:firstLine="0"/>
                        <w:jc w:val="center"/>
                        <w:rPr>
                          <w:rFonts w:ascii="Arial" w:hAnsi="Arial" w:cs="Arial"/>
                        </w:rPr>
                      </w:pPr>
                      <w:r w:rsidRPr="00F07734">
                        <w:rPr>
                          <w:rFonts w:ascii="Arial" w:hAnsi="Arial" w:cs="Arial"/>
                        </w:rPr>
                        <w:t>Sector público empresarial</w:t>
                      </w:r>
                    </w:p>
                  </w:txbxContent>
                </v:textbox>
              </v:rect>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52096" behindDoc="0" locked="0" layoutInCell="1" allowOverlap="1" wp14:anchorId="4149451D" wp14:editId="32ED4B8B">
                <wp:simplePos x="0" y="0"/>
                <wp:positionH relativeFrom="column">
                  <wp:posOffset>86360</wp:posOffset>
                </wp:positionH>
                <wp:positionV relativeFrom="paragraph">
                  <wp:posOffset>45085</wp:posOffset>
                </wp:positionV>
                <wp:extent cx="2352040" cy="268605"/>
                <wp:effectExtent l="10160" t="6985" r="9525" b="10160"/>
                <wp:wrapNone/>
                <wp:docPr id="4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268605"/>
                        </a:xfrm>
                        <a:prstGeom prst="rect">
                          <a:avLst/>
                        </a:prstGeom>
                        <a:solidFill>
                          <a:srgbClr val="FFFFFF"/>
                        </a:solidFill>
                        <a:ln w="3175">
                          <a:solidFill>
                            <a:srgbClr val="000000"/>
                          </a:solidFill>
                          <a:miter lim="800000"/>
                          <a:headEnd/>
                          <a:tailEnd/>
                        </a:ln>
                      </wps:spPr>
                      <wps:txbx>
                        <w:txbxContent>
                          <w:p w14:paraId="452A0A32" w14:textId="77777777" w:rsidR="001933A8" w:rsidRPr="00BC0591" w:rsidRDefault="001933A8" w:rsidP="00807992">
                            <w:pPr>
                              <w:spacing w:before="60" w:after="0"/>
                              <w:ind w:firstLine="0"/>
                              <w:jc w:val="center"/>
                              <w:rPr>
                                <w:rFonts w:ascii="Arial" w:hAnsi="Arial" w:cs="Arial"/>
                                <w:sz w:val="16"/>
                                <w:szCs w:val="16"/>
                              </w:rPr>
                            </w:pPr>
                            <w:r w:rsidRPr="00F07734">
                              <w:rPr>
                                <w:rFonts w:ascii="Arial" w:hAnsi="Arial" w:cs="Arial"/>
                              </w:rPr>
                              <w:t>Sector público administrativo</w:t>
                            </w:r>
                            <w:r>
                              <w:rPr>
                                <w:rFonts w:ascii="Arial" w:hAnsi="Arial" w:cs="Arial"/>
                              </w:rPr>
                              <w:t xml:space="preserve"> </w:t>
                            </w:r>
                            <w:r w:rsidRPr="00BC0591">
                              <w:rPr>
                                <w:rFonts w:ascii="Arial" w:hAnsi="Arial" w:cs="Arial"/>
                                <w:sz w:val="16"/>
                                <w:szCs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451D" id="Rectangle 63" o:spid="_x0000_s1030" style="position:absolute;left:0;text-align:left;margin-left:6.8pt;margin-top:3.55pt;width:185.2pt;height:2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" strokeweight=".25pt">
                <v:textbox inset="1pt,1pt,1pt,1pt">
                  <w:txbxContent>
                    <w:p w14:paraId="452A0A32" w14:textId="77777777" w:rsidR="001933A8" w:rsidRPr="00BC0591" w:rsidRDefault="001933A8" w:rsidP="00807992">
                      <w:pPr>
                        <w:spacing w:before="60" w:after="0"/>
                        <w:ind w:firstLine="0"/>
                        <w:jc w:val="center"/>
                        <w:rPr>
                          <w:rFonts w:ascii="Arial" w:hAnsi="Arial" w:cs="Arial"/>
                          <w:sz w:val="16"/>
                          <w:szCs w:val="16"/>
                        </w:rPr>
                      </w:pPr>
                      <w:r w:rsidRPr="00F07734">
                        <w:rPr>
                          <w:rFonts w:ascii="Arial" w:hAnsi="Arial" w:cs="Arial"/>
                        </w:rPr>
                        <w:t>Sector público administrativo</w:t>
                      </w:r>
                      <w:r>
                        <w:rPr>
                          <w:rFonts w:ascii="Arial" w:hAnsi="Arial" w:cs="Arial"/>
                        </w:rPr>
                        <w:t xml:space="preserve"> </w:t>
                      </w:r>
                      <w:r w:rsidRPr="00BC0591">
                        <w:rPr>
                          <w:rFonts w:ascii="Arial" w:hAnsi="Arial" w:cs="Arial"/>
                          <w:sz w:val="16"/>
                          <w:szCs w:val="16"/>
                        </w:rPr>
                        <w:t xml:space="preserve"> </w:t>
                      </w:r>
                    </w:p>
                  </w:txbxContent>
                </v:textbox>
              </v:rect>
            </w:pict>
          </mc:Fallback>
        </mc:AlternateContent>
      </w:r>
    </w:p>
    <w:p w14:paraId="4992B2BB" w14:textId="77777777" w:rsidR="00807992" w:rsidRPr="00667DFF" w:rsidRDefault="009C568C"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Pr>
          <w:rFonts w:ascii="Arial" w:eastAsia="Calibri" w:hAnsi="Arial" w:cs="Arial"/>
          <w:noProof/>
          <w:sz w:val="24"/>
          <w:lang w:val="es-ES" w:eastAsia="es-ES"/>
        </w:rPr>
        <mc:AlternateContent>
          <mc:Choice Requires="wps">
            <w:drawing>
              <wp:anchor distT="0" distB="0" distL="114300" distR="114300" simplePos="0" relativeHeight="251723264" behindDoc="0" locked="0" layoutInCell="1" allowOverlap="1" wp14:anchorId="5477DD73" wp14:editId="15776956">
                <wp:simplePos x="0" y="0"/>
                <wp:positionH relativeFrom="column">
                  <wp:posOffset>7690485</wp:posOffset>
                </wp:positionH>
                <wp:positionV relativeFrom="paragraph">
                  <wp:posOffset>67310</wp:posOffset>
                </wp:positionV>
                <wp:extent cx="9525" cy="533400"/>
                <wp:effectExtent l="0" t="0" r="28575" b="19050"/>
                <wp:wrapNone/>
                <wp:docPr id="11" name="Conector recto 11"/>
                <wp:cNvGraphicFramePr/>
                <a:graphic xmlns:a="http://schemas.openxmlformats.org/drawingml/2006/main">
                  <a:graphicData uri="http://schemas.microsoft.com/office/word/2010/wordprocessingShape">
                    <wps:wsp>
                      <wps:cNvCnPr/>
                      <wps:spPr>
                        <a:xfrm>
                          <a:off x="0" y="0"/>
                          <a:ext cx="9525"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DCFF3" id="Conector recto 11"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605.55pt,5.3pt" to="606.3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" strokecolor="black [3040]"/>
            </w:pict>
          </mc:Fallback>
        </mc:AlternateContent>
      </w:r>
      <w:r w:rsidR="001E5A4C">
        <w:rPr>
          <w:rFonts w:ascii="Arial" w:eastAsia="Calibri" w:hAnsi="Arial" w:cs="Arial"/>
          <w:noProof/>
          <w:sz w:val="24"/>
          <w:lang w:val="es-ES" w:eastAsia="es-ES"/>
        </w:rPr>
        <mc:AlternateContent>
          <mc:Choice Requires="wps">
            <w:drawing>
              <wp:anchor distT="0" distB="0" distL="114300" distR="114300" simplePos="0" relativeHeight="251716096" behindDoc="0" locked="0" layoutInCell="1" allowOverlap="1" wp14:anchorId="2110B294" wp14:editId="189FA34C">
                <wp:simplePos x="0" y="0"/>
                <wp:positionH relativeFrom="column">
                  <wp:posOffset>4432935</wp:posOffset>
                </wp:positionH>
                <wp:positionV relativeFrom="paragraph">
                  <wp:posOffset>29210</wp:posOffset>
                </wp:positionV>
                <wp:extent cx="38100" cy="257175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38100" cy="257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D0D5F" id="Conector recto 29"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349.05pt,2.3pt" to="352.05pt,2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" strokecolor="black [3040]"/>
            </w:pict>
          </mc:Fallback>
        </mc:AlternateContent>
      </w:r>
      <w:r w:rsidR="006E19AB" w:rsidRPr="00667DFF">
        <w:rPr>
          <w:rFonts w:ascii="Arial" w:eastAsia="Calibri" w:hAnsi="Arial" w:cs="Arial"/>
          <w:noProof/>
          <w:sz w:val="24"/>
          <w:lang w:val="es-ES" w:eastAsia="es-ES"/>
        </w:rPr>
        <mc:AlternateContent>
          <mc:Choice Requires="wps">
            <w:drawing>
              <wp:anchor distT="0" distB="0" distL="114300" distR="114300" simplePos="0" relativeHeight="251679744" behindDoc="0" locked="0" layoutInCell="1" allowOverlap="1" wp14:anchorId="3F4851AF" wp14:editId="54726D75">
                <wp:simplePos x="0" y="0"/>
                <wp:positionH relativeFrom="column">
                  <wp:posOffset>-262890</wp:posOffset>
                </wp:positionH>
                <wp:positionV relativeFrom="paragraph">
                  <wp:posOffset>133985</wp:posOffset>
                </wp:positionV>
                <wp:extent cx="511810" cy="433705"/>
                <wp:effectExtent l="0" t="0" r="21590" b="23495"/>
                <wp:wrapNone/>
                <wp:docPr id="4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433705"/>
                        </a:xfrm>
                        <a:prstGeom prst="rect">
                          <a:avLst/>
                        </a:prstGeom>
                        <a:solidFill>
                          <a:srgbClr val="FFFFFF"/>
                        </a:solidFill>
                        <a:ln w="3175">
                          <a:solidFill>
                            <a:srgbClr val="000000"/>
                          </a:solidFill>
                          <a:miter lim="800000"/>
                          <a:headEnd/>
                          <a:tailEnd/>
                        </a:ln>
                      </wps:spPr>
                      <wps:txbx>
                        <w:txbxContent>
                          <w:p w14:paraId="4304941F" w14:textId="77777777" w:rsidR="001933A8" w:rsidRPr="00590E8E" w:rsidRDefault="001933A8" w:rsidP="00807992">
                            <w:pPr>
                              <w:spacing w:before="140"/>
                              <w:ind w:firstLine="0"/>
                              <w:jc w:val="center"/>
                              <w:rPr>
                                <w:rFonts w:ascii="Arial Narrow" w:hAnsi="Arial Narrow"/>
                                <w:sz w:val="18"/>
                                <w:szCs w:val="18"/>
                              </w:rPr>
                            </w:pPr>
                            <w:r>
                              <w:rPr>
                                <w:rFonts w:ascii="Arial Narrow" w:hAnsi="Arial Narrow"/>
                                <w:sz w:val="18"/>
                                <w:szCs w:val="18"/>
                              </w:rPr>
                              <w:t>Alcaldía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851AF" id="Rectangle 86" o:spid="_x0000_s1031" style="position:absolute;left:0;text-align:left;margin-left:-20.7pt;margin-top:10.55pt;width:40.3pt;height:3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" strokeweight=".25pt">
                <v:textbox inset="1pt,1.4mm,1pt,1pt">
                  <w:txbxContent>
                    <w:p w14:paraId="4304941F" w14:textId="77777777" w:rsidR="001933A8" w:rsidRPr="00590E8E" w:rsidRDefault="001933A8" w:rsidP="00807992">
                      <w:pPr>
                        <w:spacing w:before="140"/>
                        <w:ind w:firstLine="0"/>
                        <w:jc w:val="center"/>
                        <w:rPr>
                          <w:rFonts w:ascii="Arial Narrow" w:hAnsi="Arial Narrow"/>
                          <w:sz w:val="18"/>
                          <w:szCs w:val="18"/>
                        </w:rPr>
                      </w:pPr>
                      <w:r>
                        <w:rPr>
                          <w:rFonts w:ascii="Arial Narrow" w:hAnsi="Arial Narrow"/>
                          <w:sz w:val="18"/>
                          <w:szCs w:val="18"/>
                        </w:rPr>
                        <w:t>Alcaldía</w:t>
                      </w:r>
                    </w:p>
                  </w:txbxContent>
                </v:textbox>
              </v:rect>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51072" behindDoc="0" locked="0" layoutInCell="1" allowOverlap="1" wp14:anchorId="44DDF4E6" wp14:editId="1208FBC4">
                <wp:simplePos x="0" y="0"/>
                <wp:positionH relativeFrom="column">
                  <wp:posOffset>1447800</wp:posOffset>
                </wp:positionH>
                <wp:positionV relativeFrom="paragraph">
                  <wp:posOffset>635</wp:posOffset>
                </wp:positionV>
                <wp:extent cx="0" cy="386715"/>
                <wp:effectExtent l="9525" t="10160" r="9525" b="12700"/>
                <wp:wrapNone/>
                <wp:docPr id="4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97CF" id="Line 6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05pt" to="11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nJwIAAGE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" strokeweight=".5pt">
                <v:stroke startarrowwidth="narrow" startarrowlength="short" endarrowwidth="narrow" endarrowlength="short"/>
              </v:line>
            </w:pict>
          </mc:Fallback>
        </mc:AlternateContent>
      </w:r>
    </w:p>
    <w:p w14:paraId="1BDF7C5D" w14:textId="77777777" w:rsidR="00807992" w:rsidRPr="00667DFF" w:rsidRDefault="00807992"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65408" behindDoc="0" locked="0" layoutInCell="1" allowOverlap="1" wp14:anchorId="7DAF4A5E" wp14:editId="48C4F2E1">
                <wp:simplePos x="0" y="0"/>
                <wp:positionH relativeFrom="column">
                  <wp:posOffset>721250</wp:posOffset>
                </wp:positionH>
                <wp:positionV relativeFrom="paragraph">
                  <wp:posOffset>117309</wp:posOffset>
                </wp:positionV>
                <wp:extent cx="0" cy="2138901"/>
                <wp:effectExtent l="0" t="0" r="19050" b="33020"/>
                <wp:wrapNone/>
                <wp:docPr id="5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890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ECAAF" id="Line 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9.25pt" to="56.8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" strokeweight=".5p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78720" behindDoc="0" locked="0" layoutInCell="1" allowOverlap="1" wp14:anchorId="46A68FF5" wp14:editId="7EED8B42">
                <wp:simplePos x="0" y="0"/>
                <wp:positionH relativeFrom="column">
                  <wp:posOffset>260985</wp:posOffset>
                </wp:positionH>
                <wp:positionV relativeFrom="paragraph">
                  <wp:posOffset>114358</wp:posOffset>
                </wp:positionV>
                <wp:extent cx="434340" cy="3175"/>
                <wp:effectExtent l="0" t="0" r="22860" b="34925"/>
                <wp:wrapNone/>
                <wp:docPr id="5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6AC5" id="Line 7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9pt" to="54.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" strokeweight=".5p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50048" behindDoc="0" locked="0" layoutInCell="1" allowOverlap="1" wp14:anchorId="7A045A56" wp14:editId="140A7CB9">
                <wp:simplePos x="0" y="0"/>
                <wp:positionH relativeFrom="column">
                  <wp:posOffset>693420</wp:posOffset>
                </wp:positionH>
                <wp:positionV relativeFrom="paragraph">
                  <wp:posOffset>111760</wp:posOffset>
                </wp:positionV>
                <wp:extent cx="1973580" cy="10795"/>
                <wp:effectExtent l="7620" t="6985" r="9525" b="10795"/>
                <wp:wrapNone/>
                <wp:docPr id="5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107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2E5D5" id="Line 6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8.8pt" to="21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8eLAIAAGY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" strokeweight=".5pt">
                <v:stroke startarrowwidth="narrow" startarrowlength="short" endarrowwidth="narrow" endarrowlength="short"/>
              </v:line>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35712" behindDoc="0" locked="0" layoutInCell="1" allowOverlap="1" wp14:anchorId="715F72D6" wp14:editId="75C56D55">
                <wp:simplePos x="0" y="0"/>
                <wp:positionH relativeFrom="column">
                  <wp:posOffset>2667000</wp:posOffset>
                </wp:positionH>
                <wp:positionV relativeFrom="paragraph">
                  <wp:posOffset>116840</wp:posOffset>
                </wp:positionV>
                <wp:extent cx="7620" cy="374015"/>
                <wp:effectExtent l="9525" t="12065" r="11430" b="13970"/>
                <wp:wrapNone/>
                <wp:docPr id="9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7401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63555" id="Line 4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9.2pt" to="210.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Ma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" strokeweight=".5pt">
                <v:stroke startarrowwidth="narrow" startarrowlength="short" endarrowwidth="narrow" endarrowlength="short"/>
              </v:line>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60288" behindDoc="0" locked="0" layoutInCell="1" allowOverlap="1" wp14:anchorId="32003DCE" wp14:editId="4E4FDF47">
                <wp:simplePos x="0" y="0"/>
                <wp:positionH relativeFrom="column">
                  <wp:posOffset>4648200</wp:posOffset>
                </wp:positionH>
                <wp:positionV relativeFrom="paragraph">
                  <wp:posOffset>231140</wp:posOffset>
                </wp:positionV>
                <wp:extent cx="990600" cy="273685"/>
                <wp:effectExtent l="9525" t="12065" r="9525" b="9525"/>
                <wp:wrapNone/>
                <wp:docPr id="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3685"/>
                        </a:xfrm>
                        <a:prstGeom prst="rect">
                          <a:avLst/>
                        </a:prstGeom>
                        <a:solidFill>
                          <a:srgbClr val="FFFFFF"/>
                        </a:solidFill>
                        <a:ln w="3175">
                          <a:solidFill>
                            <a:srgbClr val="000000"/>
                          </a:solidFill>
                          <a:miter lim="800000"/>
                          <a:headEnd/>
                          <a:tailEnd/>
                        </a:ln>
                      </wps:spPr>
                      <wps:txbx>
                        <w:txbxContent>
                          <w:p w14:paraId="773E75CD" w14:textId="77777777" w:rsidR="001933A8" w:rsidRPr="004817A8" w:rsidRDefault="001933A8" w:rsidP="00807992">
                            <w:pPr>
                              <w:spacing w:after="0"/>
                              <w:ind w:firstLine="0"/>
                              <w:jc w:val="center"/>
                              <w:rPr>
                                <w:rFonts w:ascii="Arial Narrow" w:hAnsi="Arial Narrow"/>
                              </w:rPr>
                            </w:pPr>
                            <w:proofErr w:type="spellStart"/>
                            <w:r w:rsidRPr="00F07734">
                              <w:rPr>
                                <w:rFonts w:ascii="Arial Narrow" w:hAnsi="Arial Narrow"/>
                                <w:sz w:val="19"/>
                                <w:szCs w:val="19"/>
                              </w:rPr>
                              <w:t>Comiruña</w:t>
                            </w:r>
                            <w:proofErr w:type="spellEnd"/>
                            <w:r w:rsidRPr="00F07734">
                              <w:rPr>
                                <w:rFonts w:ascii="Arial Narrow" w:hAnsi="Arial Narrow"/>
                                <w:sz w:val="19"/>
                                <w:szCs w:val="19"/>
                              </w:rPr>
                              <w:t xml:space="preserve"> 100%</w:t>
                            </w:r>
                            <w:r w:rsidRPr="004817A8">
                              <w:rPr>
                                <w:rFonts w:ascii="Arial Narrow" w:hAnsi="Arial Narrow"/>
                              </w:rPr>
                              <w:t xml:space="preserve"> </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3DCE" id="Rectangle 72" o:spid="_x0000_s1032" style="position:absolute;left:0;text-align:left;margin-left:366pt;margin-top:18.2pt;width:78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" strokeweight=".25pt">
                <v:textbox inset="1pt,1.4mm,1pt,1pt">
                  <w:txbxContent>
                    <w:p w14:paraId="773E75CD" w14:textId="77777777" w:rsidR="001933A8" w:rsidRPr="004817A8" w:rsidRDefault="001933A8" w:rsidP="00807992">
                      <w:pPr>
                        <w:spacing w:after="0"/>
                        <w:ind w:firstLine="0"/>
                        <w:jc w:val="center"/>
                        <w:rPr>
                          <w:rFonts w:ascii="Arial Narrow" w:hAnsi="Arial Narrow"/>
                        </w:rPr>
                      </w:pPr>
                      <w:proofErr w:type="spellStart"/>
                      <w:r w:rsidRPr="00F07734">
                        <w:rPr>
                          <w:rFonts w:ascii="Arial Narrow" w:hAnsi="Arial Narrow"/>
                          <w:sz w:val="19"/>
                          <w:szCs w:val="19"/>
                        </w:rPr>
                        <w:t>Comiruña</w:t>
                      </w:r>
                      <w:proofErr w:type="spellEnd"/>
                      <w:r w:rsidRPr="00F07734">
                        <w:rPr>
                          <w:rFonts w:ascii="Arial Narrow" w:hAnsi="Arial Narrow"/>
                          <w:sz w:val="19"/>
                          <w:szCs w:val="19"/>
                        </w:rPr>
                        <w:t xml:space="preserve"> 100%</w:t>
                      </w:r>
                      <w:r w:rsidRPr="004817A8">
                        <w:rPr>
                          <w:rFonts w:ascii="Arial Narrow" w:hAnsi="Arial Narrow"/>
                        </w:rPr>
                        <w:t xml:space="preserve"> </w:t>
                      </w:r>
                    </w:p>
                  </w:txbxContent>
                </v:textbox>
              </v:rect>
            </w:pict>
          </mc:Fallback>
        </mc:AlternateContent>
      </w:r>
    </w:p>
    <w:p w14:paraId="67B2C536" w14:textId="77777777" w:rsidR="00807992" w:rsidRPr="00667DFF" w:rsidRDefault="001E5A4C"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Pr>
          <w:rFonts w:ascii="Arial" w:eastAsia="Calibri" w:hAnsi="Arial" w:cs="Arial"/>
          <w:noProof/>
          <w:sz w:val="24"/>
          <w:lang w:val="es-ES" w:eastAsia="es-ES"/>
        </w:rPr>
        <mc:AlternateContent>
          <mc:Choice Requires="wps">
            <w:drawing>
              <wp:anchor distT="0" distB="0" distL="114300" distR="114300" simplePos="0" relativeHeight="251717120" behindDoc="0" locked="0" layoutInCell="1" allowOverlap="1" wp14:anchorId="69357FA8" wp14:editId="446F3A34">
                <wp:simplePos x="0" y="0"/>
                <wp:positionH relativeFrom="column">
                  <wp:posOffset>4461510</wp:posOffset>
                </wp:positionH>
                <wp:positionV relativeFrom="paragraph">
                  <wp:posOffset>91440</wp:posOffset>
                </wp:positionV>
                <wp:extent cx="209550" cy="0"/>
                <wp:effectExtent l="0" t="0" r="19050" b="19050"/>
                <wp:wrapNone/>
                <wp:docPr id="33" name="Conector recto 33"/>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FD10D" id="Conector recto 33"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351.3pt,7.2pt" to="367.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" strokecolor="black [3040]"/>
            </w:pict>
          </mc:Fallback>
        </mc:AlternateContent>
      </w:r>
      <w:r w:rsidR="006E19AB" w:rsidRPr="00667DFF">
        <w:rPr>
          <w:rFonts w:ascii="Arial" w:eastAsia="Calibri" w:hAnsi="Arial" w:cs="Arial"/>
          <w:noProof/>
          <w:sz w:val="24"/>
          <w:lang w:val="es-ES" w:eastAsia="es-ES"/>
        </w:rPr>
        <mc:AlternateContent>
          <mc:Choice Requires="wps">
            <w:drawing>
              <wp:anchor distT="0" distB="0" distL="114300" distR="114300" simplePos="0" relativeHeight="251675648" behindDoc="0" locked="0" layoutInCell="1" allowOverlap="1" wp14:anchorId="7A18C57D" wp14:editId="235D3C21">
                <wp:simplePos x="0" y="0"/>
                <wp:positionH relativeFrom="column">
                  <wp:posOffset>-443865</wp:posOffset>
                </wp:positionH>
                <wp:positionV relativeFrom="paragraph">
                  <wp:posOffset>100965</wp:posOffset>
                </wp:positionV>
                <wp:extent cx="931545" cy="485775"/>
                <wp:effectExtent l="0" t="0" r="20955" b="28575"/>
                <wp:wrapNone/>
                <wp:docPr id="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485775"/>
                        </a:xfrm>
                        <a:prstGeom prst="rect">
                          <a:avLst/>
                        </a:prstGeom>
                        <a:solidFill>
                          <a:srgbClr val="FFFFFF"/>
                        </a:solidFill>
                        <a:ln w="3175">
                          <a:solidFill>
                            <a:srgbClr val="000000"/>
                          </a:solidFill>
                          <a:miter lim="800000"/>
                          <a:headEnd/>
                          <a:tailEnd/>
                        </a:ln>
                      </wps:spPr>
                      <wps:txbx>
                        <w:txbxContent>
                          <w:p w14:paraId="7D92C14D" w14:textId="77777777" w:rsidR="001933A8" w:rsidRPr="00F64422" w:rsidRDefault="001933A8" w:rsidP="00807992">
                            <w:pPr>
                              <w:spacing w:before="60" w:after="80"/>
                              <w:ind w:firstLine="0"/>
                              <w:jc w:val="center"/>
                              <w:rPr>
                                <w:rFonts w:ascii="Arial" w:hAnsi="Arial" w:cs="Arial"/>
                                <w:sz w:val="16"/>
                                <w:szCs w:val="16"/>
                              </w:rPr>
                            </w:pPr>
                            <w:r>
                              <w:rPr>
                                <w:rFonts w:ascii="Arial Narrow" w:hAnsi="Arial Narrow"/>
                                <w:sz w:val="18"/>
                                <w:szCs w:val="18"/>
                              </w:rPr>
                              <w:t xml:space="preserve"> </w:t>
                            </w:r>
                            <w:r w:rsidRPr="00FF3F32">
                              <w:rPr>
                                <w:rFonts w:ascii="Arial Narrow" w:hAnsi="Arial Narrow"/>
                                <w:sz w:val="17"/>
                                <w:szCs w:val="17"/>
                              </w:rPr>
                              <w:t>Gobierno Estratégico, Comercio y Turismo</w:t>
                            </w:r>
                          </w:p>
                          <w:p w14:paraId="020E962C" w14:textId="77777777" w:rsidR="001933A8" w:rsidRPr="002D442C" w:rsidRDefault="001933A8" w:rsidP="00807992">
                            <w:pPr>
                              <w:spacing w:before="20" w:after="80"/>
                              <w:ind w:firstLine="0"/>
                              <w:jc w:val="center"/>
                              <w:rPr>
                                <w:rFonts w:ascii="Arial Narrow" w:hAnsi="Arial Narrow"/>
                                <w:sz w:val="18"/>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8C57D" id="Rectangle 90" o:spid="_x0000_s1033" style="position:absolute;left:0;text-align:left;margin-left:-34.95pt;margin-top:7.95pt;width:73.3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" strokeweight=".25pt">
                <v:textbox inset="1pt,1.4mm,1pt,1pt">
                  <w:txbxContent>
                    <w:p w14:paraId="7D92C14D" w14:textId="77777777" w:rsidR="001933A8" w:rsidRPr="00F64422" w:rsidRDefault="001933A8" w:rsidP="00807992">
                      <w:pPr>
                        <w:spacing w:before="60" w:after="80"/>
                        <w:ind w:firstLine="0"/>
                        <w:jc w:val="center"/>
                        <w:rPr>
                          <w:rFonts w:ascii="Arial" w:hAnsi="Arial" w:cs="Arial"/>
                          <w:sz w:val="16"/>
                          <w:szCs w:val="16"/>
                        </w:rPr>
                      </w:pPr>
                      <w:r>
                        <w:rPr>
                          <w:rFonts w:ascii="Arial Narrow" w:hAnsi="Arial Narrow"/>
                          <w:sz w:val="18"/>
                          <w:szCs w:val="18"/>
                        </w:rPr>
                        <w:t xml:space="preserve"> </w:t>
                      </w:r>
                      <w:r w:rsidRPr="00FF3F32">
                        <w:rPr>
                          <w:rFonts w:ascii="Arial Narrow" w:hAnsi="Arial Narrow"/>
                          <w:sz w:val="17"/>
                          <w:szCs w:val="17"/>
                        </w:rPr>
                        <w:t>Gobierno Estratégico, Comercio y Turismo</w:t>
                      </w:r>
                    </w:p>
                    <w:p w14:paraId="020E962C" w14:textId="77777777" w:rsidR="001933A8" w:rsidRPr="002D442C" w:rsidRDefault="001933A8" w:rsidP="00807992">
                      <w:pPr>
                        <w:spacing w:before="20" w:after="80"/>
                        <w:ind w:firstLine="0"/>
                        <w:jc w:val="center"/>
                        <w:rPr>
                          <w:rFonts w:ascii="Arial Narrow" w:hAnsi="Arial Narrow"/>
                          <w:sz w:val="18"/>
                          <w:szCs w:val="18"/>
                        </w:rPr>
                      </w:pPr>
                    </w:p>
                  </w:txbxContent>
                </v:textbox>
              </v:rect>
            </w:pict>
          </mc:Fallback>
        </mc:AlternateContent>
      </w:r>
      <w:r w:rsidR="00D542B5" w:rsidRPr="00667DFF">
        <w:rPr>
          <w:rFonts w:ascii="Arial" w:eastAsia="Calibri" w:hAnsi="Arial" w:cs="Arial"/>
          <w:noProof/>
          <w:sz w:val="24"/>
          <w:lang w:val="es-ES" w:eastAsia="es-ES"/>
        </w:rPr>
        <mc:AlternateContent>
          <mc:Choice Requires="wps">
            <w:drawing>
              <wp:anchor distT="0" distB="0" distL="114300" distR="114300" simplePos="0" relativeHeight="251655168" behindDoc="0" locked="0" layoutInCell="1" allowOverlap="1" wp14:anchorId="4AD8913C" wp14:editId="71487D11">
                <wp:simplePos x="0" y="0"/>
                <wp:positionH relativeFrom="margin">
                  <wp:align>right</wp:align>
                </wp:positionH>
                <wp:positionV relativeFrom="paragraph">
                  <wp:posOffset>62865</wp:posOffset>
                </wp:positionV>
                <wp:extent cx="1381125" cy="268605"/>
                <wp:effectExtent l="0" t="0" r="28575" b="17145"/>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68605"/>
                        </a:xfrm>
                        <a:prstGeom prst="rect">
                          <a:avLst/>
                        </a:prstGeom>
                        <a:solidFill>
                          <a:srgbClr val="FFFFFF"/>
                        </a:solidFill>
                        <a:ln w="3175">
                          <a:solidFill>
                            <a:srgbClr val="000000"/>
                          </a:solidFill>
                          <a:miter lim="800000"/>
                          <a:headEnd/>
                          <a:tailEnd/>
                        </a:ln>
                      </wps:spPr>
                      <wps:txbx>
                        <w:txbxContent>
                          <w:p w14:paraId="17E52308" w14:textId="77777777" w:rsidR="001933A8" w:rsidRPr="00334673" w:rsidRDefault="001933A8" w:rsidP="00807992">
                            <w:pPr>
                              <w:spacing w:after="0"/>
                              <w:ind w:firstLine="0"/>
                              <w:jc w:val="center"/>
                              <w:rPr>
                                <w:rFonts w:ascii="Arial Narrow" w:hAnsi="Arial Narrow"/>
                              </w:rPr>
                            </w:pPr>
                            <w:r w:rsidRPr="00334673">
                              <w:rPr>
                                <w:rFonts w:ascii="Arial Narrow" w:hAnsi="Arial Narrow"/>
                              </w:rPr>
                              <w:t>Teatro Gayarre</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913C" id="Rectangle 66" o:spid="_x0000_s1034" style="position:absolute;left:0;text-align:left;margin-left:57.55pt;margin-top:4.95pt;width:108.75pt;height:21.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" strokeweight=".25pt">
                <v:textbox inset="1pt,1.4mm,1pt,1pt">
                  <w:txbxContent>
                    <w:p w14:paraId="17E52308" w14:textId="77777777" w:rsidR="001933A8" w:rsidRPr="00334673" w:rsidRDefault="001933A8" w:rsidP="00807992">
                      <w:pPr>
                        <w:spacing w:after="0"/>
                        <w:ind w:firstLine="0"/>
                        <w:jc w:val="center"/>
                        <w:rPr>
                          <w:rFonts w:ascii="Arial Narrow" w:hAnsi="Arial Narrow"/>
                        </w:rPr>
                      </w:pPr>
                      <w:r w:rsidRPr="00334673">
                        <w:rPr>
                          <w:rFonts w:ascii="Arial Narrow" w:hAnsi="Arial Narrow"/>
                        </w:rPr>
                        <w:t>Teatro Gayarre</w:t>
                      </w:r>
                    </w:p>
                  </w:txbxContent>
                </v:textbox>
                <w10:wrap anchorx="margin"/>
              </v:rect>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76672" behindDoc="0" locked="0" layoutInCell="1" allowOverlap="1" wp14:anchorId="04F2DFF4" wp14:editId="748640F8">
                <wp:simplePos x="0" y="0"/>
                <wp:positionH relativeFrom="column">
                  <wp:posOffset>918210</wp:posOffset>
                </wp:positionH>
                <wp:positionV relativeFrom="paragraph">
                  <wp:posOffset>73025</wp:posOffset>
                </wp:positionV>
                <wp:extent cx="1047750" cy="371475"/>
                <wp:effectExtent l="0" t="0" r="19050" b="28575"/>
                <wp:wrapNone/>
                <wp:docPr id="9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71475"/>
                        </a:xfrm>
                        <a:prstGeom prst="rect">
                          <a:avLst/>
                        </a:prstGeom>
                        <a:solidFill>
                          <a:srgbClr val="FFFFFF"/>
                        </a:solidFill>
                        <a:ln w="3175">
                          <a:solidFill>
                            <a:srgbClr val="000000"/>
                          </a:solidFill>
                          <a:miter lim="800000"/>
                          <a:headEnd/>
                          <a:tailEnd/>
                        </a:ln>
                      </wps:spPr>
                      <wps:txbx>
                        <w:txbxContent>
                          <w:p w14:paraId="0A810900" w14:textId="77777777" w:rsidR="001933A8" w:rsidRPr="00590E8E" w:rsidRDefault="001933A8" w:rsidP="00807992">
                            <w:pPr>
                              <w:spacing w:before="60" w:after="80"/>
                              <w:ind w:firstLine="0"/>
                              <w:jc w:val="center"/>
                              <w:rPr>
                                <w:rFonts w:ascii="Arial Narrow" w:hAnsi="Arial Narrow"/>
                                <w:sz w:val="18"/>
                                <w:szCs w:val="18"/>
                              </w:rPr>
                            </w:pPr>
                            <w:r>
                              <w:rPr>
                                <w:rFonts w:ascii="Arial Narrow" w:hAnsi="Arial Narrow"/>
                                <w:sz w:val="18"/>
                                <w:szCs w:val="18"/>
                              </w:rPr>
                              <w:t>Seguridad Ciudadana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2DFF4" id="_x0000_s1035" style="position:absolute;left:0;text-align:left;margin-left:72.3pt;margin-top:5.75pt;width:8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" strokeweight=".25pt">
                <v:textbox inset="1pt,1.4mm,1pt,1pt">
                  <w:txbxContent>
                    <w:p w14:paraId="0A810900" w14:textId="77777777" w:rsidR="001933A8" w:rsidRPr="00590E8E" w:rsidRDefault="001933A8" w:rsidP="00807992">
                      <w:pPr>
                        <w:spacing w:before="60" w:after="80"/>
                        <w:ind w:firstLine="0"/>
                        <w:jc w:val="center"/>
                        <w:rPr>
                          <w:rFonts w:ascii="Arial Narrow" w:hAnsi="Arial Narrow"/>
                          <w:sz w:val="18"/>
                          <w:szCs w:val="18"/>
                        </w:rPr>
                      </w:pPr>
                      <w:r>
                        <w:rPr>
                          <w:rFonts w:ascii="Arial Narrow" w:hAnsi="Arial Narrow"/>
                          <w:sz w:val="18"/>
                          <w:szCs w:val="18"/>
                        </w:rPr>
                        <w:t>Seguridad Ciudadana</w:t>
                      </w:r>
                    </w:p>
                  </w:txbxContent>
                </v:textbox>
              </v:rect>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44928" behindDoc="0" locked="0" layoutInCell="1" allowOverlap="1" wp14:anchorId="5D77662C" wp14:editId="48979E65">
                <wp:simplePos x="0" y="0"/>
                <wp:positionH relativeFrom="column">
                  <wp:posOffset>2225040</wp:posOffset>
                </wp:positionH>
                <wp:positionV relativeFrom="paragraph">
                  <wp:posOffset>182245</wp:posOffset>
                </wp:positionV>
                <wp:extent cx="1440180" cy="266700"/>
                <wp:effectExtent l="5715" t="10795" r="11430" b="8255"/>
                <wp:wrapNone/>
                <wp:docPr id="1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66700"/>
                        </a:xfrm>
                        <a:prstGeom prst="rect">
                          <a:avLst/>
                        </a:prstGeom>
                        <a:solidFill>
                          <a:srgbClr val="FFFFFF"/>
                        </a:solidFill>
                        <a:ln w="3175">
                          <a:solidFill>
                            <a:srgbClr val="000000"/>
                          </a:solidFill>
                          <a:miter lim="800000"/>
                          <a:headEnd/>
                          <a:tailEnd/>
                        </a:ln>
                      </wps:spPr>
                      <wps:txbx>
                        <w:txbxContent>
                          <w:p w14:paraId="0BF28A1B" w14:textId="77777777" w:rsidR="001933A8" w:rsidRPr="00334673" w:rsidRDefault="001933A8" w:rsidP="00807992">
                            <w:pPr>
                              <w:spacing w:after="0"/>
                              <w:ind w:firstLine="0"/>
                              <w:jc w:val="center"/>
                              <w:rPr>
                                <w:rFonts w:ascii="Arial Narrow" w:hAnsi="Arial Narrow"/>
                              </w:rPr>
                            </w:pPr>
                            <w:r w:rsidRPr="00334673">
                              <w:rPr>
                                <w:rFonts w:ascii="Arial Narrow" w:hAnsi="Arial Narrow"/>
                              </w:rPr>
                              <w:t>Organismos Autónomos</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7662C" id="Rectangle 57" o:spid="_x0000_s1036" style="position:absolute;left:0;text-align:left;margin-left:175.2pt;margin-top:14.35pt;width:113.4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" strokeweight=".25pt">
                <v:textbox inset="1pt,1.4mm,1pt,1pt">
                  <w:txbxContent>
                    <w:p w14:paraId="0BF28A1B" w14:textId="77777777" w:rsidR="001933A8" w:rsidRPr="00334673" w:rsidRDefault="001933A8" w:rsidP="00807992">
                      <w:pPr>
                        <w:spacing w:after="0"/>
                        <w:ind w:firstLine="0"/>
                        <w:jc w:val="center"/>
                        <w:rPr>
                          <w:rFonts w:ascii="Arial Narrow" w:hAnsi="Arial Narrow"/>
                        </w:rPr>
                      </w:pPr>
                      <w:r w:rsidRPr="00334673">
                        <w:rPr>
                          <w:rFonts w:ascii="Arial Narrow" w:hAnsi="Arial Narrow"/>
                        </w:rPr>
                        <w:t>Organismos Autónomos</w:t>
                      </w:r>
                    </w:p>
                  </w:txbxContent>
                </v:textbox>
              </v:rect>
            </w:pict>
          </mc:Fallback>
        </mc:AlternateContent>
      </w:r>
    </w:p>
    <w:p w14:paraId="5044A91E" w14:textId="77777777" w:rsidR="00807992" w:rsidRPr="00667DFF" w:rsidRDefault="00807992"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61312" behindDoc="0" locked="0" layoutInCell="1" allowOverlap="1" wp14:anchorId="7BA45E8E" wp14:editId="6BCC73EE">
                <wp:simplePos x="0" y="0"/>
                <wp:positionH relativeFrom="column">
                  <wp:posOffset>4703717</wp:posOffset>
                </wp:positionH>
                <wp:positionV relativeFrom="paragraph">
                  <wp:posOffset>75110</wp:posOffset>
                </wp:positionV>
                <wp:extent cx="942975" cy="415637"/>
                <wp:effectExtent l="0" t="0" r="28575" b="22860"/>
                <wp:wrapNone/>
                <wp:docPr id="10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15637"/>
                        </a:xfrm>
                        <a:prstGeom prst="rect">
                          <a:avLst/>
                        </a:prstGeom>
                        <a:solidFill>
                          <a:srgbClr val="FFFFFF"/>
                        </a:solidFill>
                        <a:ln w="3175">
                          <a:solidFill>
                            <a:srgbClr val="000000"/>
                          </a:solidFill>
                          <a:miter lim="800000"/>
                          <a:headEnd/>
                          <a:tailEnd/>
                        </a:ln>
                      </wps:spPr>
                      <wps:txbx>
                        <w:txbxContent>
                          <w:p w14:paraId="5658825A" w14:textId="77777777" w:rsidR="001933A8" w:rsidRDefault="001933A8" w:rsidP="00807992">
                            <w:pPr>
                              <w:spacing w:before="20" w:after="0"/>
                              <w:ind w:firstLine="0"/>
                              <w:jc w:val="center"/>
                              <w:rPr>
                                <w:rFonts w:ascii="Arial Narrow" w:hAnsi="Arial Narrow"/>
                                <w:sz w:val="19"/>
                                <w:szCs w:val="19"/>
                              </w:rPr>
                            </w:pPr>
                            <w:r>
                              <w:rPr>
                                <w:rFonts w:ascii="Arial Narrow" w:hAnsi="Arial Narrow"/>
                                <w:sz w:val="19"/>
                                <w:szCs w:val="19"/>
                              </w:rPr>
                              <w:t>Servicio atención domicilio 100%</w:t>
                            </w:r>
                          </w:p>
                          <w:p w14:paraId="1C8D91E3" w14:textId="77777777" w:rsidR="001933A8" w:rsidRPr="00BD1555" w:rsidRDefault="001933A8" w:rsidP="00807992">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45E8E" id="Rectangle 73" o:spid="_x0000_s1037" style="position:absolute;left:0;text-align:left;margin-left:370.35pt;margin-top:5.9pt;width:74.25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" strokeweight=".25pt">
                <v:textbox inset="1pt,1.4mm,1pt,1pt">
                  <w:txbxContent>
                    <w:p w14:paraId="5658825A" w14:textId="77777777" w:rsidR="001933A8" w:rsidRDefault="001933A8" w:rsidP="00807992">
                      <w:pPr>
                        <w:spacing w:before="20" w:after="0"/>
                        <w:ind w:firstLine="0"/>
                        <w:jc w:val="center"/>
                        <w:rPr>
                          <w:rFonts w:ascii="Arial Narrow" w:hAnsi="Arial Narrow"/>
                          <w:sz w:val="19"/>
                          <w:szCs w:val="19"/>
                        </w:rPr>
                      </w:pPr>
                      <w:r>
                        <w:rPr>
                          <w:rFonts w:ascii="Arial Narrow" w:hAnsi="Arial Narrow"/>
                          <w:sz w:val="19"/>
                          <w:szCs w:val="19"/>
                        </w:rPr>
                        <w:t>Servicio atención domicilio 100%</w:t>
                      </w:r>
                    </w:p>
                    <w:p w14:paraId="1C8D91E3" w14:textId="77777777" w:rsidR="001933A8" w:rsidRPr="00BD1555" w:rsidRDefault="001933A8" w:rsidP="00807992">
                      <w:pPr>
                        <w:rPr>
                          <w:szCs w:val="18"/>
                        </w:rPr>
                      </w:pPr>
                    </w:p>
                  </w:txbxContent>
                </v:textbox>
              </v:rec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66432" behindDoc="0" locked="0" layoutInCell="1" allowOverlap="1" wp14:anchorId="1D886587" wp14:editId="14ABAD75">
                <wp:simplePos x="0" y="0"/>
                <wp:positionH relativeFrom="column">
                  <wp:posOffset>495300</wp:posOffset>
                </wp:positionH>
                <wp:positionV relativeFrom="paragraph">
                  <wp:posOffset>16510</wp:posOffset>
                </wp:positionV>
                <wp:extent cx="434340" cy="3175"/>
                <wp:effectExtent l="9525" t="6985" r="13335" b="8890"/>
                <wp:wrapNone/>
                <wp:docPr id="10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D75D6" id="Line 7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3pt" to="7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" strokeweight=".5p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36736" behindDoc="0" locked="0" layoutInCell="1" allowOverlap="1" wp14:anchorId="192A2AF0" wp14:editId="01BDECF8">
                <wp:simplePos x="0" y="0"/>
                <wp:positionH relativeFrom="column">
                  <wp:posOffset>2514600</wp:posOffset>
                </wp:positionH>
                <wp:positionV relativeFrom="paragraph">
                  <wp:posOffset>16510</wp:posOffset>
                </wp:positionV>
                <wp:extent cx="5080" cy="589280"/>
                <wp:effectExtent l="9525" t="6985" r="13970" b="13335"/>
                <wp:wrapNone/>
                <wp:docPr id="10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8928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9DF15" id="Line 4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pt" to="198.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" strokeweight=".5pt">
                <v:stroke startarrowwidth="narrow" startarrowlength="short" endarrowwidth="narrow" endarrowlength="short"/>
              </v:line>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37760" behindDoc="0" locked="0" layoutInCell="1" allowOverlap="1" wp14:anchorId="6E3886E9" wp14:editId="099C87EB">
                <wp:simplePos x="0" y="0"/>
                <wp:positionH relativeFrom="column">
                  <wp:posOffset>3378835</wp:posOffset>
                </wp:positionH>
                <wp:positionV relativeFrom="paragraph">
                  <wp:posOffset>95250</wp:posOffset>
                </wp:positionV>
                <wp:extent cx="4445" cy="517525"/>
                <wp:effectExtent l="6985" t="9525" r="7620" b="6350"/>
                <wp:wrapNone/>
                <wp:docPr id="10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51752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A1946" id="Line 50"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05pt,7.5pt" to="266.4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" strokeweight=".5pt">
                <v:stroke startarrowwidth="narrow" startarrowlength="short" endarrowwidth="narrow" endarrowlength="short"/>
              </v:line>
            </w:pict>
          </mc:Fallback>
        </mc:AlternateContent>
      </w:r>
    </w:p>
    <w:p w14:paraId="7518D171" w14:textId="77777777" w:rsidR="00807992" w:rsidRPr="00667DFF" w:rsidRDefault="001E5A4C"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Pr>
          <w:rFonts w:ascii="Arial" w:eastAsia="Calibri" w:hAnsi="Arial" w:cs="Arial"/>
          <w:noProof/>
          <w:sz w:val="24"/>
          <w:lang w:val="es-ES" w:eastAsia="es-ES"/>
        </w:rPr>
        <mc:AlternateContent>
          <mc:Choice Requires="wps">
            <w:drawing>
              <wp:anchor distT="0" distB="0" distL="114300" distR="114300" simplePos="0" relativeHeight="251718144" behindDoc="0" locked="0" layoutInCell="1" allowOverlap="1" wp14:anchorId="551702BC" wp14:editId="6ED0C142">
                <wp:simplePos x="0" y="0"/>
                <wp:positionH relativeFrom="column">
                  <wp:posOffset>4451985</wp:posOffset>
                </wp:positionH>
                <wp:positionV relativeFrom="paragraph">
                  <wp:posOffset>58420</wp:posOffset>
                </wp:positionV>
                <wp:extent cx="257175" cy="0"/>
                <wp:effectExtent l="0" t="0" r="28575" b="19050"/>
                <wp:wrapNone/>
                <wp:docPr id="36" name="Conector recto 36"/>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B1F1B" id="Conector recto 36"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350.55pt,4.6pt" to="370.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" strokecolor="black [3040]"/>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73600" behindDoc="0" locked="0" layoutInCell="1" allowOverlap="1" wp14:anchorId="5992EE72" wp14:editId="74D273C9">
                <wp:simplePos x="0" y="0"/>
                <wp:positionH relativeFrom="column">
                  <wp:posOffset>-472440</wp:posOffset>
                </wp:positionH>
                <wp:positionV relativeFrom="paragraph">
                  <wp:posOffset>144145</wp:posOffset>
                </wp:positionV>
                <wp:extent cx="967105" cy="542925"/>
                <wp:effectExtent l="0" t="0" r="23495" b="28575"/>
                <wp:wrapNone/>
                <wp:docPr id="10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542925"/>
                        </a:xfrm>
                        <a:prstGeom prst="rect">
                          <a:avLst/>
                        </a:prstGeom>
                        <a:solidFill>
                          <a:srgbClr val="FFFFFF"/>
                        </a:solidFill>
                        <a:ln w="3175">
                          <a:solidFill>
                            <a:srgbClr val="000000"/>
                          </a:solidFill>
                          <a:miter lim="800000"/>
                          <a:headEnd/>
                          <a:tailEnd/>
                        </a:ln>
                      </wps:spPr>
                      <wps:txbx>
                        <w:txbxContent>
                          <w:p w14:paraId="08DA9F7A" w14:textId="77777777" w:rsidR="001933A8" w:rsidRDefault="001933A8" w:rsidP="006E19AB">
                            <w:pPr>
                              <w:spacing w:after="0"/>
                              <w:ind w:firstLine="0"/>
                              <w:jc w:val="center"/>
                              <w:rPr>
                                <w:rFonts w:ascii="Arial Narrow" w:hAnsi="Arial Narrow"/>
                                <w:sz w:val="17"/>
                                <w:szCs w:val="17"/>
                              </w:rPr>
                            </w:pPr>
                            <w:r>
                              <w:rPr>
                                <w:rFonts w:ascii="Arial Narrow" w:hAnsi="Arial Narrow"/>
                                <w:sz w:val="17"/>
                                <w:szCs w:val="17"/>
                              </w:rPr>
                              <w:t xml:space="preserve">Educación, Participación ciudadana y </w:t>
                            </w:r>
                          </w:p>
                          <w:p w14:paraId="4624BA00" w14:textId="77777777" w:rsidR="001933A8" w:rsidRPr="00D93672" w:rsidRDefault="001933A8" w:rsidP="006E19AB">
                            <w:pPr>
                              <w:spacing w:after="0"/>
                              <w:ind w:firstLine="0"/>
                              <w:jc w:val="center"/>
                              <w:rPr>
                                <w:rFonts w:ascii="Arial Narrow" w:hAnsi="Arial Narrow"/>
                                <w:sz w:val="17"/>
                                <w:szCs w:val="17"/>
                              </w:rPr>
                            </w:pPr>
                            <w:r>
                              <w:rPr>
                                <w:rFonts w:ascii="Arial Narrow" w:hAnsi="Arial Narrow"/>
                                <w:sz w:val="17"/>
                                <w:szCs w:val="17"/>
                              </w:rPr>
                              <w:t>Juventud</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EE72" id="Rectangle 88" o:spid="_x0000_s1038" style="position:absolute;left:0;text-align:left;margin-left:-37.2pt;margin-top:11.35pt;width:76.1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" strokeweight=".25pt">
                <v:textbox inset="1pt,1.4mm,1pt,1pt">
                  <w:txbxContent>
                    <w:p w14:paraId="08DA9F7A" w14:textId="77777777" w:rsidR="001933A8" w:rsidRDefault="001933A8" w:rsidP="006E19AB">
                      <w:pPr>
                        <w:spacing w:after="0"/>
                        <w:ind w:firstLine="0"/>
                        <w:jc w:val="center"/>
                        <w:rPr>
                          <w:rFonts w:ascii="Arial Narrow" w:hAnsi="Arial Narrow"/>
                          <w:sz w:val="17"/>
                          <w:szCs w:val="17"/>
                        </w:rPr>
                      </w:pPr>
                      <w:r>
                        <w:rPr>
                          <w:rFonts w:ascii="Arial Narrow" w:hAnsi="Arial Narrow"/>
                          <w:sz w:val="17"/>
                          <w:szCs w:val="17"/>
                        </w:rPr>
                        <w:t xml:space="preserve">Educación, Participación ciudadana y </w:t>
                      </w:r>
                    </w:p>
                    <w:p w14:paraId="4624BA00" w14:textId="77777777" w:rsidR="001933A8" w:rsidRPr="00D93672" w:rsidRDefault="001933A8" w:rsidP="006E19AB">
                      <w:pPr>
                        <w:spacing w:after="0"/>
                        <w:ind w:firstLine="0"/>
                        <w:jc w:val="center"/>
                        <w:rPr>
                          <w:rFonts w:ascii="Arial Narrow" w:hAnsi="Arial Narrow"/>
                          <w:sz w:val="17"/>
                          <w:szCs w:val="17"/>
                        </w:rPr>
                      </w:pPr>
                      <w:r>
                        <w:rPr>
                          <w:rFonts w:ascii="Arial Narrow" w:hAnsi="Arial Narrow"/>
                          <w:sz w:val="17"/>
                          <w:szCs w:val="17"/>
                        </w:rPr>
                        <w:t>Juventud</w:t>
                      </w:r>
                    </w:p>
                  </w:txbxContent>
                </v:textbox>
              </v:rect>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74624" behindDoc="0" locked="0" layoutInCell="1" allowOverlap="1" wp14:anchorId="48B0E732" wp14:editId="45A248B3">
                <wp:simplePos x="0" y="0"/>
                <wp:positionH relativeFrom="column">
                  <wp:posOffset>918210</wp:posOffset>
                </wp:positionH>
                <wp:positionV relativeFrom="paragraph">
                  <wp:posOffset>158115</wp:posOffset>
                </wp:positionV>
                <wp:extent cx="981075" cy="374650"/>
                <wp:effectExtent l="0" t="0" r="28575" b="25400"/>
                <wp:wrapNone/>
                <wp:docPr id="1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74650"/>
                        </a:xfrm>
                        <a:prstGeom prst="rect">
                          <a:avLst/>
                        </a:prstGeom>
                        <a:solidFill>
                          <a:srgbClr val="FFFFFF"/>
                        </a:solidFill>
                        <a:ln w="3175">
                          <a:solidFill>
                            <a:srgbClr val="000000"/>
                          </a:solidFill>
                          <a:miter lim="800000"/>
                          <a:headEnd/>
                          <a:tailEnd/>
                        </a:ln>
                      </wps:spPr>
                      <wps:txbx>
                        <w:txbxContent>
                          <w:p w14:paraId="4E247E0B" w14:textId="77777777" w:rsidR="001933A8" w:rsidRPr="002D442C" w:rsidRDefault="001933A8" w:rsidP="00807992">
                            <w:pPr>
                              <w:spacing w:before="80" w:after="60"/>
                              <w:ind w:firstLine="0"/>
                              <w:jc w:val="center"/>
                              <w:rPr>
                                <w:szCs w:val="18"/>
                              </w:rPr>
                            </w:pPr>
                            <w:r>
                              <w:rPr>
                                <w:rFonts w:ascii="Arial Narrow" w:hAnsi="Arial Narrow"/>
                                <w:sz w:val="18"/>
                                <w:szCs w:val="18"/>
                              </w:rPr>
                              <w:t>Servicios generales</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0E732" id="Rectangle 89" o:spid="_x0000_s1039" style="position:absolute;left:0;text-align:left;margin-left:72.3pt;margin-top:12.45pt;width:77.25pt;height: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" strokeweight=".25pt">
                <v:textbox inset="1pt,1.4mm,1pt,1pt">
                  <w:txbxContent>
                    <w:p w14:paraId="4E247E0B" w14:textId="77777777" w:rsidR="001933A8" w:rsidRPr="002D442C" w:rsidRDefault="001933A8" w:rsidP="00807992">
                      <w:pPr>
                        <w:spacing w:before="80" w:after="60"/>
                        <w:ind w:firstLine="0"/>
                        <w:jc w:val="center"/>
                        <w:rPr>
                          <w:szCs w:val="18"/>
                        </w:rPr>
                      </w:pPr>
                      <w:r>
                        <w:rPr>
                          <w:rFonts w:ascii="Arial Narrow" w:hAnsi="Arial Narrow"/>
                          <w:sz w:val="18"/>
                          <w:szCs w:val="18"/>
                        </w:rPr>
                        <w:t>Servicios generales</w:t>
                      </w:r>
                    </w:p>
                  </w:txbxContent>
                </v:textbox>
              </v:rect>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42880" behindDoc="0" locked="0" layoutInCell="1" allowOverlap="1" wp14:anchorId="7DCBC534" wp14:editId="0D59555A">
                <wp:simplePos x="0" y="0"/>
                <wp:positionH relativeFrom="column">
                  <wp:posOffset>2131695</wp:posOffset>
                </wp:positionH>
                <wp:positionV relativeFrom="paragraph">
                  <wp:posOffset>160655</wp:posOffset>
                </wp:positionV>
                <wp:extent cx="704215" cy="419100"/>
                <wp:effectExtent l="7620" t="8255" r="12065" b="10795"/>
                <wp:wrapNone/>
                <wp:docPr id="10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419100"/>
                        </a:xfrm>
                        <a:prstGeom prst="rect">
                          <a:avLst/>
                        </a:prstGeom>
                        <a:solidFill>
                          <a:srgbClr val="FFFFFF"/>
                        </a:solidFill>
                        <a:ln w="3175">
                          <a:solidFill>
                            <a:srgbClr val="000000"/>
                          </a:solidFill>
                          <a:miter lim="800000"/>
                          <a:headEnd/>
                          <a:tailEnd/>
                        </a:ln>
                      </wps:spPr>
                      <wps:txbx>
                        <w:txbxContent>
                          <w:p w14:paraId="64624FA1" w14:textId="77777777" w:rsidR="001933A8" w:rsidRDefault="001933A8" w:rsidP="00807992">
                            <w:pPr>
                              <w:spacing w:before="40" w:after="0"/>
                              <w:ind w:firstLine="0"/>
                              <w:jc w:val="center"/>
                              <w:rPr>
                                <w:rFonts w:ascii="Arial Narrow" w:hAnsi="Arial Narrow"/>
                                <w:sz w:val="18"/>
                                <w:szCs w:val="18"/>
                              </w:rPr>
                            </w:pPr>
                            <w:r w:rsidRPr="00DB3DEE">
                              <w:rPr>
                                <w:rFonts w:ascii="Arial Narrow" w:hAnsi="Arial Narrow"/>
                                <w:sz w:val="18"/>
                                <w:szCs w:val="18"/>
                              </w:rPr>
                              <w:t xml:space="preserve">Gerencia </w:t>
                            </w:r>
                          </w:p>
                          <w:p w14:paraId="2A95ADDA" w14:textId="77777777" w:rsidR="001933A8" w:rsidRPr="00DB3DEE" w:rsidRDefault="001933A8" w:rsidP="00807992">
                            <w:pPr>
                              <w:spacing w:before="40" w:after="0"/>
                              <w:ind w:firstLine="0"/>
                              <w:jc w:val="center"/>
                              <w:rPr>
                                <w:rFonts w:ascii="Arial Narrow" w:hAnsi="Arial Narrow"/>
                                <w:sz w:val="18"/>
                                <w:szCs w:val="18"/>
                              </w:rPr>
                            </w:pPr>
                            <w:r w:rsidRPr="00DB3DEE">
                              <w:rPr>
                                <w:rFonts w:ascii="Arial Narrow" w:hAnsi="Arial Narrow"/>
                                <w:sz w:val="18"/>
                                <w:szCs w:val="18"/>
                              </w:rPr>
                              <w:t>Urbanismo</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BC534" id="Rectangle 55" o:spid="_x0000_s1040" style="position:absolute;left:0;text-align:left;margin-left:167.85pt;margin-top:12.65pt;width:55.45pt;height: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" strokeweight=".25pt">
                <v:textbox inset="1pt,1.4mm,1pt,1pt">
                  <w:txbxContent>
                    <w:p w14:paraId="64624FA1" w14:textId="77777777" w:rsidR="001933A8" w:rsidRDefault="001933A8" w:rsidP="00807992">
                      <w:pPr>
                        <w:spacing w:before="40" w:after="0"/>
                        <w:ind w:firstLine="0"/>
                        <w:jc w:val="center"/>
                        <w:rPr>
                          <w:rFonts w:ascii="Arial Narrow" w:hAnsi="Arial Narrow"/>
                          <w:sz w:val="18"/>
                          <w:szCs w:val="18"/>
                        </w:rPr>
                      </w:pPr>
                      <w:r w:rsidRPr="00DB3DEE">
                        <w:rPr>
                          <w:rFonts w:ascii="Arial Narrow" w:hAnsi="Arial Narrow"/>
                          <w:sz w:val="18"/>
                          <w:szCs w:val="18"/>
                        </w:rPr>
                        <w:t xml:space="preserve">Gerencia </w:t>
                      </w:r>
                    </w:p>
                    <w:p w14:paraId="2A95ADDA" w14:textId="77777777" w:rsidR="001933A8" w:rsidRPr="00DB3DEE" w:rsidRDefault="001933A8" w:rsidP="00807992">
                      <w:pPr>
                        <w:spacing w:before="40" w:after="0"/>
                        <w:ind w:firstLine="0"/>
                        <w:jc w:val="center"/>
                        <w:rPr>
                          <w:rFonts w:ascii="Arial Narrow" w:hAnsi="Arial Narrow"/>
                          <w:sz w:val="18"/>
                          <w:szCs w:val="18"/>
                        </w:rPr>
                      </w:pPr>
                      <w:r w:rsidRPr="00DB3DEE">
                        <w:rPr>
                          <w:rFonts w:ascii="Arial Narrow" w:hAnsi="Arial Narrow"/>
                          <w:sz w:val="18"/>
                          <w:szCs w:val="18"/>
                        </w:rPr>
                        <w:t>Urbanismo</w:t>
                      </w:r>
                    </w:p>
                  </w:txbxContent>
                </v:textbox>
              </v:rect>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56192" behindDoc="0" locked="0" layoutInCell="1" allowOverlap="1" wp14:anchorId="372C221B" wp14:editId="3325396E">
                <wp:simplePos x="0" y="0"/>
                <wp:positionH relativeFrom="column">
                  <wp:posOffset>3032760</wp:posOffset>
                </wp:positionH>
                <wp:positionV relativeFrom="paragraph">
                  <wp:posOffset>172720</wp:posOffset>
                </wp:positionV>
                <wp:extent cx="704215" cy="419100"/>
                <wp:effectExtent l="13335" t="10795" r="6350" b="8255"/>
                <wp:wrapNone/>
                <wp:docPr id="1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419100"/>
                        </a:xfrm>
                        <a:prstGeom prst="rect">
                          <a:avLst/>
                        </a:prstGeom>
                        <a:solidFill>
                          <a:srgbClr val="FFFFFF"/>
                        </a:solidFill>
                        <a:ln w="3175">
                          <a:solidFill>
                            <a:srgbClr val="000000"/>
                          </a:solidFill>
                          <a:miter lim="800000"/>
                          <a:headEnd/>
                          <a:tailEnd/>
                        </a:ln>
                      </wps:spPr>
                      <wps:txbx>
                        <w:txbxContent>
                          <w:p w14:paraId="3FE98D10" w14:textId="77777777" w:rsidR="001933A8" w:rsidRDefault="001933A8" w:rsidP="00807992">
                            <w:pPr>
                              <w:spacing w:before="40" w:after="0"/>
                              <w:ind w:firstLine="0"/>
                              <w:jc w:val="center"/>
                              <w:rPr>
                                <w:rFonts w:ascii="Arial Narrow" w:hAnsi="Arial Narrow"/>
                                <w:sz w:val="18"/>
                                <w:szCs w:val="18"/>
                              </w:rPr>
                            </w:pPr>
                            <w:r w:rsidRPr="00DB3DEE">
                              <w:rPr>
                                <w:rFonts w:ascii="Arial Narrow" w:hAnsi="Arial Narrow"/>
                                <w:sz w:val="18"/>
                                <w:szCs w:val="18"/>
                              </w:rPr>
                              <w:t>Escuelas</w:t>
                            </w:r>
                          </w:p>
                          <w:p w14:paraId="7DD56FA8" w14:textId="77777777" w:rsidR="001933A8" w:rsidRPr="00AC2F47" w:rsidRDefault="001933A8" w:rsidP="00807992">
                            <w:pPr>
                              <w:spacing w:before="40" w:after="0"/>
                              <w:ind w:firstLine="0"/>
                              <w:jc w:val="center"/>
                              <w:rPr>
                                <w:szCs w:val="18"/>
                              </w:rPr>
                            </w:pPr>
                            <w:r>
                              <w:rPr>
                                <w:rFonts w:ascii="Arial Narrow" w:hAnsi="Arial Narrow"/>
                                <w:sz w:val="18"/>
                                <w:szCs w:val="18"/>
                              </w:rPr>
                              <w:t xml:space="preserve"> I</w:t>
                            </w:r>
                            <w:r w:rsidRPr="00DB3DEE">
                              <w:rPr>
                                <w:rFonts w:ascii="Arial Narrow" w:hAnsi="Arial Narrow"/>
                                <w:sz w:val="18"/>
                                <w:szCs w:val="18"/>
                              </w:rPr>
                              <w:t>nfantiles</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C221B" id="Rectangle 67" o:spid="_x0000_s1041" style="position:absolute;left:0;text-align:left;margin-left:238.8pt;margin-top:13.6pt;width:55.4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" strokeweight=".25pt">
                <v:textbox inset="1pt,1.4mm,1pt,1pt">
                  <w:txbxContent>
                    <w:p w14:paraId="3FE98D10" w14:textId="77777777" w:rsidR="001933A8" w:rsidRDefault="001933A8" w:rsidP="00807992">
                      <w:pPr>
                        <w:spacing w:before="40" w:after="0"/>
                        <w:ind w:firstLine="0"/>
                        <w:jc w:val="center"/>
                        <w:rPr>
                          <w:rFonts w:ascii="Arial Narrow" w:hAnsi="Arial Narrow"/>
                          <w:sz w:val="18"/>
                          <w:szCs w:val="18"/>
                        </w:rPr>
                      </w:pPr>
                      <w:r w:rsidRPr="00DB3DEE">
                        <w:rPr>
                          <w:rFonts w:ascii="Arial Narrow" w:hAnsi="Arial Narrow"/>
                          <w:sz w:val="18"/>
                          <w:szCs w:val="18"/>
                        </w:rPr>
                        <w:t>Escuelas</w:t>
                      </w:r>
                    </w:p>
                    <w:p w14:paraId="7DD56FA8" w14:textId="77777777" w:rsidR="001933A8" w:rsidRPr="00AC2F47" w:rsidRDefault="001933A8" w:rsidP="00807992">
                      <w:pPr>
                        <w:spacing w:before="40" w:after="0"/>
                        <w:ind w:firstLine="0"/>
                        <w:jc w:val="center"/>
                        <w:rPr>
                          <w:szCs w:val="18"/>
                        </w:rPr>
                      </w:pPr>
                      <w:r>
                        <w:rPr>
                          <w:rFonts w:ascii="Arial Narrow" w:hAnsi="Arial Narrow"/>
                          <w:sz w:val="18"/>
                          <w:szCs w:val="18"/>
                        </w:rPr>
                        <w:t xml:space="preserve"> I</w:t>
                      </w:r>
                      <w:r w:rsidRPr="00DB3DEE">
                        <w:rPr>
                          <w:rFonts w:ascii="Arial Narrow" w:hAnsi="Arial Narrow"/>
                          <w:sz w:val="18"/>
                          <w:szCs w:val="18"/>
                        </w:rPr>
                        <w:t>nfantiles</w:t>
                      </w:r>
                    </w:p>
                  </w:txbxContent>
                </v:textbox>
              </v:rect>
            </w:pict>
          </mc:Fallback>
        </mc:AlternateContent>
      </w:r>
    </w:p>
    <w:p w14:paraId="5427CB52" w14:textId="77777777" w:rsidR="00807992" w:rsidRPr="00667DFF" w:rsidRDefault="00807992"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67456" behindDoc="0" locked="0" layoutInCell="1" allowOverlap="1" wp14:anchorId="3618FFB6" wp14:editId="7816BF48">
                <wp:simplePos x="0" y="0"/>
                <wp:positionH relativeFrom="column">
                  <wp:posOffset>498558</wp:posOffset>
                </wp:positionH>
                <wp:positionV relativeFrom="paragraph">
                  <wp:posOffset>78436</wp:posOffset>
                </wp:positionV>
                <wp:extent cx="474483" cy="3810"/>
                <wp:effectExtent l="0" t="0" r="20955" b="34290"/>
                <wp:wrapNone/>
                <wp:docPr id="11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483" cy="3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0CE9" id="Line 8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6.2pt" to="7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" strokeweight=".5p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62336" behindDoc="0" locked="0" layoutInCell="1" allowOverlap="1" wp14:anchorId="1BB52904" wp14:editId="0FF33BAC">
                <wp:simplePos x="0" y="0"/>
                <wp:positionH relativeFrom="column">
                  <wp:posOffset>4657145</wp:posOffset>
                </wp:positionH>
                <wp:positionV relativeFrom="paragraph">
                  <wp:posOffset>142047</wp:posOffset>
                </wp:positionV>
                <wp:extent cx="990600" cy="341906"/>
                <wp:effectExtent l="0" t="0" r="19050" b="20320"/>
                <wp:wrapNone/>
                <wp:docPr id="1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1906"/>
                        </a:xfrm>
                        <a:prstGeom prst="rect">
                          <a:avLst/>
                        </a:prstGeom>
                        <a:solidFill>
                          <a:srgbClr val="FFFFFF"/>
                        </a:solidFill>
                        <a:ln w="3175">
                          <a:solidFill>
                            <a:srgbClr val="000000"/>
                          </a:solidFill>
                          <a:miter lim="800000"/>
                          <a:headEnd/>
                          <a:tailEnd/>
                        </a:ln>
                      </wps:spPr>
                      <wps:txbx>
                        <w:txbxContent>
                          <w:p w14:paraId="531AF044" w14:textId="77777777" w:rsidR="001933A8" w:rsidRPr="00F07734" w:rsidRDefault="001933A8" w:rsidP="00807992">
                            <w:pPr>
                              <w:spacing w:after="0"/>
                              <w:ind w:firstLine="0"/>
                              <w:jc w:val="center"/>
                              <w:rPr>
                                <w:rFonts w:ascii="Arial Narrow" w:hAnsi="Arial Narrow"/>
                                <w:sz w:val="19"/>
                                <w:szCs w:val="19"/>
                              </w:rPr>
                            </w:pPr>
                            <w:r w:rsidRPr="00F07734">
                              <w:rPr>
                                <w:rFonts w:ascii="Arial Narrow" w:hAnsi="Arial Narrow"/>
                                <w:sz w:val="19"/>
                                <w:szCs w:val="19"/>
                              </w:rPr>
                              <w:t xml:space="preserve">Pamplona Centro Histórico 100% </w:t>
                            </w:r>
                          </w:p>
                          <w:p w14:paraId="4B803646" w14:textId="77777777" w:rsidR="001933A8" w:rsidRPr="00BD1555" w:rsidRDefault="001933A8" w:rsidP="00807992">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52904" id="Rectangle 74" o:spid="_x0000_s1042" style="position:absolute;left:0;text-align:left;margin-left:366.7pt;margin-top:11.2pt;width:78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" strokeweight=".25pt">
                <v:textbox inset="1pt,1.4mm,1pt,1pt">
                  <w:txbxContent>
                    <w:p w14:paraId="531AF044" w14:textId="77777777" w:rsidR="001933A8" w:rsidRPr="00F07734" w:rsidRDefault="001933A8" w:rsidP="00807992">
                      <w:pPr>
                        <w:spacing w:after="0"/>
                        <w:ind w:firstLine="0"/>
                        <w:jc w:val="center"/>
                        <w:rPr>
                          <w:rFonts w:ascii="Arial Narrow" w:hAnsi="Arial Narrow"/>
                          <w:sz w:val="19"/>
                          <w:szCs w:val="19"/>
                        </w:rPr>
                      </w:pPr>
                      <w:r w:rsidRPr="00F07734">
                        <w:rPr>
                          <w:rFonts w:ascii="Arial Narrow" w:hAnsi="Arial Narrow"/>
                          <w:sz w:val="19"/>
                          <w:szCs w:val="19"/>
                        </w:rPr>
                        <w:t xml:space="preserve">Pamplona Centro Histórico 100% </w:t>
                      </w:r>
                    </w:p>
                    <w:p w14:paraId="4B803646" w14:textId="77777777" w:rsidR="001933A8" w:rsidRPr="00BD1555" w:rsidRDefault="001933A8" w:rsidP="00807992">
                      <w:pPr>
                        <w:rPr>
                          <w:szCs w:val="18"/>
                        </w:rPr>
                      </w:pPr>
                    </w:p>
                  </w:txbxContent>
                </v:textbox>
              </v:rect>
            </w:pict>
          </mc:Fallback>
        </mc:AlternateContent>
      </w:r>
    </w:p>
    <w:p w14:paraId="15AFD897" w14:textId="77777777" w:rsidR="00807992" w:rsidRPr="00667DFF" w:rsidRDefault="001E5A4C"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Pr>
          <w:rFonts w:ascii="Arial" w:eastAsia="Calibri" w:hAnsi="Arial" w:cs="Arial"/>
          <w:noProof/>
          <w:sz w:val="24"/>
          <w:lang w:val="es-ES" w:eastAsia="es-ES"/>
        </w:rPr>
        <mc:AlternateContent>
          <mc:Choice Requires="wps">
            <w:drawing>
              <wp:anchor distT="0" distB="0" distL="114300" distR="114300" simplePos="0" relativeHeight="251719168" behindDoc="0" locked="0" layoutInCell="1" allowOverlap="1" wp14:anchorId="0144F853" wp14:editId="4DF73C87">
                <wp:simplePos x="0" y="0"/>
                <wp:positionH relativeFrom="column">
                  <wp:posOffset>4471035</wp:posOffset>
                </wp:positionH>
                <wp:positionV relativeFrom="paragraph">
                  <wp:posOffset>82550</wp:posOffset>
                </wp:positionV>
                <wp:extent cx="200025" cy="0"/>
                <wp:effectExtent l="0" t="0" r="28575" b="19050"/>
                <wp:wrapNone/>
                <wp:docPr id="37" name="Conector recto 37"/>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51CA0" id="Conector recto 37"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352.05pt,6.5pt" to="36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" strokecolor="black [3040]"/>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77696" behindDoc="0" locked="0" layoutInCell="1" allowOverlap="1" wp14:anchorId="20D9DF9D" wp14:editId="61643D6F">
                <wp:simplePos x="0" y="0"/>
                <wp:positionH relativeFrom="column">
                  <wp:posOffset>-367665</wp:posOffset>
                </wp:positionH>
                <wp:positionV relativeFrom="paragraph">
                  <wp:posOffset>215900</wp:posOffset>
                </wp:positionV>
                <wp:extent cx="891540" cy="361315"/>
                <wp:effectExtent l="0" t="0" r="22860" b="19685"/>
                <wp:wrapNone/>
                <wp:docPr id="1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361315"/>
                        </a:xfrm>
                        <a:prstGeom prst="rect">
                          <a:avLst/>
                        </a:prstGeom>
                        <a:solidFill>
                          <a:srgbClr val="FFFFFF"/>
                        </a:solidFill>
                        <a:ln w="3175">
                          <a:solidFill>
                            <a:srgbClr val="000000"/>
                          </a:solidFill>
                          <a:miter lim="800000"/>
                          <a:headEnd/>
                          <a:tailEnd/>
                        </a:ln>
                      </wps:spPr>
                      <wps:txbx>
                        <w:txbxContent>
                          <w:p w14:paraId="21EA766A" w14:textId="77777777" w:rsidR="001933A8" w:rsidRPr="00590E8E" w:rsidRDefault="001933A8" w:rsidP="00807992">
                            <w:pPr>
                              <w:spacing w:before="80" w:after="60"/>
                              <w:ind w:firstLine="0"/>
                              <w:jc w:val="center"/>
                              <w:rPr>
                                <w:rFonts w:ascii="Arial Narrow" w:hAnsi="Arial Narrow"/>
                                <w:sz w:val="18"/>
                                <w:szCs w:val="18"/>
                              </w:rPr>
                            </w:pPr>
                            <w:r>
                              <w:rPr>
                                <w:rFonts w:ascii="Arial Narrow" w:hAnsi="Arial Narrow"/>
                                <w:sz w:val="18"/>
                                <w:szCs w:val="18"/>
                              </w:rPr>
                              <w:t>Cultura e Igualdad</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9DF9D" id="_x0000_s1043" style="position:absolute;left:0;text-align:left;margin-left:-28.95pt;margin-top:17pt;width:70.2pt;height:2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" strokeweight=".25pt">
                <v:textbox inset="1pt,1.4mm,1pt,1pt">
                  <w:txbxContent>
                    <w:p w14:paraId="21EA766A" w14:textId="77777777" w:rsidR="001933A8" w:rsidRPr="00590E8E" w:rsidRDefault="001933A8" w:rsidP="00807992">
                      <w:pPr>
                        <w:spacing w:before="80" w:after="60"/>
                        <w:ind w:firstLine="0"/>
                        <w:jc w:val="center"/>
                        <w:rPr>
                          <w:rFonts w:ascii="Arial Narrow" w:hAnsi="Arial Narrow"/>
                          <w:sz w:val="18"/>
                          <w:szCs w:val="18"/>
                        </w:rPr>
                      </w:pPr>
                      <w:r>
                        <w:rPr>
                          <w:rFonts w:ascii="Arial Narrow" w:hAnsi="Arial Narrow"/>
                          <w:sz w:val="18"/>
                          <w:szCs w:val="18"/>
                        </w:rPr>
                        <w:t>Cultura e Igualdad</w:t>
                      </w:r>
                    </w:p>
                  </w:txbxContent>
                </v:textbox>
              </v:rect>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72576" behindDoc="0" locked="0" layoutInCell="1" allowOverlap="1" wp14:anchorId="5D95BC64" wp14:editId="546925D6">
                <wp:simplePos x="0" y="0"/>
                <wp:positionH relativeFrom="column">
                  <wp:posOffset>920032</wp:posOffset>
                </wp:positionH>
                <wp:positionV relativeFrom="paragraph">
                  <wp:posOffset>219793</wp:posOffset>
                </wp:positionV>
                <wp:extent cx="1121134" cy="468906"/>
                <wp:effectExtent l="0" t="0" r="22225" b="26670"/>
                <wp:wrapNone/>
                <wp:docPr id="1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134" cy="468906"/>
                        </a:xfrm>
                        <a:prstGeom prst="rect">
                          <a:avLst/>
                        </a:prstGeom>
                        <a:solidFill>
                          <a:srgbClr val="FFFFFF"/>
                        </a:solidFill>
                        <a:ln w="3175">
                          <a:solidFill>
                            <a:srgbClr val="000000"/>
                          </a:solidFill>
                          <a:miter lim="800000"/>
                          <a:headEnd/>
                          <a:tailEnd/>
                        </a:ln>
                      </wps:spPr>
                      <wps:txbx>
                        <w:txbxContent>
                          <w:p w14:paraId="79DE3A13" w14:textId="77777777" w:rsidR="001933A8" w:rsidRPr="00590E8E" w:rsidRDefault="001933A8" w:rsidP="00807992">
                            <w:pPr>
                              <w:spacing w:before="20" w:after="60"/>
                              <w:ind w:firstLine="0"/>
                              <w:jc w:val="center"/>
                              <w:rPr>
                                <w:rFonts w:ascii="Arial Narrow" w:hAnsi="Arial Narrow"/>
                                <w:sz w:val="18"/>
                                <w:szCs w:val="18"/>
                              </w:rPr>
                            </w:pPr>
                            <w:r>
                              <w:rPr>
                                <w:rFonts w:ascii="Arial Narrow" w:hAnsi="Arial Narrow"/>
                                <w:sz w:val="18"/>
                                <w:szCs w:val="18"/>
                              </w:rPr>
                              <w:t>Servicios sociales, Acción Comunitaria y Deporte</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BC64" id="_x0000_s1044" style="position:absolute;left:0;text-align:left;margin-left:72.45pt;margin-top:17.3pt;width:88.3pt;height:3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" strokeweight=".25pt">
                <v:textbox inset="1pt,1.4mm,1pt,1pt">
                  <w:txbxContent>
                    <w:p w14:paraId="79DE3A13" w14:textId="77777777" w:rsidR="001933A8" w:rsidRPr="00590E8E" w:rsidRDefault="001933A8" w:rsidP="00807992">
                      <w:pPr>
                        <w:spacing w:before="20" w:after="60"/>
                        <w:ind w:firstLine="0"/>
                        <w:jc w:val="center"/>
                        <w:rPr>
                          <w:rFonts w:ascii="Arial Narrow" w:hAnsi="Arial Narrow"/>
                          <w:sz w:val="18"/>
                          <w:szCs w:val="18"/>
                        </w:rPr>
                      </w:pPr>
                      <w:r>
                        <w:rPr>
                          <w:rFonts w:ascii="Arial Narrow" w:hAnsi="Arial Narrow"/>
                          <w:sz w:val="18"/>
                          <w:szCs w:val="18"/>
                        </w:rPr>
                        <w:t>Servicios sociales, Acción Comunitaria y Deporte</w:t>
                      </w:r>
                    </w:p>
                  </w:txbxContent>
                </v:textbox>
              </v:rect>
            </w:pict>
          </mc:Fallback>
        </mc:AlternateContent>
      </w:r>
    </w:p>
    <w:p w14:paraId="1614DD7E" w14:textId="77777777" w:rsidR="00807992" w:rsidRPr="00667DFF" w:rsidRDefault="00807992"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64384" behindDoc="0" locked="0" layoutInCell="1" allowOverlap="1" wp14:anchorId="60DD76F4" wp14:editId="2B296448">
                <wp:simplePos x="0" y="0"/>
                <wp:positionH relativeFrom="column">
                  <wp:posOffset>4657145</wp:posOffset>
                </wp:positionH>
                <wp:positionV relativeFrom="paragraph">
                  <wp:posOffset>114659</wp:posOffset>
                </wp:positionV>
                <wp:extent cx="1049573" cy="310101"/>
                <wp:effectExtent l="0" t="0" r="17780" b="13970"/>
                <wp:wrapNone/>
                <wp:docPr id="1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573" cy="310101"/>
                        </a:xfrm>
                        <a:prstGeom prst="rect">
                          <a:avLst/>
                        </a:prstGeom>
                        <a:solidFill>
                          <a:srgbClr val="FFFFFF"/>
                        </a:solidFill>
                        <a:ln w="3175">
                          <a:solidFill>
                            <a:srgbClr val="000000"/>
                          </a:solidFill>
                          <a:miter lim="800000"/>
                          <a:headEnd/>
                          <a:tailEnd/>
                        </a:ln>
                      </wps:spPr>
                      <wps:txbx>
                        <w:txbxContent>
                          <w:p w14:paraId="4E341520" w14:textId="77777777" w:rsidR="001933A8" w:rsidRPr="00F07734" w:rsidRDefault="001933A8" w:rsidP="00807992">
                            <w:pPr>
                              <w:spacing w:after="0"/>
                              <w:ind w:firstLine="0"/>
                              <w:jc w:val="center"/>
                              <w:rPr>
                                <w:rFonts w:ascii="Arial Narrow" w:hAnsi="Arial Narrow"/>
                                <w:sz w:val="19"/>
                                <w:szCs w:val="19"/>
                              </w:rPr>
                            </w:pPr>
                            <w:proofErr w:type="spellStart"/>
                            <w:r>
                              <w:rPr>
                                <w:rFonts w:ascii="Arial Narrow" w:hAnsi="Arial Narrow"/>
                                <w:sz w:val="19"/>
                                <w:szCs w:val="19"/>
                              </w:rPr>
                              <w:t>Animsa</w:t>
                            </w:r>
                            <w:proofErr w:type="spellEnd"/>
                            <w:r w:rsidRPr="00F07734">
                              <w:rPr>
                                <w:rFonts w:ascii="Arial Narrow" w:hAnsi="Arial Narrow"/>
                                <w:sz w:val="19"/>
                                <w:szCs w:val="19"/>
                              </w:rPr>
                              <w:t xml:space="preserve"> </w:t>
                            </w:r>
                            <w:r>
                              <w:rPr>
                                <w:rFonts w:ascii="Arial Narrow" w:hAnsi="Arial Narrow"/>
                                <w:sz w:val="19"/>
                                <w:szCs w:val="19"/>
                              </w:rPr>
                              <w:t>77,69</w:t>
                            </w:r>
                            <w:r w:rsidRPr="00F07734">
                              <w:rPr>
                                <w:rFonts w:ascii="Arial Narrow" w:hAnsi="Arial Narrow"/>
                                <w:sz w:val="19"/>
                                <w:szCs w:val="19"/>
                              </w:rPr>
                              <w:t xml:space="preserve">% </w:t>
                            </w:r>
                          </w:p>
                          <w:p w14:paraId="3F1B5CB8" w14:textId="77777777" w:rsidR="001933A8" w:rsidRPr="00BD1555" w:rsidRDefault="001933A8" w:rsidP="00807992">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D76F4" id="Rectangle 76" o:spid="_x0000_s1045" style="position:absolute;left:0;text-align:left;margin-left:366.7pt;margin-top:9.05pt;width:82.6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" strokeweight=".25pt">
                <v:textbox inset="1pt,1.4mm,1pt,1pt">
                  <w:txbxContent>
                    <w:p w14:paraId="4E341520" w14:textId="77777777" w:rsidR="001933A8" w:rsidRPr="00F07734" w:rsidRDefault="001933A8" w:rsidP="00807992">
                      <w:pPr>
                        <w:spacing w:after="0"/>
                        <w:ind w:firstLine="0"/>
                        <w:jc w:val="center"/>
                        <w:rPr>
                          <w:rFonts w:ascii="Arial Narrow" w:hAnsi="Arial Narrow"/>
                          <w:sz w:val="19"/>
                          <w:szCs w:val="19"/>
                        </w:rPr>
                      </w:pPr>
                      <w:proofErr w:type="spellStart"/>
                      <w:r>
                        <w:rPr>
                          <w:rFonts w:ascii="Arial Narrow" w:hAnsi="Arial Narrow"/>
                          <w:sz w:val="19"/>
                          <w:szCs w:val="19"/>
                        </w:rPr>
                        <w:t>Animsa</w:t>
                      </w:r>
                      <w:proofErr w:type="spellEnd"/>
                      <w:r w:rsidRPr="00F07734">
                        <w:rPr>
                          <w:rFonts w:ascii="Arial Narrow" w:hAnsi="Arial Narrow"/>
                          <w:sz w:val="19"/>
                          <w:szCs w:val="19"/>
                        </w:rPr>
                        <w:t xml:space="preserve"> </w:t>
                      </w:r>
                      <w:r>
                        <w:rPr>
                          <w:rFonts w:ascii="Arial Narrow" w:hAnsi="Arial Narrow"/>
                          <w:sz w:val="19"/>
                          <w:szCs w:val="19"/>
                        </w:rPr>
                        <w:t>77,69</w:t>
                      </w:r>
                      <w:r w:rsidRPr="00F07734">
                        <w:rPr>
                          <w:rFonts w:ascii="Arial Narrow" w:hAnsi="Arial Narrow"/>
                          <w:sz w:val="19"/>
                          <w:szCs w:val="19"/>
                        </w:rPr>
                        <w:t xml:space="preserve">% </w:t>
                      </w:r>
                    </w:p>
                    <w:p w14:paraId="3F1B5CB8" w14:textId="77777777" w:rsidR="001933A8" w:rsidRPr="00BD1555" w:rsidRDefault="001933A8" w:rsidP="00807992">
                      <w:pPr>
                        <w:rPr>
                          <w:szCs w:val="18"/>
                        </w:rPr>
                      </w:pPr>
                    </w:p>
                  </w:txbxContent>
                </v:textbox>
              </v:rect>
            </w:pict>
          </mc:Fallback>
        </mc:AlternateContent>
      </w:r>
      <w:r w:rsidRPr="00667DFF">
        <w:rPr>
          <w:rFonts w:ascii="Arial" w:eastAsia="Calibri" w:hAnsi="Arial" w:cs="Arial"/>
          <w:noProof/>
          <w:sz w:val="24"/>
          <w:lang w:val="es-ES" w:eastAsia="es-ES"/>
        </w:rPr>
        <mc:AlternateContent>
          <mc:Choice Requires="wps">
            <w:drawing>
              <wp:anchor distT="0" distB="0" distL="114300" distR="114300" simplePos="0" relativeHeight="251668480" behindDoc="0" locked="0" layoutInCell="1" allowOverlap="1" wp14:anchorId="6DF8D860" wp14:editId="7E91B9E1">
                <wp:simplePos x="0" y="0"/>
                <wp:positionH relativeFrom="column">
                  <wp:posOffset>535998</wp:posOffset>
                </wp:positionH>
                <wp:positionV relativeFrom="paragraph">
                  <wp:posOffset>140335</wp:posOffset>
                </wp:positionV>
                <wp:extent cx="480060" cy="3810"/>
                <wp:effectExtent l="0" t="0" r="15240" b="34290"/>
                <wp:wrapNone/>
                <wp:docPr id="1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 cy="3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60DA" id="Line 8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11.05pt" to="8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" strokeweight=".5pt"/>
            </w:pict>
          </mc:Fallback>
        </mc:AlternateContent>
      </w:r>
    </w:p>
    <w:p w14:paraId="3981ECF0" w14:textId="77777777" w:rsidR="00807992" w:rsidRPr="00667DFF" w:rsidRDefault="009C568C" w:rsidP="004845DB">
      <w:pPr>
        <w:tabs>
          <w:tab w:val="center" w:pos="2835"/>
          <w:tab w:val="center" w:pos="3969"/>
          <w:tab w:val="center" w:pos="5103"/>
          <w:tab w:val="center" w:pos="6237"/>
          <w:tab w:val="center" w:pos="7371"/>
        </w:tabs>
        <w:ind w:left="1440" w:firstLine="0"/>
        <w:rPr>
          <w:rFonts w:ascii="Arial" w:eastAsia="Calibri" w:hAnsi="Arial" w:cs="Arial"/>
          <w:sz w:val="24"/>
          <w:lang w:eastAsia="es-ES"/>
        </w:rPr>
      </w:pPr>
      <w:r w:rsidRPr="00667DFF">
        <w:rPr>
          <w:rFonts w:ascii="Arial" w:eastAsia="Calibri" w:hAnsi="Arial" w:cs="Arial"/>
          <w:noProof/>
          <w:sz w:val="24"/>
          <w:lang w:val="es-ES" w:eastAsia="es-ES"/>
        </w:rPr>
        <mc:AlternateContent>
          <mc:Choice Requires="wps">
            <w:drawing>
              <wp:anchor distT="0" distB="0" distL="114300" distR="114300" simplePos="0" relativeHeight="251671552" behindDoc="0" locked="0" layoutInCell="1" allowOverlap="1" wp14:anchorId="3794F93B" wp14:editId="692A1616">
                <wp:simplePos x="0" y="0"/>
                <wp:positionH relativeFrom="column">
                  <wp:posOffset>937260</wp:posOffset>
                </wp:positionH>
                <wp:positionV relativeFrom="paragraph">
                  <wp:posOffset>249555</wp:posOffset>
                </wp:positionV>
                <wp:extent cx="1247775" cy="436880"/>
                <wp:effectExtent l="0" t="0" r="28575" b="20320"/>
                <wp:wrapNone/>
                <wp:docPr id="1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36880"/>
                        </a:xfrm>
                        <a:prstGeom prst="rect">
                          <a:avLst/>
                        </a:prstGeom>
                        <a:solidFill>
                          <a:srgbClr val="FFFFFF"/>
                        </a:solidFill>
                        <a:ln w="3175">
                          <a:solidFill>
                            <a:srgbClr val="000000"/>
                          </a:solidFill>
                          <a:miter lim="800000"/>
                          <a:headEnd/>
                          <a:tailEnd/>
                        </a:ln>
                      </wps:spPr>
                      <wps:txbx>
                        <w:txbxContent>
                          <w:p w14:paraId="5ABE94D5" w14:textId="77777777" w:rsidR="001933A8" w:rsidRPr="003D1812" w:rsidRDefault="001933A8" w:rsidP="00807992">
                            <w:pPr>
                              <w:spacing w:after="0"/>
                              <w:ind w:firstLine="0"/>
                              <w:jc w:val="center"/>
                              <w:rPr>
                                <w:rFonts w:ascii="Arial Narrow" w:hAnsi="Arial Narrow"/>
                                <w:sz w:val="18"/>
                                <w:szCs w:val="18"/>
                              </w:rPr>
                            </w:pPr>
                            <w:r>
                              <w:rPr>
                                <w:rFonts w:ascii="Arial Narrow" w:hAnsi="Arial Narrow"/>
                                <w:sz w:val="18"/>
                                <w:szCs w:val="18"/>
                              </w:rPr>
                              <w:t>Proyectos estratégicos, Movilidad y Sostenibilidad</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4F93B" id="Rectangle 84" o:spid="_x0000_s1046" style="position:absolute;left:0;text-align:left;margin-left:73.8pt;margin-top:19.65pt;width:98.25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" strokeweight=".25pt">
                <v:textbox inset="1pt,1.4mm,1pt,1pt">
                  <w:txbxContent>
                    <w:p w14:paraId="5ABE94D5" w14:textId="77777777" w:rsidR="001933A8" w:rsidRPr="003D1812" w:rsidRDefault="001933A8" w:rsidP="00807992">
                      <w:pPr>
                        <w:spacing w:after="0"/>
                        <w:ind w:firstLine="0"/>
                        <w:jc w:val="center"/>
                        <w:rPr>
                          <w:rFonts w:ascii="Arial Narrow" w:hAnsi="Arial Narrow"/>
                          <w:sz w:val="18"/>
                          <w:szCs w:val="18"/>
                        </w:rPr>
                      </w:pPr>
                      <w:r>
                        <w:rPr>
                          <w:rFonts w:ascii="Arial Narrow" w:hAnsi="Arial Narrow"/>
                          <w:sz w:val="18"/>
                          <w:szCs w:val="18"/>
                        </w:rPr>
                        <w:t>Proyectos estratégicos, Movilidad y Sostenibilidad</w:t>
                      </w:r>
                    </w:p>
                  </w:txbxContent>
                </v:textbox>
              </v:rect>
            </w:pict>
          </mc:Fallback>
        </mc:AlternateContent>
      </w:r>
      <w:r w:rsidR="001E5A4C">
        <w:rPr>
          <w:rFonts w:ascii="Arial" w:eastAsia="Calibri" w:hAnsi="Arial" w:cs="Arial"/>
          <w:noProof/>
          <w:sz w:val="24"/>
          <w:lang w:val="es-ES" w:eastAsia="es-ES"/>
        </w:rPr>
        <mc:AlternateContent>
          <mc:Choice Requires="wps">
            <w:drawing>
              <wp:anchor distT="0" distB="0" distL="114300" distR="114300" simplePos="0" relativeHeight="251720192" behindDoc="0" locked="0" layoutInCell="1" allowOverlap="1" wp14:anchorId="0E9E390A" wp14:editId="66FEEF73">
                <wp:simplePos x="0" y="0"/>
                <wp:positionH relativeFrom="column">
                  <wp:posOffset>4480560</wp:posOffset>
                </wp:positionH>
                <wp:positionV relativeFrom="paragraph">
                  <wp:posOffset>48895</wp:posOffset>
                </wp:positionV>
                <wp:extent cx="190500" cy="0"/>
                <wp:effectExtent l="0" t="0" r="19050" b="19050"/>
                <wp:wrapNone/>
                <wp:docPr id="38" name="Conector recto 38"/>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B70499" id="Conector recto 38"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352.8pt,3.85pt" to="367.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" strokecolor="black [3040]"/>
            </w:pict>
          </mc:Fallback>
        </mc:AlternateContent>
      </w:r>
      <w:r w:rsidR="006E19AB" w:rsidRPr="00667DFF">
        <w:rPr>
          <w:rFonts w:ascii="Arial" w:eastAsia="Calibri" w:hAnsi="Arial" w:cs="Arial"/>
          <w:noProof/>
          <w:sz w:val="24"/>
          <w:lang w:val="es-ES" w:eastAsia="es-ES"/>
        </w:rPr>
        <mc:AlternateContent>
          <mc:Choice Requires="wps">
            <w:drawing>
              <wp:anchor distT="0" distB="0" distL="114300" distR="114300" simplePos="0" relativeHeight="251670528" behindDoc="0" locked="0" layoutInCell="1" allowOverlap="1" wp14:anchorId="5D34FF2B" wp14:editId="552E0024">
                <wp:simplePos x="0" y="0"/>
                <wp:positionH relativeFrom="column">
                  <wp:posOffset>-405765</wp:posOffset>
                </wp:positionH>
                <wp:positionV relativeFrom="paragraph">
                  <wp:posOffset>211455</wp:posOffset>
                </wp:positionV>
                <wp:extent cx="931545" cy="392430"/>
                <wp:effectExtent l="0" t="0" r="20955" b="26670"/>
                <wp:wrapNone/>
                <wp:docPr id="1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92430"/>
                        </a:xfrm>
                        <a:prstGeom prst="rect">
                          <a:avLst/>
                        </a:prstGeom>
                        <a:solidFill>
                          <a:srgbClr val="FFFFFF"/>
                        </a:solidFill>
                        <a:ln w="3175">
                          <a:solidFill>
                            <a:srgbClr val="000000"/>
                          </a:solidFill>
                          <a:miter lim="800000"/>
                          <a:headEnd/>
                          <a:tailEnd/>
                        </a:ln>
                      </wps:spPr>
                      <wps:txbx>
                        <w:txbxContent>
                          <w:p w14:paraId="01EC9372" w14:textId="77777777" w:rsidR="001933A8" w:rsidRPr="003D1812" w:rsidRDefault="001933A8" w:rsidP="00807992">
                            <w:pPr>
                              <w:spacing w:before="80" w:after="60"/>
                              <w:ind w:firstLine="0"/>
                              <w:jc w:val="center"/>
                              <w:rPr>
                                <w:rFonts w:ascii="Arial Narrow" w:hAnsi="Arial Narrow"/>
                                <w:sz w:val="18"/>
                                <w:szCs w:val="18"/>
                              </w:rPr>
                            </w:pPr>
                            <w:r>
                              <w:rPr>
                                <w:rFonts w:ascii="Arial Narrow" w:hAnsi="Arial Narrow"/>
                                <w:sz w:val="18"/>
                                <w:szCs w:val="18"/>
                              </w:rPr>
                              <w:t xml:space="preserve">Urbanismo, Vivienda y Sanidad </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4FF2B" id="Rectangle 83" o:spid="_x0000_s1047" style="position:absolute;left:0;text-align:left;margin-left:-31.95pt;margin-top:16.65pt;width:73.35pt;height:3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" strokeweight=".25pt">
                <v:textbox inset="1pt,1.4mm,1pt,1pt">
                  <w:txbxContent>
                    <w:p w14:paraId="01EC9372" w14:textId="77777777" w:rsidR="001933A8" w:rsidRPr="003D1812" w:rsidRDefault="001933A8" w:rsidP="00807992">
                      <w:pPr>
                        <w:spacing w:before="80" w:after="60"/>
                        <w:ind w:firstLine="0"/>
                        <w:jc w:val="center"/>
                        <w:rPr>
                          <w:rFonts w:ascii="Arial Narrow" w:hAnsi="Arial Narrow"/>
                          <w:sz w:val="18"/>
                          <w:szCs w:val="18"/>
                        </w:rPr>
                      </w:pPr>
                      <w:r>
                        <w:rPr>
                          <w:rFonts w:ascii="Arial Narrow" w:hAnsi="Arial Narrow"/>
                          <w:sz w:val="18"/>
                          <w:szCs w:val="18"/>
                        </w:rPr>
                        <w:t xml:space="preserve">Urbanismo, Vivienda y Sanidad </w:t>
                      </w:r>
                    </w:p>
                  </w:txbxContent>
                </v:textbox>
              </v:rect>
            </w:pict>
          </mc:Fallback>
        </mc:AlternateContent>
      </w:r>
    </w:p>
    <w:p w14:paraId="486B7593" w14:textId="77777777" w:rsidR="00807992" w:rsidRPr="00667DFF" w:rsidRDefault="001E5A4C" w:rsidP="004845DB">
      <w:pPr>
        <w:tabs>
          <w:tab w:val="center" w:pos="2835"/>
          <w:tab w:val="center" w:pos="3969"/>
          <w:tab w:val="center" w:pos="5103"/>
          <w:tab w:val="center" w:pos="6237"/>
          <w:tab w:val="center" w:pos="7371"/>
        </w:tabs>
        <w:ind w:left="1440" w:firstLine="284"/>
        <w:rPr>
          <w:rFonts w:ascii="Arial" w:eastAsia="Calibri" w:hAnsi="Arial" w:cs="Arial"/>
          <w:sz w:val="24"/>
          <w:lang w:eastAsia="es-ES"/>
        </w:rPr>
      </w:pPr>
      <w:r>
        <w:rPr>
          <w:rFonts w:ascii="Arial" w:eastAsia="Calibri" w:hAnsi="Arial" w:cs="Arial"/>
          <w:noProof/>
          <w:sz w:val="24"/>
          <w:lang w:val="es-ES" w:eastAsia="es-ES"/>
        </w:rPr>
        <mc:AlternateContent>
          <mc:Choice Requires="wps">
            <w:drawing>
              <wp:anchor distT="0" distB="0" distL="114300" distR="114300" simplePos="0" relativeHeight="251721216" behindDoc="0" locked="0" layoutInCell="1" allowOverlap="1" wp14:anchorId="60C85804" wp14:editId="00E583B9">
                <wp:simplePos x="0" y="0"/>
                <wp:positionH relativeFrom="column">
                  <wp:posOffset>4471035</wp:posOffset>
                </wp:positionH>
                <wp:positionV relativeFrom="paragraph">
                  <wp:posOffset>204470</wp:posOffset>
                </wp:positionV>
                <wp:extent cx="209550" cy="0"/>
                <wp:effectExtent l="0" t="0" r="19050" b="19050"/>
                <wp:wrapNone/>
                <wp:docPr id="39" name="Conector recto 39"/>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5BEAF" id="Conector recto 39"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352.05pt,16.1pt" to="368.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" strokecolor="black [3040]"/>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81792" behindDoc="0" locked="0" layoutInCell="1" allowOverlap="1" wp14:anchorId="7FFB03C1" wp14:editId="5BCC021E">
                <wp:simplePos x="0" y="0"/>
                <wp:positionH relativeFrom="column">
                  <wp:posOffset>4657146</wp:posOffset>
                </wp:positionH>
                <wp:positionV relativeFrom="paragraph">
                  <wp:posOffset>39563</wp:posOffset>
                </wp:positionV>
                <wp:extent cx="1049020" cy="305656"/>
                <wp:effectExtent l="0" t="0" r="17780" b="18415"/>
                <wp:wrapNone/>
                <wp:docPr id="1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05656"/>
                        </a:xfrm>
                        <a:prstGeom prst="rect">
                          <a:avLst/>
                        </a:prstGeom>
                        <a:solidFill>
                          <a:srgbClr val="FFFFFF"/>
                        </a:solidFill>
                        <a:ln w="3175">
                          <a:solidFill>
                            <a:srgbClr val="000000"/>
                          </a:solidFill>
                          <a:miter lim="800000"/>
                          <a:headEnd/>
                          <a:tailEnd/>
                        </a:ln>
                      </wps:spPr>
                      <wps:txbx>
                        <w:txbxContent>
                          <w:p w14:paraId="39A387BE" w14:textId="77777777" w:rsidR="001933A8" w:rsidRPr="00F07734" w:rsidRDefault="001933A8" w:rsidP="00807992">
                            <w:pPr>
                              <w:spacing w:before="20" w:after="0"/>
                              <w:ind w:firstLine="0"/>
                              <w:jc w:val="center"/>
                              <w:rPr>
                                <w:rFonts w:ascii="Arial Narrow" w:hAnsi="Arial Narrow"/>
                                <w:sz w:val="19"/>
                                <w:szCs w:val="19"/>
                              </w:rPr>
                            </w:pPr>
                            <w:proofErr w:type="spellStart"/>
                            <w:r>
                              <w:rPr>
                                <w:rFonts w:ascii="Arial Narrow" w:hAnsi="Arial Narrow"/>
                                <w:sz w:val="19"/>
                                <w:szCs w:val="19"/>
                              </w:rPr>
                              <w:t>Mercairuña</w:t>
                            </w:r>
                            <w:proofErr w:type="spellEnd"/>
                            <w:r>
                              <w:rPr>
                                <w:rFonts w:ascii="Arial Narrow" w:hAnsi="Arial Narrow"/>
                                <w:sz w:val="19"/>
                                <w:szCs w:val="19"/>
                              </w:rPr>
                              <w:t xml:space="preserve"> 51%</w:t>
                            </w:r>
                          </w:p>
                          <w:p w14:paraId="519B6368" w14:textId="77777777" w:rsidR="001933A8" w:rsidRPr="00BD1555" w:rsidRDefault="001933A8" w:rsidP="00807992">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03C1" id="_x0000_s1048" style="position:absolute;left:0;text-align:left;margin-left:366.7pt;margin-top:3.1pt;width:82.6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" strokeweight=".25pt">
                <v:textbox inset="1pt,1.4mm,1pt,1pt">
                  <w:txbxContent>
                    <w:p w14:paraId="39A387BE" w14:textId="77777777" w:rsidR="001933A8" w:rsidRPr="00F07734" w:rsidRDefault="001933A8" w:rsidP="00807992">
                      <w:pPr>
                        <w:spacing w:before="20" w:after="0"/>
                        <w:ind w:firstLine="0"/>
                        <w:jc w:val="center"/>
                        <w:rPr>
                          <w:rFonts w:ascii="Arial Narrow" w:hAnsi="Arial Narrow"/>
                          <w:sz w:val="19"/>
                          <w:szCs w:val="19"/>
                        </w:rPr>
                      </w:pPr>
                      <w:proofErr w:type="spellStart"/>
                      <w:r>
                        <w:rPr>
                          <w:rFonts w:ascii="Arial Narrow" w:hAnsi="Arial Narrow"/>
                          <w:sz w:val="19"/>
                          <w:szCs w:val="19"/>
                        </w:rPr>
                        <w:t>Mercairuña</w:t>
                      </w:r>
                      <w:proofErr w:type="spellEnd"/>
                      <w:r>
                        <w:rPr>
                          <w:rFonts w:ascii="Arial Narrow" w:hAnsi="Arial Narrow"/>
                          <w:sz w:val="19"/>
                          <w:szCs w:val="19"/>
                        </w:rPr>
                        <w:t xml:space="preserve"> 51%</w:t>
                      </w:r>
                    </w:p>
                    <w:p w14:paraId="519B6368" w14:textId="77777777" w:rsidR="001933A8" w:rsidRPr="00BD1555" w:rsidRDefault="001933A8" w:rsidP="00807992">
                      <w:pPr>
                        <w:rPr>
                          <w:szCs w:val="18"/>
                        </w:rPr>
                      </w:pPr>
                    </w:p>
                  </w:txbxContent>
                </v:textbox>
              </v:rect>
            </w:pict>
          </mc:Fallback>
        </mc:AlternateContent>
      </w:r>
      <w:r w:rsidR="00807992" w:rsidRPr="00667DFF">
        <w:rPr>
          <w:rFonts w:ascii="Arial" w:eastAsia="Calibri" w:hAnsi="Arial" w:cs="Arial"/>
          <w:noProof/>
          <w:sz w:val="24"/>
          <w:lang w:val="es-ES" w:eastAsia="es-ES"/>
        </w:rPr>
        <mc:AlternateContent>
          <mc:Choice Requires="wps">
            <w:drawing>
              <wp:anchor distT="0" distB="0" distL="114300" distR="114300" simplePos="0" relativeHeight="251669504" behindDoc="0" locked="0" layoutInCell="1" allowOverlap="1" wp14:anchorId="3C7A19C8" wp14:editId="333BE22D">
                <wp:simplePos x="0" y="0"/>
                <wp:positionH relativeFrom="column">
                  <wp:posOffset>527685</wp:posOffset>
                </wp:positionH>
                <wp:positionV relativeFrom="paragraph">
                  <wp:posOffset>142240</wp:posOffset>
                </wp:positionV>
                <wp:extent cx="523875" cy="0"/>
                <wp:effectExtent l="0" t="0" r="9525" b="19050"/>
                <wp:wrapNone/>
                <wp:docPr id="12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6BBCF" id="Line 8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11.2pt" to="82.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7Y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" strokeweight=".5pt"/>
            </w:pict>
          </mc:Fallback>
        </mc:AlternateContent>
      </w:r>
    </w:p>
    <w:p w14:paraId="5D8A5FB1" w14:textId="77777777" w:rsidR="00807992" w:rsidRPr="00667DFF" w:rsidRDefault="00807992" w:rsidP="00807992">
      <w:pPr>
        <w:tabs>
          <w:tab w:val="center" w:pos="2835"/>
          <w:tab w:val="center" w:pos="3969"/>
          <w:tab w:val="center" w:pos="5103"/>
          <w:tab w:val="center" w:pos="6237"/>
          <w:tab w:val="center" w:pos="7371"/>
        </w:tabs>
        <w:spacing w:after="0"/>
        <w:ind w:firstLine="284"/>
        <w:rPr>
          <w:rFonts w:ascii="Arial" w:eastAsia="Calibri" w:hAnsi="Arial" w:cs="Arial"/>
          <w:sz w:val="4"/>
          <w:szCs w:val="4"/>
          <w:lang w:eastAsia="es-ES"/>
        </w:rPr>
      </w:pPr>
    </w:p>
    <w:p w14:paraId="2085FA98" w14:textId="77777777" w:rsidR="009B7CE6" w:rsidRDefault="009B7CE6" w:rsidP="00807992">
      <w:pPr>
        <w:tabs>
          <w:tab w:val="center" w:pos="2835"/>
          <w:tab w:val="center" w:pos="3969"/>
          <w:tab w:val="center" w:pos="5103"/>
          <w:tab w:val="center" w:pos="6237"/>
          <w:tab w:val="center" w:pos="7371"/>
        </w:tabs>
        <w:spacing w:before="140" w:after="0"/>
        <w:ind w:firstLine="284"/>
        <w:jc w:val="left"/>
        <w:rPr>
          <w:rFonts w:ascii="Arial" w:eastAsia="Calibri" w:hAnsi="Arial" w:cs="Arial"/>
          <w:sz w:val="18"/>
          <w:szCs w:val="18"/>
          <w:lang w:eastAsia="es-ES"/>
        </w:rPr>
      </w:pPr>
    </w:p>
    <w:p w14:paraId="4EEB6545" w14:textId="77777777" w:rsidR="009B7CE6" w:rsidRDefault="009B7CE6" w:rsidP="00807992">
      <w:pPr>
        <w:tabs>
          <w:tab w:val="center" w:pos="2835"/>
          <w:tab w:val="center" w:pos="3969"/>
          <w:tab w:val="center" w:pos="5103"/>
          <w:tab w:val="center" w:pos="6237"/>
          <w:tab w:val="center" w:pos="7371"/>
        </w:tabs>
        <w:spacing w:before="140" w:after="0"/>
        <w:ind w:firstLine="284"/>
        <w:jc w:val="left"/>
        <w:rPr>
          <w:rFonts w:ascii="Arial" w:eastAsia="Calibri" w:hAnsi="Arial" w:cs="Arial"/>
          <w:sz w:val="18"/>
          <w:szCs w:val="18"/>
          <w:lang w:eastAsia="es-ES"/>
        </w:rPr>
        <w:sectPr w:rsidR="009B7CE6" w:rsidSect="000D7AE1">
          <w:headerReference w:type="default" r:id="rId16"/>
          <w:footerReference w:type="default" r:id="rId17"/>
          <w:pgSz w:w="16840" w:h="11907" w:orient="landscape" w:code="9"/>
          <w:pgMar w:top="1559" w:right="2109" w:bottom="1559" w:left="1644" w:header="369" w:footer="136" w:gutter="0"/>
          <w:cols w:space="720"/>
          <w:docGrid w:linePitch="360"/>
        </w:sectPr>
      </w:pPr>
    </w:p>
    <w:p w14:paraId="3798EFEB" w14:textId="77777777" w:rsidR="00807992" w:rsidRPr="00667DFF" w:rsidRDefault="00807992" w:rsidP="00807992">
      <w:pPr>
        <w:spacing w:after="120"/>
        <w:ind w:firstLine="284"/>
        <w:rPr>
          <w:spacing w:val="6"/>
          <w:sz w:val="26"/>
          <w:szCs w:val="26"/>
        </w:rPr>
      </w:pPr>
      <w:r w:rsidRPr="00667DFF">
        <w:rPr>
          <w:spacing w:val="6"/>
          <w:sz w:val="26"/>
          <w:szCs w:val="26"/>
        </w:rPr>
        <w:lastRenderedPageBreak/>
        <w:t>Los principales datos económicos y de personal del ayuntamiento y sus entes dependien</w:t>
      </w:r>
      <w:r>
        <w:rPr>
          <w:spacing w:val="6"/>
          <w:sz w:val="26"/>
          <w:szCs w:val="26"/>
        </w:rPr>
        <w:t>tes, al cierre del ejercicio 2021</w:t>
      </w:r>
      <w:r w:rsidRPr="00667DFF">
        <w:rPr>
          <w:spacing w:val="6"/>
          <w:sz w:val="26"/>
          <w:szCs w:val="26"/>
        </w:rPr>
        <w:t>, son los siguientes:</w:t>
      </w:r>
    </w:p>
    <w:p w14:paraId="0138DAC6" w14:textId="77777777" w:rsidR="00807992" w:rsidRPr="00667DFF" w:rsidRDefault="00807992" w:rsidP="00807992">
      <w:pPr>
        <w:numPr>
          <w:ilvl w:val="0"/>
          <w:numId w:val="2"/>
        </w:numPr>
        <w:tabs>
          <w:tab w:val="clear" w:pos="502"/>
          <w:tab w:val="num" w:pos="360"/>
          <w:tab w:val="left" w:pos="480"/>
          <w:tab w:val="num" w:pos="600"/>
          <w:tab w:val="num" w:pos="720"/>
          <w:tab w:val="num" w:pos="1320"/>
          <w:tab w:val="num" w:pos="1637"/>
        </w:tabs>
        <w:spacing w:after="240"/>
        <w:ind w:left="0" w:firstLine="289"/>
        <w:rPr>
          <w:spacing w:val="6"/>
          <w:sz w:val="26"/>
          <w:szCs w:val="26"/>
        </w:rPr>
      </w:pPr>
      <w:r w:rsidRPr="00667DFF">
        <w:rPr>
          <w:spacing w:val="6"/>
          <w:sz w:val="26"/>
          <w:szCs w:val="26"/>
        </w:rPr>
        <w:t>Sector público administrativo:</w:t>
      </w:r>
    </w:p>
    <w:tbl>
      <w:tblPr>
        <w:tblW w:w="8971" w:type="dxa"/>
        <w:jc w:val="center"/>
        <w:tblCellMar>
          <w:top w:w="28" w:type="dxa"/>
        </w:tblCellMar>
        <w:tblLook w:val="01E0" w:firstRow="1" w:lastRow="1" w:firstColumn="1" w:lastColumn="1" w:noHBand="0" w:noVBand="0"/>
      </w:tblPr>
      <w:tblGrid>
        <w:gridCol w:w="3642"/>
        <w:gridCol w:w="2109"/>
        <w:gridCol w:w="1900"/>
        <w:gridCol w:w="1320"/>
      </w:tblGrid>
      <w:tr w:rsidR="00807992" w:rsidRPr="00667DFF" w14:paraId="5A9DAC3F" w14:textId="77777777" w:rsidTr="004845DB">
        <w:trPr>
          <w:trHeight w:val="255"/>
          <w:jc w:val="center"/>
        </w:trPr>
        <w:tc>
          <w:tcPr>
            <w:tcW w:w="3642" w:type="dxa"/>
            <w:tcBorders>
              <w:top w:val="single" w:sz="4" w:space="0" w:color="auto"/>
              <w:bottom w:val="single" w:sz="4" w:space="0" w:color="auto"/>
            </w:tcBorders>
            <w:shd w:val="clear" w:color="auto" w:fill="FABF8F" w:themeFill="accent6" w:themeFillTint="99"/>
            <w:vAlign w:val="center"/>
          </w:tcPr>
          <w:p w14:paraId="7D2D8D95" w14:textId="77777777" w:rsidR="00807992" w:rsidRPr="00667DFF" w:rsidRDefault="00807992" w:rsidP="00807992">
            <w:pPr>
              <w:spacing w:after="0" w:line="276" w:lineRule="auto"/>
              <w:ind w:firstLine="0"/>
              <w:rPr>
                <w:rFonts w:ascii="Arial" w:hAnsi="Arial" w:cs="Arial"/>
                <w:sz w:val="18"/>
                <w:szCs w:val="18"/>
              </w:rPr>
            </w:pPr>
            <w:r w:rsidRPr="00667DFF">
              <w:rPr>
                <w:rFonts w:ascii="Arial" w:hAnsi="Arial" w:cs="Arial"/>
                <w:sz w:val="18"/>
                <w:szCs w:val="18"/>
              </w:rPr>
              <w:t>Entidad</w:t>
            </w:r>
          </w:p>
        </w:tc>
        <w:tc>
          <w:tcPr>
            <w:tcW w:w="2109" w:type="dxa"/>
            <w:tcBorders>
              <w:top w:val="single" w:sz="4" w:space="0" w:color="auto"/>
              <w:bottom w:val="single" w:sz="4" w:space="0" w:color="auto"/>
            </w:tcBorders>
            <w:shd w:val="clear" w:color="auto" w:fill="FABF8F" w:themeFill="accent6" w:themeFillTint="99"/>
            <w:vAlign w:val="center"/>
          </w:tcPr>
          <w:p w14:paraId="579D7B0C" w14:textId="77777777" w:rsidR="00807992" w:rsidRPr="00667DFF" w:rsidRDefault="00807992" w:rsidP="00807992">
            <w:pPr>
              <w:spacing w:after="0" w:line="276" w:lineRule="auto"/>
              <w:ind w:firstLine="0"/>
              <w:jc w:val="right"/>
              <w:rPr>
                <w:rFonts w:ascii="Arial" w:hAnsi="Arial" w:cs="Arial"/>
                <w:sz w:val="18"/>
                <w:szCs w:val="18"/>
              </w:rPr>
            </w:pPr>
            <w:r w:rsidRPr="00667DFF">
              <w:rPr>
                <w:rFonts w:ascii="Arial" w:hAnsi="Arial" w:cs="Arial"/>
                <w:sz w:val="18"/>
                <w:szCs w:val="18"/>
              </w:rPr>
              <w:t>Derechos</w:t>
            </w:r>
          </w:p>
          <w:p w14:paraId="4F8672B8" w14:textId="77777777" w:rsidR="00807992" w:rsidRPr="00667DFF" w:rsidRDefault="00807992" w:rsidP="00807992">
            <w:pPr>
              <w:spacing w:after="0" w:line="276" w:lineRule="auto"/>
              <w:ind w:firstLine="0"/>
              <w:jc w:val="right"/>
              <w:rPr>
                <w:rFonts w:ascii="Arial" w:hAnsi="Arial" w:cs="Arial"/>
                <w:sz w:val="18"/>
                <w:szCs w:val="18"/>
              </w:rPr>
            </w:pPr>
            <w:r w:rsidRPr="00667DFF">
              <w:rPr>
                <w:rFonts w:ascii="Arial" w:hAnsi="Arial" w:cs="Arial"/>
                <w:sz w:val="18"/>
                <w:szCs w:val="18"/>
              </w:rPr>
              <w:t>reconocidos</w:t>
            </w:r>
          </w:p>
        </w:tc>
        <w:tc>
          <w:tcPr>
            <w:tcW w:w="1900" w:type="dxa"/>
            <w:tcBorders>
              <w:top w:val="single" w:sz="4" w:space="0" w:color="auto"/>
              <w:bottom w:val="single" w:sz="4" w:space="0" w:color="auto"/>
            </w:tcBorders>
            <w:shd w:val="clear" w:color="auto" w:fill="FABF8F" w:themeFill="accent6" w:themeFillTint="99"/>
            <w:vAlign w:val="center"/>
          </w:tcPr>
          <w:p w14:paraId="73EBE43E" w14:textId="77777777" w:rsidR="00807992" w:rsidRPr="00667DFF" w:rsidRDefault="00807992" w:rsidP="00807992">
            <w:pPr>
              <w:spacing w:after="0" w:line="276" w:lineRule="auto"/>
              <w:ind w:firstLine="0"/>
              <w:jc w:val="right"/>
              <w:rPr>
                <w:rFonts w:ascii="Arial" w:hAnsi="Arial" w:cs="Arial"/>
                <w:sz w:val="18"/>
                <w:szCs w:val="18"/>
              </w:rPr>
            </w:pPr>
            <w:r w:rsidRPr="00667DFF">
              <w:rPr>
                <w:rFonts w:ascii="Arial" w:hAnsi="Arial" w:cs="Arial"/>
                <w:sz w:val="18"/>
                <w:szCs w:val="18"/>
              </w:rPr>
              <w:t xml:space="preserve">Obligaciones </w:t>
            </w:r>
          </w:p>
          <w:p w14:paraId="3BA011D7" w14:textId="77777777" w:rsidR="00807992" w:rsidRPr="00667DFF" w:rsidRDefault="00807992" w:rsidP="00807992">
            <w:pPr>
              <w:spacing w:after="0" w:line="276" w:lineRule="auto"/>
              <w:ind w:firstLine="0"/>
              <w:jc w:val="right"/>
              <w:rPr>
                <w:rFonts w:ascii="Arial" w:hAnsi="Arial" w:cs="Arial"/>
                <w:sz w:val="18"/>
                <w:szCs w:val="18"/>
              </w:rPr>
            </w:pPr>
            <w:r w:rsidRPr="00667DFF">
              <w:rPr>
                <w:rFonts w:ascii="Arial" w:hAnsi="Arial" w:cs="Arial"/>
                <w:sz w:val="18"/>
                <w:szCs w:val="18"/>
              </w:rPr>
              <w:t>reconocidas</w:t>
            </w:r>
          </w:p>
        </w:tc>
        <w:tc>
          <w:tcPr>
            <w:tcW w:w="1320" w:type="dxa"/>
            <w:tcBorders>
              <w:top w:val="single" w:sz="4" w:space="0" w:color="auto"/>
              <w:bottom w:val="single" w:sz="4" w:space="0" w:color="auto"/>
            </w:tcBorders>
            <w:shd w:val="clear" w:color="auto" w:fill="FABF8F" w:themeFill="accent6" w:themeFillTint="99"/>
            <w:vAlign w:val="center"/>
          </w:tcPr>
          <w:p w14:paraId="06D92D91" w14:textId="77777777" w:rsidR="00807992" w:rsidRPr="003F1951" w:rsidRDefault="00807992" w:rsidP="00807992">
            <w:pPr>
              <w:spacing w:after="0" w:line="276" w:lineRule="auto"/>
              <w:ind w:firstLine="0"/>
              <w:jc w:val="right"/>
              <w:rPr>
                <w:rFonts w:ascii="Arial" w:hAnsi="Arial" w:cs="Arial"/>
                <w:sz w:val="18"/>
                <w:szCs w:val="18"/>
              </w:rPr>
            </w:pPr>
            <w:r w:rsidRPr="003F1951">
              <w:rPr>
                <w:rFonts w:ascii="Arial" w:hAnsi="Arial" w:cs="Arial"/>
                <w:sz w:val="18"/>
                <w:szCs w:val="18"/>
              </w:rPr>
              <w:t xml:space="preserve">Personal a </w:t>
            </w:r>
          </w:p>
          <w:p w14:paraId="54B5B997" w14:textId="77777777" w:rsidR="00807992" w:rsidRPr="003F1951" w:rsidRDefault="00807992" w:rsidP="00807992">
            <w:pPr>
              <w:spacing w:after="0" w:line="276" w:lineRule="auto"/>
              <w:ind w:firstLine="0"/>
              <w:jc w:val="right"/>
              <w:rPr>
                <w:rFonts w:ascii="Arial" w:hAnsi="Arial" w:cs="Arial"/>
                <w:sz w:val="18"/>
                <w:szCs w:val="18"/>
              </w:rPr>
            </w:pPr>
            <w:r w:rsidRPr="003F1951">
              <w:rPr>
                <w:rFonts w:ascii="Arial" w:hAnsi="Arial" w:cs="Arial"/>
                <w:sz w:val="18"/>
                <w:szCs w:val="18"/>
              </w:rPr>
              <w:t>31-12-2021</w:t>
            </w:r>
          </w:p>
        </w:tc>
      </w:tr>
      <w:tr w:rsidR="00807992" w:rsidRPr="00667DFF" w14:paraId="1740B8FE" w14:textId="77777777" w:rsidTr="004845DB">
        <w:trPr>
          <w:trHeight w:val="198"/>
          <w:jc w:val="center"/>
        </w:trPr>
        <w:tc>
          <w:tcPr>
            <w:tcW w:w="3642" w:type="dxa"/>
            <w:tcBorders>
              <w:top w:val="single" w:sz="4" w:space="0" w:color="auto"/>
              <w:bottom w:val="single" w:sz="2" w:space="0" w:color="auto"/>
            </w:tcBorders>
            <w:shd w:val="clear" w:color="auto" w:fill="auto"/>
            <w:vAlign w:val="center"/>
          </w:tcPr>
          <w:p w14:paraId="6DE5D748" w14:textId="77777777" w:rsidR="00807992" w:rsidRPr="00667DFF" w:rsidRDefault="00807992" w:rsidP="00B040A7">
            <w:pPr>
              <w:spacing w:after="0"/>
              <w:ind w:firstLine="0"/>
              <w:jc w:val="left"/>
              <w:rPr>
                <w:rFonts w:ascii="Arial Narrow" w:hAnsi="Arial Narrow"/>
              </w:rPr>
            </w:pPr>
            <w:r w:rsidRPr="00667DFF">
              <w:rPr>
                <w:rFonts w:ascii="Arial Narrow" w:hAnsi="Arial Narrow"/>
              </w:rPr>
              <w:t>Ayuntamiento</w:t>
            </w:r>
          </w:p>
        </w:tc>
        <w:tc>
          <w:tcPr>
            <w:tcW w:w="2109" w:type="dxa"/>
            <w:tcBorders>
              <w:top w:val="single" w:sz="4" w:space="0" w:color="auto"/>
              <w:bottom w:val="single" w:sz="2" w:space="0" w:color="auto"/>
            </w:tcBorders>
            <w:shd w:val="clear" w:color="auto" w:fill="auto"/>
            <w:vAlign w:val="center"/>
          </w:tcPr>
          <w:p w14:paraId="2580E2AA" w14:textId="77777777" w:rsidR="00807992" w:rsidRPr="00102C26" w:rsidRDefault="00807992" w:rsidP="00B040A7">
            <w:pPr>
              <w:spacing w:after="0"/>
              <w:jc w:val="right"/>
              <w:rPr>
                <w:rFonts w:ascii="Arial Narrow" w:hAnsi="Arial Narrow"/>
              </w:rPr>
            </w:pPr>
            <w:r w:rsidRPr="00102C26">
              <w:rPr>
                <w:rFonts w:ascii="Arial Narrow" w:hAnsi="Arial Narrow"/>
              </w:rPr>
              <w:t>229.627.584</w:t>
            </w:r>
          </w:p>
        </w:tc>
        <w:tc>
          <w:tcPr>
            <w:tcW w:w="1900" w:type="dxa"/>
            <w:tcBorders>
              <w:top w:val="single" w:sz="4" w:space="0" w:color="auto"/>
              <w:bottom w:val="single" w:sz="2" w:space="0" w:color="auto"/>
            </w:tcBorders>
            <w:shd w:val="clear" w:color="auto" w:fill="auto"/>
            <w:vAlign w:val="center"/>
          </w:tcPr>
          <w:p w14:paraId="5C8450D3" w14:textId="77777777" w:rsidR="00807992" w:rsidRPr="00102C26" w:rsidRDefault="00807992" w:rsidP="00B040A7">
            <w:pPr>
              <w:spacing w:after="0"/>
              <w:jc w:val="right"/>
              <w:rPr>
                <w:rFonts w:ascii="Arial Narrow" w:hAnsi="Arial Narrow"/>
              </w:rPr>
            </w:pPr>
            <w:r w:rsidRPr="00102C26">
              <w:rPr>
                <w:rFonts w:ascii="Arial Narrow" w:hAnsi="Arial Narrow"/>
              </w:rPr>
              <w:t>234.639.100</w:t>
            </w:r>
          </w:p>
        </w:tc>
        <w:tc>
          <w:tcPr>
            <w:tcW w:w="1320" w:type="dxa"/>
            <w:tcBorders>
              <w:top w:val="single" w:sz="4" w:space="0" w:color="auto"/>
              <w:bottom w:val="single" w:sz="2" w:space="0" w:color="auto"/>
            </w:tcBorders>
            <w:shd w:val="clear" w:color="auto" w:fill="auto"/>
            <w:vAlign w:val="center"/>
          </w:tcPr>
          <w:p w14:paraId="5B1D89EA" w14:textId="77777777" w:rsidR="00807992" w:rsidRPr="003F1951" w:rsidRDefault="00962B2B" w:rsidP="00B040A7">
            <w:pPr>
              <w:spacing w:after="0"/>
              <w:jc w:val="right"/>
              <w:rPr>
                <w:rFonts w:ascii="Arial Narrow" w:hAnsi="Arial Narrow"/>
              </w:rPr>
            </w:pPr>
            <w:r>
              <w:rPr>
                <w:rFonts w:ascii="Arial Narrow" w:hAnsi="Arial Narrow"/>
              </w:rPr>
              <w:t>1.342</w:t>
            </w:r>
          </w:p>
        </w:tc>
      </w:tr>
      <w:tr w:rsidR="00807992" w:rsidRPr="00667DFF" w14:paraId="049BFF7E" w14:textId="77777777" w:rsidTr="00011983">
        <w:trPr>
          <w:trHeight w:val="198"/>
          <w:jc w:val="center"/>
        </w:trPr>
        <w:tc>
          <w:tcPr>
            <w:tcW w:w="3642" w:type="dxa"/>
            <w:tcBorders>
              <w:top w:val="single" w:sz="2" w:space="0" w:color="auto"/>
              <w:bottom w:val="single" w:sz="2" w:space="0" w:color="auto"/>
            </w:tcBorders>
            <w:shd w:val="clear" w:color="auto" w:fill="auto"/>
            <w:vAlign w:val="center"/>
          </w:tcPr>
          <w:p w14:paraId="290599BA" w14:textId="77777777" w:rsidR="00807992" w:rsidRPr="00667DFF" w:rsidRDefault="00807992" w:rsidP="00B040A7">
            <w:pPr>
              <w:spacing w:after="0"/>
              <w:ind w:firstLine="0"/>
              <w:jc w:val="left"/>
              <w:rPr>
                <w:rFonts w:ascii="Arial Narrow" w:hAnsi="Arial Narrow"/>
              </w:rPr>
            </w:pPr>
            <w:r>
              <w:rPr>
                <w:rFonts w:ascii="Arial Narrow" w:hAnsi="Arial Narrow"/>
              </w:rPr>
              <w:t>Escuelas Infantiles</w:t>
            </w:r>
          </w:p>
        </w:tc>
        <w:tc>
          <w:tcPr>
            <w:tcW w:w="2109" w:type="dxa"/>
            <w:tcBorders>
              <w:top w:val="single" w:sz="2" w:space="0" w:color="auto"/>
              <w:bottom w:val="single" w:sz="2" w:space="0" w:color="auto"/>
            </w:tcBorders>
            <w:shd w:val="clear" w:color="auto" w:fill="auto"/>
            <w:vAlign w:val="center"/>
          </w:tcPr>
          <w:p w14:paraId="56E749EA" w14:textId="77777777" w:rsidR="00807992" w:rsidRPr="00102C26" w:rsidRDefault="00807992" w:rsidP="00B040A7">
            <w:pPr>
              <w:spacing w:after="0"/>
              <w:jc w:val="right"/>
              <w:rPr>
                <w:rFonts w:ascii="Arial Narrow" w:hAnsi="Arial Narrow"/>
              </w:rPr>
            </w:pPr>
            <w:r w:rsidRPr="00102C26">
              <w:rPr>
                <w:rFonts w:ascii="Arial Narrow" w:hAnsi="Arial Narrow"/>
              </w:rPr>
              <w:t>10.675.251</w:t>
            </w:r>
          </w:p>
        </w:tc>
        <w:tc>
          <w:tcPr>
            <w:tcW w:w="1900" w:type="dxa"/>
            <w:tcBorders>
              <w:top w:val="single" w:sz="2" w:space="0" w:color="auto"/>
              <w:bottom w:val="single" w:sz="2" w:space="0" w:color="auto"/>
            </w:tcBorders>
            <w:shd w:val="clear" w:color="auto" w:fill="auto"/>
            <w:vAlign w:val="center"/>
          </w:tcPr>
          <w:p w14:paraId="020B6B94" w14:textId="77777777" w:rsidR="00807992" w:rsidRPr="00102C26" w:rsidRDefault="00807992" w:rsidP="00B040A7">
            <w:pPr>
              <w:spacing w:after="0"/>
              <w:jc w:val="right"/>
              <w:rPr>
                <w:rFonts w:ascii="Arial Narrow" w:hAnsi="Arial Narrow"/>
              </w:rPr>
            </w:pPr>
            <w:r w:rsidRPr="00102C26">
              <w:rPr>
                <w:rFonts w:ascii="Arial Narrow" w:hAnsi="Arial Narrow"/>
              </w:rPr>
              <w:t>10.125.336</w:t>
            </w:r>
          </w:p>
        </w:tc>
        <w:tc>
          <w:tcPr>
            <w:tcW w:w="1320" w:type="dxa"/>
            <w:tcBorders>
              <w:top w:val="single" w:sz="2" w:space="0" w:color="auto"/>
              <w:bottom w:val="single" w:sz="2" w:space="0" w:color="auto"/>
            </w:tcBorders>
            <w:shd w:val="clear" w:color="auto" w:fill="auto"/>
            <w:vAlign w:val="center"/>
          </w:tcPr>
          <w:p w14:paraId="0B2AD0E1" w14:textId="77777777" w:rsidR="00807992" w:rsidRPr="003F1951" w:rsidRDefault="00807992" w:rsidP="00B040A7">
            <w:pPr>
              <w:spacing w:after="0"/>
              <w:jc w:val="right"/>
              <w:rPr>
                <w:rFonts w:ascii="Arial Narrow" w:hAnsi="Arial Narrow"/>
              </w:rPr>
            </w:pPr>
            <w:r w:rsidRPr="003F1951">
              <w:rPr>
                <w:rFonts w:ascii="Arial Narrow" w:hAnsi="Arial Narrow"/>
              </w:rPr>
              <w:t>241</w:t>
            </w:r>
          </w:p>
        </w:tc>
      </w:tr>
      <w:tr w:rsidR="00807992" w:rsidRPr="00667DFF" w14:paraId="233DC930" w14:textId="77777777" w:rsidTr="00D92287">
        <w:trPr>
          <w:trHeight w:val="198"/>
          <w:jc w:val="center"/>
        </w:trPr>
        <w:tc>
          <w:tcPr>
            <w:tcW w:w="3642" w:type="dxa"/>
            <w:tcBorders>
              <w:top w:val="single" w:sz="2" w:space="0" w:color="auto"/>
              <w:bottom w:val="single" w:sz="2" w:space="0" w:color="auto"/>
            </w:tcBorders>
            <w:shd w:val="clear" w:color="auto" w:fill="auto"/>
            <w:vAlign w:val="center"/>
          </w:tcPr>
          <w:p w14:paraId="6FA52E46" w14:textId="77777777" w:rsidR="00807992" w:rsidRPr="00667DFF" w:rsidRDefault="00807992" w:rsidP="00B040A7">
            <w:pPr>
              <w:spacing w:after="0"/>
              <w:ind w:firstLine="0"/>
              <w:jc w:val="left"/>
              <w:rPr>
                <w:rFonts w:ascii="Arial Narrow" w:hAnsi="Arial Narrow"/>
              </w:rPr>
            </w:pPr>
            <w:r>
              <w:rPr>
                <w:rFonts w:ascii="Arial Narrow" w:hAnsi="Arial Narrow"/>
              </w:rPr>
              <w:t>Gerencia de Urbanismo</w:t>
            </w:r>
          </w:p>
        </w:tc>
        <w:tc>
          <w:tcPr>
            <w:tcW w:w="2109" w:type="dxa"/>
            <w:tcBorders>
              <w:top w:val="single" w:sz="2" w:space="0" w:color="auto"/>
              <w:bottom w:val="single" w:sz="2" w:space="0" w:color="auto"/>
            </w:tcBorders>
            <w:shd w:val="clear" w:color="auto" w:fill="auto"/>
            <w:vAlign w:val="center"/>
          </w:tcPr>
          <w:p w14:paraId="2EED1624" w14:textId="77777777" w:rsidR="00807992" w:rsidRPr="00102C26" w:rsidRDefault="00807992" w:rsidP="00B040A7">
            <w:pPr>
              <w:spacing w:after="0"/>
              <w:jc w:val="right"/>
              <w:rPr>
                <w:rFonts w:ascii="Arial Narrow" w:hAnsi="Arial Narrow"/>
              </w:rPr>
            </w:pPr>
            <w:r w:rsidRPr="00102C26">
              <w:rPr>
                <w:rFonts w:ascii="Arial Narrow" w:hAnsi="Arial Narrow"/>
              </w:rPr>
              <w:t>17.516.214</w:t>
            </w:r>
          </w:p>
        </w:tc>
        <w:tc>
          <w:tcPr>
            <w:tcW w:w="1900" w:type="dxa"/>
            <w:tcBorders>
              <w:top w:val="single" w:sz="2" w:space="0" w:color="auto"/>
              <w:bottom w:val="single" w:sz="2" w:space="0" w:color="auto"/>
            </w:tcBorders>
            <w:shd w:val="clear" w:color="auto" w:fill="auto"/>
            <w:vAlign w:val="center"/>
          </w:tcPr>
          <w:p w14:paraId="58772670" w14:textId="77777777" w:rsidR="00807992" w:rsidRPr="00102C26" w:rsidRDefault="00807992" w:rsidP="00B040A7">
            <w:pPr>
              <w:spacing w:after="0"/>
              <w:jc w:val="right"/>
              <w:rPr>
                <w:rFonts w:ascii="Arial Narrow" w:hAnsi="Arial Narrow"/>
              </w:rPr>
            </w:pPr>
            <w:r w:rsidRPr="00102C26">
              <w:rPr>
                <w:rFonts w:ascii="Arial Narrow" w:hAnsi="Arial Narrow"/>
              </w:rPr>
              <w:t>26.505.324</w:t>
            </w:r>
          </w:p>
        </w:tc>
        <w:tc>
          <w:tcPr>
            <w:tcW w:w="1320" w:type="dxa"/>
            <w:tcBorders>
              <w:top w:val="single" w:sz="2" w:space="0" w:color="auto"/>
              <w:bottom w:val="single" w:sz="2" w:space="0" w:color="auto"/>
            </w:tcBorders>
            <w:shd w:val="clear" w:color="auto" w:fill="auto"/>
            <w:vAlign w:val="center"/>
          </w:tcPr>
          <w:p w14:paraId="6E0A7BD7" w14:textId="77777777" w:rsidR="00807992" w:rsidRPr="003F1951" w:rsidRDefault="00807992" w:rsidP="00B040A7">
            <w:pPr>
              <w:spacing w:after="0"/>
              <w:jc w:val="right"/>
              <w:rPr>
                <w:rFonts w:ascii="Arial Narrow" w:hAnsi="Arial Narrow"/>
              </w:rPr>
            </w:pPr>
            <w:r w:rsidRPr="003F1951">
              <w:rPr>
                <w:rFonts w:ascii="Arial Narrow" w:hAnsi="Arial Narrow"/>
              </w:rPr>
              <w:t>27</w:t>
            </w:r>
          </w:p>
        </w:tc>
      </w:tr>
      <w:tr w:rsidR="00807992" w:rsidRPr="00667DFF" w14:paraId="1046E446" w14:textId="77777777" w:rsidTr="004845DB">
        <w:trPr>
          <w:trHeight w:val="198"/>
          <w:jc w:val="center"/>
        </w:trPr>
        <w:tc>
          <w:tcPr>
            <w:tcW w:w="3642" w:type="dxa"/>
            <w:tcBorders>
              <w:top w:val="single" w:sz="2" w:space="0" w:color="auto"/>
              <w:bottom w:val="single" w:sz="4" w:space="0" w:color="auto"/>
            </w:tcBorders>
            <w:shd w:val="clear" w:color="auto" w:fill="auto"/>
            <w:vAlign w:val="center"/>
          </w:tcPr>
          <w:p w14:paraId="145C0770" w14:textId="77777777" w:rsidR="00807992" w:rsidRPr="00667DFF" w:rsidRDefault="00807992" w:rsidP="00B040A7">
            <w:pPr>
              <w:spacing w:after="0"/>
              <w:ind w:firstLine="0"/>
              <w:jc w:val="left"/>
              <w:rPr>
                <w:rFonts w:ascii="Arial Narrow" w:hAnsi="Arial Narrow"/>
              </w:rPr>
            </w:pPr>
            <w:r w:rsidRPr="00667DFF">
              <w:rPr>
                <w:rFonts w:ascii="Arial Narrow" w:hAnsi="Arial Narrow"/>
              </w:rPr>
              <w:t xml:space="preserve">- Ajustes de consolidación </w:t>
            </w:r>
          </w:p>
        </w:tc>
        <w:tc>
          <w:tcPr>
            <w:tcW w:w="2109" w:type="dxa"/>
            <w:tcBorders>
              <w:top w:val="single" w:sz="2" w:space="0" w:color="auto"/>
              <w:bottom w:val="single" w:sz="4" w:space="0" w:color="auto"/>
            </w:tcBorders>
            <w:shd w:val="clear" w:color="auto" w:fill="auto"/>
            <w:vAlign w:val="center"/>
          </w:tcPr>
          <w:p w14:paraId="299614BA" w14:textId="77777777" w:rsidR="00807992" w:rsidRPr="008D0A02" w:rsidRDefault="00807992" w:rsidP="00B040A7">
            <w:pPr>
              <w:spacing w:after="0"/>
              <w:jc w:val="right"/>
              <w:rPr>
                <w:rFonts w:ascii="Arial Narrow" w:hAnsi="Arial Narrow"/>
              </w:rPr>
            </w:pPr>
            <w:r w:rsidRPr="008D0A02">
              <w:rPr>
                <w:rFonts w:ascii="Arial Narrow" w:hAnsi="Arial Narrow"/>
              </w:rPr>
              <w:t>-16.158.998</w:t>
            </w:r>
          </w:p>
        </w:tc>
        <w:tc>
          <w:tcPr>
            <w:tcW w:w="1900" w:type="dxa"/>
            <w:tcBorders>
              <w:top w:val="single" w:sz="2" w:space="0" w:color="auto"/>
              <w:bottom w:val="single" w:sz="4" w:space="0" w:color="auto"/>
            </w:tcBorders>
            <w:shd w:val="clear" w:color="auto" w:fill="auto"/>
            <w:vAlign w:val="center"/>
          </w:tcPr>
          <w:p w14:paraId="7DA5F085" w14:textId="77777777" w:rsidR="00807992" w:rsidRPr="008D0A02" w:rsidRDefault="00807992" w:rsidP="00B040A7">
            <w:pPr>
              <w:spacing w:after="0"/>
              <w:jc w:val="right"/>
              <w:rPr>
                <w:rFonts w:ascii="Arial Narrow" w:hAnsi="Arial Narrow"/>
              </w:rPr>
            </w:pPr>
            <w:r w:rsidRPr="008D0A02">
              <w:rPr>
                <w:rFonts w:ascii="Arial Narrow" w:hAnsi="Arial Narrow"/>
              </w:rPr>
              <w:t>-16.158.998</w:t>
            </w:r>
          </w:p>
        </w:tc>
        <w:tc>
          <w:tcPr>
            <w:tcW w:w="1320" w:type="dxa"/>
            <w:tcBorders>
              <w:top w:val="single" w:sz="2" w:space="0" w:color="auto"/>
              <w:bottom w:val="single" w:sz="4" w:space="0" w:color="auto"/>
            </w:tcBorders>
            <w:shd w:val="clear" w:color="auto" w:fill="auto"/>
            <w:vAlign w:val="center"/>
          </w:tcPr>
          <w:p w14:paraId="62090D0F" w14:textId="77777777" w:rsidR="00807992" w:rsidRPr="003F1951" w:rsidRDefault="00807992" w:rsidP="00B040A7">
            <w:pPr>
              <w:spacing w:after="0"/>
              <w:jc w:val="right"/>
              <w:rPr>
                <w:rFonts w:ascii="Arial Narrow" w:hAnsi="Arial Narrow"/>
              </w:rPr>
            </w:pPr>
          </w:p>
        </w:tc>
      </w:tr>
      <w:tr w:rsidR="00807992" w:rsidRPr="00667DFF" w14:paraId="0985B510" w14:textId="77777777" w:rsidTr="005A0253">
        <w:trPr>
          <w:trHeight w:val="255"/>
          <w:jc w:val="center"/>
        </w:trPr>
        <w:tc>
          <w:tcPr>
            <w:tcW w:w="3642" w:type="dxa"/>
            <w:tcBorders>
              <w:top w:val="single" w:sz="4" w:space="0" w:color="auto"/>
              <w:bottom w:val="single" w:sz="4" w:space="0" w:color="auto"/>
            </w:tcBorders>
            <w:shd w:val="clear" w:color="auto" w:fill="FABF8F" w:themeFill="accent6" w:themeFillTint="99"/>
            <w:vAlign w:val="center"/>
          </w:tcPr>
          <w:p w14:paraId="0AB01385" w14:textId="77777777" w:rsidR="00807992" w:rsidRPr="00667DFF" w:rsidRDefault="00807992" w:rsidP="00807992">
            <w:pPr>
              <w:spacing w:after="0" w:line="276" w:lineRule="auto"/>
              <w:ind w:firstLine="0"/>
              <w:rPr>
                <w:rFonts w:ascii="Arial" w:hAnsi="Arial" w:cs="Arial"/>
                <w:sz w:val="18"/>
                <w:szCs w:val="18"/>
              </w:rPr>
            </w:pPr>
            <w:proofErr w:type="gramStart"/>
            <w:r w:rsidRPr="00667DFF">
              <w:rPr>
                <w:rFonts w:ascii="Arial" w:hAnsi="Arial" w:cs="Arial"/>
                <w:sz w:val="18"/>
                <w:szCs w:val="18"/>
              </w:rPr>
              <w:t>Total</w:t>
            </w:r>
            <w:proofErr w:type="gramEnd"/>
            <w:r w:rsidRPr="00667DFF">
              <w:rPr>
                <w:rFonts w:ascii="Arial" w:hAnsi="Arial" w:cs="Arial"/>
                <w:sz w:val="18"/>
                <w:szCs w:val="18"/>
              </w:rPr>
              <w:t xml:space="preserve"> consolidado</w:t>
            </w:r>
          </w:p>
        </w:tc>
        <w:tc>
          <w:tcPr>
            <w:tcW w:w="2109" w:type="dxa"/>
            <w:tcBorders>
              <w:top w:val="single" w:sz="4" w:space="0" w:color="auto"/>
              <w:bottom w:val="single" w:sz="4" w:space="0" w:color="auto"/>
            </w:tcBorders>
            <w:shd w:val="clear" w:color="auto" w:fill="FABF8F" w:themeFill="accent6" w:themeFillTint="99"/>
            <w:vAlign w:val="center"/>
          </w:tcPr>
          <w:p w14:paraId="1FE990BD" w14:textId="77777777" w:rsidR="00807992" w:rsidRPr="001C0B31" w:rsidRDefault="00807992" w:rsidP="00807992">
            <w:pPr>
              <w:spacing w:after="0" w:line="276" w:lineRule="auto"/>
              <w:ind w:firstLine="0"/>
              <w:jc w:val="right"/>
              <w:rPr>
                <w:rFonts w:ascii="Arial" w:hAnsi="Arial" w:cs="Arial"/>
                <w:color w:val="FF0000"/>
                <w:sz w:val="18"/>
                <w:szCs w:val="18"/>
              </w:rPr>
            </w:pPr>
            <w:r w:rsidRPr="00102C26">
              <w:rPr>
                <w:rFonts w:ascii="Arial" w:hAnsi="Arial" w:cs="Arial"/>
                <w:sz w:val="18"/>
                <w:szCs w:val="18"/>
              </w:rPr>
              <w:t>241.660.051</w:t>
            </w:r>
          </w:p>
        </w:tc>
        <w:tc>
          <w:tcPr>
            <w:tcW w:w="1900" w:type="dxa"/>
            <w:tcBorders>
              <w:top w:val="single" w:sz="4" w:space="0" w:color="auto"/>
              <w:bottom w:val="single" w:sz="4" w:space="0" w:color="auto"/>
            </w:tcBorders>
            <w:shd w:val="clear" w:color="auto" w:fill="FABF8F" w:themeFill="accent6" w:themeFillTint="99"/>
            <w:vAlign w:val="center"/>
          </w:tcPr>
          <w:p w14:paraId="5E6257B5" w14:textId="77777777" w:rsidR="00807992" w:rsidRPr="001C0B31" w:rsidRDefault="00807992" w:rsidP="00807992">
            <w:pPr>
              <w:spacing w:after="0" w:line="276" w:lineRule="auto"/>
              <w:ind w:firstLine="0"/>
              <w:jc w:val="right"/>
              <w:rPr>
                <w:rFonts w:ascii="Arial" w:hAnsi="Arial" w:cs="Arial"/>
                <w:color w:val="FF0000"/>
                <w:sz w:val="18"/>
                <w:szCs w:val="18"/>
              </w:rPr>
            </w:pPr>
            <w:r w:rsidRPr="00102C26">
              <w:rPr>
                <w:rFonts w:ascii="Arial" w:hAnsi="Arial" w:cs="Arial"/>
                <w:sz w:val="18"/>
                <w:szCs w:val="18"/>
              </w:rPr>
              <w:t>255.110.762</w:t>
            </w:r>
          </w:p>
        </w:tc>
        <w:tc>
          <w:tcPr>
            <w:tcW w:w="1320" w:type="dxa"/>
            <w:tcBorders>
              <w:top w:val="single" w:sz="4" w:space="0" w:color="auto"/>
              <w:bottom w:val="single" w:sz="4" w:space="0" w:color="auto"/>
            </w:tcBorders>
            <w:shd w:val="clear" w:color="auto" w:fill="FABF8F" w:themeFill="accent6" w:themeFillTint="99"/>
            <w:vAlign w:val="bottom"/>
          </w:tcPr>
          <w:p w14:paraId="7DCBABAB" w14:textId="77777777" w:rsidR="00807992" w:rsidRPr="003F1951" w:rsidRDefault="00962B2B" w:rsidP="00807992">
            <w:pPr>
              <w:spacing w:after="0" w:line="276" w:lineRule="auto"/>
              <w:ind w:firstLine="0"/>
              <w:jc w:val="right"/>
              <w:rPr>
                <w:rFonts w:ascii="Arial" w:hAnsi="Arial" w:cs="Arial"/>
                <w:sz w:val="18"/>
                <w:szCs w:val="18"/>
              </w:rPr>
            </w:pPr>
            <w:r>
              <w:rPr>
                <w:rFonts w:ascii="Arial" w:hAnsi="Arial" w:cs="Arial"/>
                <w:sz w:val="18"/>
                <w:szCs w:val="18"/>
              </w:rPr>
              <w:t>1.61</w:t>
            </w:r>
            <w:r w:rsidR="00807992">
              <w:rPr>
                <w:rFonts w:ascii="Arial" w:hAnsi="Arial" w:cs="Arial"/>
                <w:sz w:val="18"/>
                <w:szCs w:val="18"/>
              </w:rPr>
              <w:t>0</w:t>
            </w:r>
          </w:p>
        </w:tc>
      </w:tr>
    </w:tbl>
    <w:p w14:paraId="697FD6B1" w14:textId="77777777" w:rsidR="00807992" w:rsidRPr="00102C26" w:rsidRDefault="00807992" w:rsidP="005270CA">
      <w:pPr>
        <w:spacing w:before="180" w:after="240" w:line="276" w:lineRule="auto"/>
        <w:ind w:firstLine="284"/>
        <w:rPr>
          <w:spacing w:val="6"/>
          <w:sz w:val="26"/>
          <w:szCs w:val="26"/>
        </w:rPr>
      </w:pPr>
      <w:r>
        <w:rPr>
          <w:spacing w:val="6"/>
          <w:sz w:val="26"/>
          <w:szCs w:val="26"/>
        </w:rPr>
        <w:t>En 2021</w:t>
      </w:r>
      <w:r w:rsidRPr="00667DFF">
        <w:rPr>
          <w:spacing w:val="6"/>
          <w:sz w:val="26"/>
          <w:szCs w:val="26"/>
        </w:rPr>
        <w:t xml:space="preserve">, el ayuntamiento </w:t>
      </w:r>
      <w:r w:rsidR="00792974">
        <w:rPr>
          <w:spacing w:val="6"/>
          <w:sz w:val="26"/>
          <w:szCs w:val="26"/>
        </w:rPr>
        <w:t xml:space="preserve">realizó transferencias por </w:t>
      </w:r>
      <w:r>
        <w:rPr>
          <w:spacing w:val="6"/>
          <w:sz w:val="26"/>
          <w:szCs w:val="26"/>
        </w:rPr>
        <w:t>15,1 millones a los organismos autónomos.</w:t>
      </w:r>
    </w:p>
    <w:p w14:paraId="685C20C3" w14:textId="77777777" w:rsidR="00807992" w:rsidRDefault="00807992" w:rsidP="00807992">
      <w:pPr>
        <w:numPr>
          <w:ilvl w:val="0"/>
          <w:numId w:val="2"/>
        </w:numPr>
        <w:tabs>
          <w:tab w:val="clear" w:pos="502"/>
          <w:tab w:val="num" w:pos="360"/>
          <w:tab w:val="left" w:pos="480"/>
          <w:tab w:val="num" w:pos="600"/>
          <w:tab w:val="num" w:pos="720"/>
          <w:tab w:val="num" w:pos="1320"/>
          <w:tab w:val="num" w:pos="1637"/>
        </w:tabs>
        <w:spacing w:after="240"/>
        <w:ind w:left="0" w:firstLine="289"/>
        <w:rPr>
          <w:spacing w:val="6"/>
          <w:sz w:val="26"/>
          <w:szCs w:val="26"/>
        </w:rPr>
      </w:pPr>
      <w:r w:rsidRPr="00667DFF">
        <w:rPr>
          <w:spacing w:val="6"/>
          <w:sz w:val="26"/>
          <w:szCs w:val="26"/>
        </w:rPr>
        <w:t>Sociedades mercantiles:</w:t>
      </w:r>
    </w:p>
    <w:tbl>
      <w:tblPr>
        <w:tblW w:w="8931" w:type="dxa"/>
        <w:tblCellMar>
          <w:top w:w="28" w:type="dxa"/>
          <w:left w:w="70" w:type="dxa"/>
          <w:right w:w="70" w:type="dxa"/>
        </w:tblCellMar>
        <w:tblLook w:val="04A0" w:firstRow="1" w:lastRow="0" w:firstColumn="1" w:lastColumn="0" w:noHBand="0" w:noVBand="1"/>
      </w:tblPr>
      <w:tblGrid>
        <w:gridCol w:w="3261"/>
        <w:gridCol w:w="1842"/>
        <w:gridCol w:w="993"/>
        <w:gridCol w:w="1275"/>
        <w:gridCol w:w="1560"/>
      </w:tblGrid>
      <w:tr w:rsidR="00807992" w:rsidRPr="00756EC3" w14:paraId="61D97F2B" w14:textId="77777777" w:rsidTr="004845DB">
        <w:trPr>
          <w:trHeight w:val="255"/>
        </w:trPr>
        <w:tc>
          <w:tcPr>
            <w:tcW w:w="3261" w:type="dxa"/>
            <w:tcBorders>
              <w:top w:val="single" w:sz="4" w:space="0" w:color="auto"/>
              <w:left w:val="nil"/>
              <w:bottom w:val="single" w:sz="4" w:space="0" w:color="auto"/>
              <w:right w:val="nil"/>
            </w:tcBorders>
            <w:shd w:val="clear" w:color="auto" w:fill="FABF8F" w:themeFill="accent6" w:themeFillTint="99"/>
            <w:vAlign w:val="center"/>
            <w:hideMark/>
          </w:tcPr>
          <w:p w14:paraId="3161B83A" w14:textId="77777777" w:rsidR="00807992" w:rsidRPr="00756EC3" w:rsidRDefault="00807992" w:rsidP="00807992">
            <w:pPr>
              <w:spacing w:after="0"/>
              <w:ind w:firstLine="0"/>
              <w:rPr>
                <w:rFonts w:ascii="Arial" w:hAnsi="Arial" w:cs="Arial"/>
                <w:color w:val="000000"/>
                <w:sz w:val="18"/>
                <w:szCs w:val="18"/>
                <w:lang w:val="es-ES" w:eastAsia="es-ES"/>
              </w:rPr>
            </w:pPr>
            <w:r w:rsidRPr="00756EC3">
              <w:rPr>
                <w:rFonts w:ascii="Arial" w:hAnsi="Arial" w:cs="Arial"/>
                <w:color w:val="000000"/>
                <w:sz w:val="18"/>
                <w:szCs w:val="18"/>
                <w:lang w:eastAsia="es-ES"/>
              </w:rPr>
              <w:t>Sociedad pública</w:t>
            </w:r>
          </w:p>
        </w:tc>
        <w:tc>
          <w:tcPr>
            <w:tcW w:w="1842" w:type="dxa"/>
            <w:tcBorders>
              <w:top w:val="single" w:sz="4" w:space="0" w:color="auto"/>
              <w:left w:val="nil"/>
              <w:bottom w:val="single" w:sz="4" w:space="0" w:color="auto"/>
              <w:right w:val="nil"/>
            </w:tcBorders>
            <w:shd w:val="clear" w:color="auto" w:fill="FABF8F" w:themeFill="accent6" w:themeFillTint="99"/>
            <w:vAlign w:val="center"/>
            <w:hideMark/>
          </w:tcPr>
          <w:p w14:paraId="0CE54551" w14:textId="77777777" w:rsidR="00807992" w:rsidRPr="00756EC3" w:rsidRDefault="00807992" w:rsidP="00D92287">
            <w:pPr>
              <w:spacing w:after="0"/>
              <w:ind w:firstLine="0"/>
              <w:jc w:val="right"/>
              <w:rPr>
                <w:rFonts w:ascii="Arial" w:hAnsi="Arial" w:cs="Arial"/>
                <w:color w:val="000000"/>
                <w:sz w:val="18"/>
                <w:szCs w:val="18"/>
                <w:lang w:val="es-ES" w:eastAsia="es-ES"/>
              </w:rPr>
            </w:pPr>
            <w:r w:rsidRPr="00756EC3">
              <w:rPr>
                <w:rFonts w:ascii="Arial" w:hAnsi="Arial" w:cs="Arial"/>
                <w:color w:val="000000"/>
                <w:sz w:val="18"/>
                <w:szCs w:val="18"/>
                <w:lang w:eastAsia="es-ES"/>
              </w:rPr>
              <w:t>Ingresos</w:t>
            </w:r>
          </w:p>
        </w:tc>
        <w:tc>
          <w:tcPr>
            <w:tcW w:w="993" w:type="dxa"/>
            <w:tcBorders>
              <w:top w:val="single" w:sz="4" w:space="0" w:color="auto"/>
              <w:left w:val="nil"/>
              <w:bottom w:val="single" w:sz="4" w:space="0" w:color="auto"/>
              <w:right w:val="nil"/>
            </w:tcBorders>
            <w:shd w:val="clear" w:color="auto" w:fill="FABF8F" w:themeFill="accent6" w:themeFillTint="99"/>
            <w:vAlign w:val="center"/>
            <w:hideMark/>
          </w:tcPr>
          <w:p w14:paraId="52A0E966" w14:textId="77777777" w:rsidR="00807992" w:rsidRPr="00756EC3" w:rsidRDefault="00807992" w:rsidP="00D92287">
            <w:pPr>
              <w:spacing w:after="0"/>
              <w:ind w:firstLine="0"/>
              <w:jc w:val="right"/>
              <w:rPr>
                <w:rFonts w:ascii="Arial" w:hAnsi="Arial" w:cs="Arial"/>
                <w:color w:val="000000"/>
                <w:sz w:val="18"/>
                <w:szCs w:val="18"/>
                <w:lang w:val="es-ES" w:eastAsia="es-ES"/>
              </w:rPr>
            </w:pPr>
            <w:r w:rsidRPr="00756EC3">
              <w:rPr>
                <w:rFonts w:ascii="Arial" w:hAnsi="Arial" w:cs="Arial"/>
                <w:color w:val="000000"/>
                <w:sz w:val="18"/>
                <w:szCs w:val="18"/>
                <w:lang w:eastAsia="es-ES"/>
              </w:rPr>
              <w:t>Gastos</w:t>
            </w:r>
          </w:p>
        </w:tc>
        <w:tc>
          <w:tcPr>
            <w:tcW w:w="1275" w:type="dxa"/>
            <w:tcBorders>
              <w:top w:val="single" w:sz="4" w:space="0" w:color="auto"/>
              <w:left w:val="nil"/>
              <w:bottom w:val="single" w:sz="4" w:space="0" w:color="auto"/>
              <w:right w:val="nil"/>
            </w:tcBorders>
            <w:shd w:val="clear" w:color="auto" w:fill="FABF8F" w:themeFill="accent6" w:themeFillTint="99"/>
            <w:vAlign w:val="center"/>
            <w:hideMark/>
          </w:tcPr>
          <w:p w14:paraId="0226D802" w14:textId="77777777" w:rsidR="00807992" w:rsidRPr="00756EC3" w:rsidRDefault="00807992" w:rsidP="00D92287">
            <w:pPr>
              <w:spacing w:after="0"/>
              <w:ind w:firstLine="0"/>
              <w:jc w:val="right"/>
              <w:rPr>
                <w:rFonts w:ascii="Arial" w:hAnsi="Arial" w:cs="Arial"/>
                <w:color w:val="000000"/>
                <w:sz w:val="18"/>
                <w:szCs w:val="18"/>
                <w:lang w:val="es-ES" w:eastAsia="es-ES"/>
              </w:rPr>
            </w:pPr>
            <w:r w:rsidRPr="00756EC3">
              <w:rPr>
                <w:rFonts w:ascii="Arial" w:hAnsi="Arial" w:cs="Arial"/>
                <w:color w:val="000000"/>
                <w:sz w:val="18"/>
                <w:szCs w:val="18"/>
                <w:lang w:eastAsia="es-ES"/>
              </w:rPr>
              <w:t>Resultado del ejercicio</w:t>
            </w:r>
          </w:p>
        </w:tc>
        <w:tc>
          <w:tcPr>
            <w:tcW w:w="1560" w:type="dxa"/>
            <w:tcBorders>
              <w:top w:val="single" w:sz="4" w:space="0" w:color="auto"/>
              <w:left w:val="nil"/>
              <w:bottom w:val="single" w:sz="4" w:space="0" w:color="auto"/>
              <w:right w:val="nil"/>
            </w:tcBorders>
            <w:shd w:val="clear" w:color="auto" w:fill="FABF8F" w:themeFill="accent6" w:themeFillTint="99"/>
            <w:vAlign w:val="center"/>
            <w:hideMark/>
          </w:tcPr>
          <w:p w14:paraId="2739720F" w14:textId="77777777" w:rsidR="00807992" w:rsidRPr="00756EC3" w:rsidRDefault="00807992" w:rsidP="00D92287">
            <w:pPr>
              <w:spacing w:after="0"/>
              <w:ind w:firstLine="0"/>
              <w:jc w:val="right"/>
              <w:rPr>
                <w:rFonts w:ascii="Arial" w:hAnsi="Arial" w:cs="Arial"/>
                <w:color w:val="000000"/>
                <w:sz w:val="18"/>
                <w:szCs w:val="18"/>
                <w:lang w:val="es-ES" w:eastAsia="es-ES"/>
              </w:rPr>
            </w:pPr>
            <w:r w:rsidRPr="00756EC3">
              <w:rPr>
                <w:rFonts w:ascii="Arial" w:hAnsi="Arial" w:cs="Arial"/>
                <w:color w:val="000000"/>
                <w:sz w:val="18"/>
                <w:szCs w:val="18"/>
                <w:lang w:eastAsia="es-ES"/>
              </w:rPr>
              <w:t>Plantilla media 2021</w:t>
            </w:r>
          </w:p>
        </w:tc>
      </w:tr>
      <w:tr w:rsidR="00807992" w:rsidRPr="00756EC3" w14:paraId="74EEA858" w14:textId="77777777" w:rsidTr="004845DB">
        <w:trPr>
          <w:trHeight w:val="198"/>
        </w:trPr>
        <w:tc>
          <w:tcPr>
            <w:tcW w:w="3261" w:type="dxa"/>
            <w:tcBorders>
              <w:top w:val="single" w:sz="4" w:space="0" w:color="auto"/>
              <w:left w:val="nil"/>
              <w:bottom w:val="single" w:sz="2" w:space="0" w:color="auto"/>
              <w:right w:val="nil"/>
            </w:tcBorders>
            <w:shd w:val="clear" w:color="auto" w:fill="auto"/>
            <w:vAlign w:val="center"/>
            <w:hideMark/>
          </w:tcPr>
          <w:p w14:paraId="6FF07DAB" w14:textId="77777777" w:rsidR="00807992" w:rsidRPr="00756EC3" w:rsidRDefault="00807992" w:rsidP="00807992">
            <w:pPr>
              <w:spacing w:after="0"/>
              <w:ind w:firstLine="0"/>
              <w:rPr>
                <w:rFonts w:ascii="Arial Narrow" w:hAnsi="Arial Narrow" w:cs="Calibri"/>
                <w:color w:val="000000"/>
                <w:lang w:val="es-ES" w:eastAsia="es-ES"/>
              </w:rPr>
            </w:pPr>
            <w:proofErr w:type="spellStart"/>
            <w:r w:rsidRPr="00756EC3">
              <w:rPr>
                <w:rFonts w:ascii="Arial Narrow" w:hAnsi="Arial Narrow" w:cs="Calibri"/>
                <w:color w:val="000000"/>
                <w:lang w:eastAsia="es-ES"/>
              </w:rPr>
              <w:t>Comiruña</w:t>
            </w:r>
            <w:proofErr w:type="spellEnd"/>
            <w:r w:rsidRPr="00756EC3">
              <w:rPr>
                <w:rFonts w:ascii="Arial Narrow" w:hAnsi="Arial Narrow" w:cs="Calibri"/>
                <w:color w:val="000000"/>
                <w:lang w:eastAsia="es-ES"/>
              </w:rPr>
              <w:t>, S.A.</w:t>
            </w:r>
          </w:p>
        </w:tc>
        <w:tc>
          <w:tcPr>
            <w:tcW w:w="1842" w:type="dxa"/>
            <w:tcBorders>
              <w:top w:val="single" w:sz="4" w:space="0" w:color="auto"/>
              <w:left w:val="nil"/>
              <w:bottom w:val="single" w:sz="2" w:space="0" w:color="auto"/>
              <w:right w:val="nil"/>
            </w:tcBorders>
            <w:shd w:val="clear" w:color="auto" w:fill="auto"/>
            <w:vAlign w:val="center"/>
            <w:hideMark/>
          </w:tcPr>
          <w:p w14:paraId="7811FC48"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458.340</w:t>
            </w:r>
          </w:p>
        </w:tc>
        <w:tc>
          <w:tcPr>
            <w:tcW w:w="993" w:type="dxa"/>
            <w:tcBorders>
              <w:top w:val="single" w:sz="4" w:space="0" w:color="auto"/>
              <w:left w:val="nil"/>
              <w:bottom w:val="single" w:sz="2" w:space="0" w:color="auto"/>
              <w:right w:val="nil"/>
            </w:tcBorders>
            <w:shd w:val="clear" w:color="auto" w:fill="auto"/>
            <w:vAlign w:val="center"/>
            <w:hideMark/>
          </w:tcPr>
          <w:p w14:paraId="65085D66"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415.239</w:t>
            </w:r>
          </w:p>
        </w:tc>
        <w:tc>
          <w:tcPr>
            <w:tcW w:w="1275" w:type="dxa"/>
            <w:tcBorders>
              <w:top w:val="single" w:sz="4" w:space="0" w:color="auto"/>
              <w:left w:val="nil"/>
              <w:bottom w:val="single" w:sz="2" w:space="0" w:color="auto"/>
              <w:right w:val="nil"/>
            </w:tcBorders>
            <w:shd w:val="clear" w:color="auto" w:fill="auto"/>
            <w:vAlign w:val="center"/>
            <w:hideMark/>
          </w:tcPr>
          <w:p w14:paraId="0CF40D04"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43.101</w:t>
            </w:r>
          </w:p>
        </w:tc>
        <w:tc>
          <w:tcPr>
            <w:tcW w:w="1560" w:type="dxa"/>
            <w:tcBorders>
              <w:top w:val="single" w:sz="4" w:space="0" w:color="auto"/>
              <w:left w:val="nil"/>
              <w:bottom w:val="single" w:sz="2" w:space="0" w:color="auto"/>
              <w:right w:val="nil"/>
            </w:tcBorders>
            <w:shd w:val="clear" w:color="auto" w:fill="auto"/>
            <w:vAlign w:val="center"/>
            <w:hideMark/>
          </w:tcPr>
          <w:p w14:paraId="09A408B4"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6,0</w:t>
            </w:r>
          </w:p>
        </w:tc>
      </w:tr>
      <w:tr w:rsidR="00807992" w:rsidRPr="00756EC3" w14:paraId="7C2FC541" w14:textId="77777777" w:rsidTr="005A0253">
        <w:trPr>
          <w:trHeight w:val="198"/>
        </w:trPr>
        <w:tc>
          <w:tcPr>
            <w:tcW w:w="3261" w:type="dxa"/>
            <w:tcBorders>
              <w:top w:val="single" w:sz="2" w:space="0" w:color="auto"/>
              <w:left w:val="nil"/>
              <w:bottom w:val="single" w:sz="2" w:space="0" w:color="auto"/>
              <w:right w:val="nil"/>
            </w:tcBorders>
            <w:shd w:val="clear" w:color="auto" w:fill="auto"/>
            <w:vAlign w:val="center"/>
            <w:hideMark/>
          </w:tcPr>
          <w:p w14:paraId="02BD38B3" w14:textId="77777777" w:rsidR="00807992" w:rsidRPr="00756EC3" w:rsidRDefault="00807992" w:rsidP="00807992">
            <w:pPr>
              <w:spacing w:after="0"/>
              <w:ind w:firstLine="0"/>
              <w:rPr>
                <w:rFonts w:ascii="Arial Narrow" w:hAnsi="Arial Narrow" w:cs="Calibri"/>
                <w:color w:val="000000"/>
                <w:lang w:val="es-ES" w:eastAsia="es-ES"/>
              </w:rPr>
            </w:pPr>
            <w:r>
              <w:rPr>
                <w:rFonts w:ascii="Arial Narrow" w:hAnsi="Arial Narrow" w:cs="Calibri"/>
                <w:color w:val="000000"/>
                <w:lang w:eastAsia="es-ES"/>
              </w:rPr>
              <w:t xml:space="preserve">Pamplona Centro </w:t>
            </w:r>
            <w:r w:rsidRPr="00756EC3">
              <w:rPr>
                <w:rFonts w:ascii="Arial Narrow" w:hAnsi="Arial Narrow" w:cs="Calibri"/>
                <w:color w:val="000000"/>
                <w:lang w:eastAsia="es-ES"/>
              </w:rPr>
              <w:t>Histórico, S.</w:t>
            </w:r>
            <w:proofErr w:type="gramStart"/>
            <w:r w:rsidRPr="00756EC3">
              <w:rPr>
                <w:rFonts w:ascii="Arial Narrow" w:hAnsi="Arial Narrow" w:cs="Calibri"/>
                <w:color w:val="000000"/>
                <w:lang w:eastAsia="es-ES"/>
              </w:rPr>
              <w:t>A.</w:t>
            </w:r>
            <w:r>
              <w:rPr>
                <w:rFonts w:ascii="Arial Narrow" w:hAnsi="Arial Narrow" w:cs="Calibri"/>
                <w:color w:val="000000"/>
                <w:lang w:eastAsia="es-ES"/>
              </w:rPr>
              <w:t>U</w:t>
            </w:r>
            <w:proofErr w:type="gramEnd"/>
          </w:p>
        </w:tc>
        <w:tc>
          <w:tcPr>
            <w:tcW w:w="1842" w:type="dxa"/>
            <w:tcBorders>
              <w:top w:val="single" w:sz="2" w:space="0" w:color="auto"/>
              <w:left w:val="nil"/>
              <w:bottom w:val="single" w:sz="2" w:space="0" w:color="auto"/>
              <w:right w:val="nil"/>
            </w:tcBorders>
            <w:shd w:val="clear" w:color="auto" w:fill="auto"/>
            <w:vAlign w:val="center"/>
            <w:hideMark/>
          </w:tcPr>
          <w:p w14:paraId="3034E0E7"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1.732.434</w:t>
            </w:r>
          </w:p>
        </w:tc>
        <w:tc>
          <w:tcPr>
            <w:tcW w:w="993" w:type="dxa"/>
            <w:tcBorders>
              <w:top w:val="single" w:sz="2" w:space="0" w:color="auto"/>
              <w:left w:val="nil"/>
              <w:bottom w:val="single" w:sz="2" w:space="0" w:color="auto"/>
              <w:right w:val="nil"/>
            </w:tcBorders>
            <w:shd w:val="clear" w:color="auto" w:fill="auto"/>
            <w:vAlign w:val="center"/>
            <w:hideMark/>
          </w:tcPr>
          <w:p w14:paraId="77A4C865"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2.230.325</w:t>
            </w:r>
          </w:p>
        </w:tc>
        <w:tc>
          <w:tcPr>
            <w:tcW w:w="1275" w:type="dxa"/>
            <w:tcBorders>
              <w:top w:val="single" w:sz="2" w:space="0" w:color="auto"/>
              <w:left w:val="nil"/>
              <w:bottom w:val="single" w:sz="2" w:space="0" w:color="auto"/>
              <w:right w:val="nil"/>
            </w:tcBorders>
            <w:shd w:val="clear" w:color="auto" w:fill="auto"/>
            <w:vAlign w:val="center"/>
            <w:hideMark/>
          </w:tcPr>
          <w:p w14:paraId="07A8D0AB"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-497.892</w:t>
            </w:r>
          </w:p>
        </w:tc>
        <w:tc>
          <w:tcPr>
            <w:tcW w:w="1560" w:type="dxa"/>
            <w:tcBorders>
              <w:top w:val="single" w:sz="2" w:space="0" w:color="auto"/>
              <w:left w:val="nil"/>
              <w:bottom w:val="single" w:sz="2" w:space="0" w:color="auto"/>
              <w:right w:val="nil"/>
            </w:tcBorders>
            <w:shd w:val="clear" w:color="auto" w:fill="auto"/>
            <w:vAlign w:val="center"/>
            <w:hideMark/>
          </w:tcPr>
          <w:p w14:paraId="7259DAE7"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4,3</w:t>
            </w:r>
          </w:p>
        </w:tc>
      </w:tr>
      <w:tr w:rsidR="00807992" w:rsidRPr="00756EC3" w14:paraId="5A5F120F" w14:textId="77777777" w:rsidTr="00DE3CAC">
        <w:trPr>
          <w:trHeight w:val="198"/>
        </w:trPr>
        <w:tc>
          <w:tcPr>
            <w:tcW w:w="3261" w:type="dxa"/>
            <w:tcBorders>
              <w:top w:val="single" w:sz="2" w:space="0" w:color="auto"/>
              <w:left w:val="nil"/>
              <w:bottom w:val="single" w:sz="2" w:space="0" w:color="auto"/>
              <w:right w:val="nil"/>
            </w:tcBorders>
            <w:shd w:val="clear" w:color="auto" w:fill="auto"/>
            <w:vAlign w:val="center"/>
            <w:hideMark/>
          </w:tcPr>
          <w:p w14:paraId="4FAF39D6" w14:textId="77777777" w:rsidR="00807992" w:rsidRPr="00756EC3" w:rsidRDefault="00807992" w:rsidP="00807992">
            <w:pPr>
              <w:spacing w:after="0"/>
              <w:ind w:firstLine="0"/>
              <w:rPr>
                <w:rFonts w:ascii="Arial Narrow" w:hAnsi="Arial Narrow" w:cs="Calibri"/>
                <w:color w:val="000000"/>
                <w:lang w:val="es-ES" w:eastAsia="es-ES"/>
              </w:rPr>
            </w:pPr>
            <w:r w:rsidRPr="00756EC3">
              <w:rPr>
                <w:rFonts w:ascii="Arial Narrow" w:hAnsi="Arial Narrow" w:cs="Calibri"/>
                <w:color w:val="000000"/>
                <w:lang w:eastAsia="es-ES"/>
              </w:rPr>
              <w:t>S</w:t>
            </w:r>
            <w:r>
              <w:rPr>
                <w:rFonts w:ascii="Arial Narrow" w:hAnsi="Arial Narrow" w:cs="Calibri"/>
                <w:color w:val="000000"/>
                <w:lang w:eastAsia="es-ES"/>
              </w:rPr>
              <w:t>ervicio Atención a Domicilio S.L.U.</w:t>
            </w:r>
          </w:p>
        </w:tc>
        <w:tc>
          <w:tcPr>
            <w:tcW w:w="1842" w:type="dxa"/>
            <w:tcBorders>
              <w:top w:val="single" w:sz="2" w:space="0" w:color="auto"/>
              <w:left w:val="nil"/>
              <w:bottom w:val="single" w:sz="2" w:space="0" w:color="auto"/>
              <w:right w:val="nil"/>
            </w:tcBorders>
            <w:shd w:val="clear" w:color="auto" w:fill="auto"/>
            <w:vAlign w:val="center"/>
            <w:hideMark/>
          </w:tcPr>
          <w:p w14:paraId="104A9DE3"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1.822.429</w:t>
            </w:r>
          </w:p>
        </w:tc>
        <w:tc>
          <w:tcPr>
            <w:tcW w:w="993" w:type="dxa"/>
            <w:tcBorders>
              <w:top w:val="single" w:sz="2" w:space="0" w:color="auto"/>
              <w:left w:val="nil"/>
              <w:bottom w:val="single" w:sz="2" w:space="0" w:color="auto"/>
              <w:right w:val="nil"/>
            </w:tcBorders>
            <w:shd w:val="clear" w:color="auto" w:fill="auto"/>
            <w:vAlign w:val="center"/>
            <w:hideMark/>
          </w:tcPr>
          <w:p w14:paraId="1997CA76"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1.082.751</w:t>
            </w:r>
          </w:p>
        </w:tc>
        <w:tc>
          <w:tcPr>
            <w:tcW w:w="1275" w:type="dxa"/>
            <w:tcBorders>
              <w:top w:val="single" w:sz="2" w:space="0" w:color="auto"/>
              <w:left w:val="nil"/>
              <w:bottom w:val="single" w:sz="2" w:space="0" w:color="auto"/>
              <w:right w:val="nil"/>
            </w:tcBorders>
            <w:shd w:val="clear" w:color="auto" w:fill="auto"/>
            <w:vAlign w:val="center"/>
            <w:hideMark/>
          </w:tcPr>
          <w:p w14:paraId="6F3EBECC"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739.678</w:t>
            </w:r>
          </w:p>
        </w:tc>
        <w:tc>
          <w:tcPr>
            <w:tcW w:w="1560" w:type="dxa"/>
            <w:tcBorders>
              <w:top w:val="single" w:sz="2" w:space="0" w:color="auto"/>
              <w:left w:val="nil"/>
              <w:bottom w:val="single" w:sz="2" w:space="0" w:color="auto"/>
              <w:right w:val="nil"/>
            </w:tcBorders>
            <w:shd w:val="clear" w:color="auto" w:fill="auto"/>
            <w:vAlign w:val="center"/>
            <w:hideMark/>
          </w:tcPr>
          <w:p w14:paraId="552A7F36"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170,7</w:t>
            </w:r>
          </w:p>
        </w:tc>
      </w:tr>
      <w:tr w:rsidR="00807992" w:rsidRPr="00756EC3" w14:paraId="39EC12BB" w14:textId="77777777" w:rsidTr="00DE3CAC">
        <w:trPr>
          <w:trHeight w:val="198"/>
        </w:trPr>
        <w:tc>
          <w:tcPr>
            <w:tcW w:w="3261" w:type="dxa"/>
            <w:tcBorders>
              <w:top w:val="single" w:sz="2" w:space="0" w:color="auto"/>
              <w:left w:val="nil"/>
              <w:bottom w:val="single" w:sz="4" w:space="0" w:color="auto"/>
              <w:right w:val="nil"/>
            </w:tcBorders>
            <w:shd w:val="clear" w:color="auto" w:fill="auto"/>
            <w:vAlign w:val="center"/>
            <w:hideMark/>
          </w:tcPr>
          <w:p w14:paraId="0C44A251" w14:textId="77777777" w:rsidR="00807992" w:rsidRPr="00756EC3" w:rsidRDefault="00807992" w:rsidP="00807992">
            <w:pPr>
              <w:spacing w:after="0"/>
              <w:ind w:firstLine="0"/>
              <w:rPr>
                <w:rFonts w:ascii="Arial Narrow" w:hAnsi="Arial Narrow" w:cs="Calibri"/>
                <w:color w:val="000000"/>
                <w:lang w:val="es-ES" w:eastAsia="es-ES"/>
              </w:rPr>
            </w:pPr>
            <w:proofErr w:type="spellStart"/>
            <w:r w:rsidRPr="00756EC3">
              <w:rPr>
                <w:rFonts w:ascii="Arial Narrow" w:hAnsi="Arial Narrow" w:cs="Calibri"/>
                <w:color w:val="000000"/>
                <w:lang w:eastAsia="es-ES"/>
              </w:rPr>
              <w:t>Animsa</w:t>
            </w:r>
            <w:proofErr w:type="spellEnd"/>
          </w:p>
        </w:tc>
        <w:tc>
          <w:tcPr>
            <w:tcW w:w="1842" w:type="dxa"/>
            <w:tcBorders>
              <w:top w:val="single" w:sz="2" w:space="0" w:color="auto"/>
              <w:left w:val="nil"/>
              <w:bottom w:val="single" w:sz="4" w:space="0" w:color="auto"/>
              <w:right w:val="nil"/>
            </w:tcBorders>
            <w:shd w:val="clear" w:color="auto" w:fill="auto"/>
            <w:vAlign w:val="center"/>
            <w:hideMark/>
          </w:tcPr>
          <w:p w14:paraId="4013C13C"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8.086.782</w:t>
            </w:r>
          </w:p>
        </w:tc>
        <w:tc>
          <w:tcPr>
            <w:tcW w:w="993" w:type="dxa"/>
            <w:tcBorders>
              <w:top w:val="single" w:sz="2" w:space="0" w:color="auto"/>
              <w:left w:val="nil"/>
              <w:bottom w:val="single" w:sz="4" w:space="0" w:color="auto"/>
              <w:right w:val="nil"/>
            </w:tcBorders>
            <w:shd w:val="clear" w:color="auto" w:fill="auto"/>
            <w:vAlign w:val="center"/>
            <w:hideMark/>
          </w:tcPr>
          <w:p w14:paraId="50E90365"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8.082.464</w:t>
            </w:r>
          </w:p>
        </w:tc>
        <w:tc>
          <w:tcPr>
            <w:tcW w:w="1275" w:type="dxa"/>
            <w:tcBorders>
              <w:top w:val="single" w:sz="2" w:space="0" w:color="auto"/>
              <w:left w:val="nil"/>
              <w:bottom w:val="single" w:sz="4" w:space="0" w:color="auto"/>
              <w:right w:val="nil"/>
            </w:tcBorders>
            <w:shd w:val="clear" w:color="auto" w:fill="auto"/>
            <w:vAlign w:val="center"/>
            <w:hideMark/>
          </w:tcPr>
          <w:p w14:paraId="1634296A"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4.318</w:t>
            </w:r>
          </w:p>
        </w:tc>
        <w:tc>
          <w:tcPr>
            <w:tcW w:w="1560" w:type="dxa"/>
            <w:tcBorders>
              <w:top w:val="single" w:sz="2" w:space="0" w:color="auto"/>
              <w:left w:val="nil"/>
              <w:bottom w:val="single" w:sz="4" w:space="0" w:color="auto"/>
              <w:right w:val="nil"/>
            </w:tcBorders>
            <w:shd w:val="clear" w:color="auto" w:fill="auto"/>
            <w:vAlign w:val="center"/>
            <w:hideMark/>
          </w:tcPr>
          <w:p w14:paraId="6A257450"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112,8</w:t>
            </w:r>
          </w:p>
        </w:tc>
      </w:tr>
      <w:tr w:rsidR="00807992" w:rsidRPr="00756EC3" w14:paraId="6183E9EB" w14:textId="77777777" w:rsidTr="00DE3CAC">
        <w:trPr>
          <w:trHeight w:val="198"/>
        </w:trPr>
        <w:tc>
          <w:tcPr>
            <w:tcW w:w="3261" w:type="dxa"/>
            <w:tcBorders>
              <w:top w:val="single" w:sz="4" w:space="0" w:color="auto"/>
              <w:bottom w:val="single" w:sz="4" w:space="0" w:color="auto"/>
              <w:right w:val="nil"/>
            </w:tcBorders>
            <w:shd w:val="clear" w:color="auto" w:fill="auto"/>
            <w:vAlign w:val="center"/>
            <w:hideMark/>
          </w:tcPr>
          <w:p w14:paraId="30975877" w14:textId="77777777" w:rsidR="00807992" w:rsidRPr="00756EC3" w:rsidRDefault="00807992" w:rsidP="00807992">
            <w:pPr>
              <w:spacing w:after="0"/>
              <w:ind w:firstLine="0"/>
              <w:rPr>
                <w:rFonts w:ascii="Arial Narrow" w:hAnsi="Arial Narrow" w:cs="Calibri"/>
                <w:color w:val="000000"/>
                <w:lang w:val="es-ES" w:eastAsia="es-ES"/>
              </w:rPr>
            </w:pPr>
            <w:proofErr w:type="spellStart"/>
            <w:r w:rsidRPr="00756EC3">
              <w:rPr>
                <w:rFonts w:ascii="Arial Narrow" w:hAnsi="Arial Narrow" w:cs="Calibri"/>
                <w:color w:val="000000"/>
                <w:lang w:eastAsia="es-ES"/>
              </w:rPr>
              <w:t>Mercairuña</w:t>
            </w:r>
            <w:proofErr w:type="spellEnd"/>
            <w:r w:rsidRPr="00756EC3">
              <w:rPr>
                <w:rFonts w:ascii="Arial Narrow" w:hAnsi="Arial Narrow" w:cs="Calibri"/>
                <w:color w:val="000000"/>
                <w:lang w:eastAsia="es-ES"/>
              </w:rPr>
              <w:t>, S.A.</w:t>
            </w:r>
          </w:p>
        </w:tc>
        <w:tc>
          <w:tcPr>
            <w:tcW w:w="1842" w:type="dxa"/>
            <w:tcBorders>
              <w:top w:val="single" w:sz="4" w:space="0" w:color="auto"/>
              <w:left w:val="nil"/>
              <w:bottom w:val="single" w:sz="4" w:space="0" w:color="auto"/>
              <w:right w:val="nil"/>
            </w:tcBorders>
            <w:shd w:val="clear" w:color="auto" w:fill="auto"/>
            <w:vAlign w:val="center"/>
            <w:hideMark/>
          </w:tcPr>
          <w:p w14:paraId="3929A07A"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1.271.968</w:t>
            </w:r>
          </w:p>
        </w:tc>
        <w:tc>
          <w:tcPr>
            <w:tcW w:w="993" w:type="dxa"/>
            <w:tcBorders>
              <w:top w:val="single" w:sz="4" w:space="0" w:color="auto"/>
              <w:left w:val="nil"/>
              <w:bottom w:val="single" w:sz="4" w:space="0" w:color="auto"/>
              <w:right w:val="nil"/>
            </w:tcBorders>
            <w:shd w:val="clear" w:color="auto" w:fill="auto"/>
            <w:vAlign w:val="center"/>
            <w:hideMark/>
          </w:tcPr>
          <w:p w14:paraId="0CFE3A98"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1.089.976</w:t>
            </w:r>
          </w:p>
        </w:tc>
        <w:tc>
          <w:tcPr>
            <w:tcW w:w="1275" w:type="dxa"/>
            <w:tcBorders>
              <w:top w:val="single" w:sz="4" w:space="0" w:color="auto"/>
              <w:left w:val="nil"/>
              <w:bottom w:val="single" w:sz="4" w:space="0" w:color="auto"/>
              <w:right w:val="nil"/>
            </w:tcBorders>
            <w:shd w:val="clear" w:color="auto" w:fill="auto"/>
            <w:vAlign w:val="center"/>
            <w:hideMark/>
          </w:tcPr>
          <w:p w14:paraId="101A9DA2"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181.992</w:t>
            </w:r>
          </w:p>
        </w:tc>
        <w:tc>
          <w:tcPr>
            <w:tcW w:w="1560" w:type="dxa"/>
            <w:tcBorders>
              <w:top w:val="single" w:sz="4" w:space="0" w:color="auto"/>
              <w:left w:val="nil"/>
              <w:bottom w:val="single" w:sz="4" w:space="0" w:color="auto"/>
              <w:right w:val="nil"/>
            </w:tcBorders>
            <w:shd w:val="clear" w:color="auto" w:fill="auto"/>
            <w:vAlign w:val="center"/>
            <w:hideMark/>
          </w:tcPr>
          <w:p w14:paraId="681DFD1B" w14:textId="77777777" w:rsidR="00807992" w:rsidRPr="00756EC3" w:rsidRDefault="00807992" w:rsidP="00807992">
            <w:pPr>
              <w:spacing w:after="0"/>
              <w:ind w:firstLine="0"/>
              <w:jc w:val="right"/>
              <w:rPr>
                <w:rFonts w:ascii="Arial Narrow" w:hAnsi="Arial Narrow" w:cs="Calibri"/>
                <w:lang w:val="es-ES" w:eastAsia="es-ES"/>
              </w:rPr>
            </w:pPr>
            <w:r w:rsidRPr="00756EC3">
              <w:rPr>
                <w:rFonts w:ascii="Arial Narrow" w:hAnsi="Arial Narrow" w:cs="Calibri"/>
                <w:lang w:val="es-ES" w:eastAsia="es-ES"/>
              </w:rPr>
              <w:t>12,4</w:t>
            </w:r>
          </w:p>
        </w:tc>
      </w:tr>
    </w:tbl>
    <w:p w14:paraId="1CB1D8E8" w14:textId="77777777" w:rsidR="00807992" w:rsidRDefault="00807992" w:rsidP="00807992">
      <w:pPr>
        <w:tabs>
          <w:tab w:val="left" w:pos="480"/>
          <w:tab w:val="num" w:pos="720"/>
          <w:tab w:val="num" w:pos="1320"/>
          <w:tab w:val="num" w:pos="1637"/>
          <w:tab w:val="num" w:pos="1948"/>
        </w:tabs>
        <w:spacing w:after="240"/>
        <w:rPr>
          <w:spacing w:val="6"/>
          <w:sz w:val="26"/>
          <w:szCs w:val="26"/>
        </w:rPr>
      </w:pPr>
    </w:p>
    <w:p w14:paraId="6DDAEB69" w14:textId="77777777" w:rsidR="00807992" w:rsidRDefault="00807992" w:rsidP="00807992">
      <w:pPr>
        <w:numPr>
          <w:ilvl w:val="0"/>
          <w:numId w:val="2"/>
        </w:numPr>
        <w:tabs>
          <w:tab w:val="clear" w:pos="502"/>
          <w:tab w:val="num" w:pos="360"/>
          <w:tab w:val="left" w:pos="480"/>
          <w:tab w:val="num" w:pos="600"/>
          <w:tab w:val="num" w:pos="720"/>
          <w:tab w:val="num" w:pos="1320"/>
          <w:tab w:val="num" w:pos="1637"/>
        </w:tabs>
        <w:spacing w:after="240"/>
        <w:ind w:left="0" w:firstLine="289"/>
        <w:rPr>
          <w:spacing w:val="6"/>
          <w:sz w:val="26"/>
          <w:szCs w:val="26"/>
        </w:rPr>
      </w:pPr>
      <w:r w:rsidRPr="00667DFF">
        <w:rPr>
          <w:spacing w:val="6"/>
          <w:sz w:val="26"/>
          <w:szCs w:val="26"/>
        </w:rPr>
        <w:t>Fundaciones:</w:t>
      </w:r>
    </w:p>
    <w:tbl>
      <w:tblPr>
        <w:tblW w:w="5081" w:type="pct"/>
        <w:tblLayout w:type="fixed"/>
        <w:tblCellMar>
          <w:top w:w="28" w:type="dxa"/>
          <w:left w:w="80" w:type="dxa"/>
          <w:right w:w="80" w:type="dxa"/>
        </w:tblCellMar>
        <w:tblLook w:val="0000" w:firstRow="0" w:lastRow="0" w:firstColumn="0" w:lastColumn="0" w:noHBand="0" w:noVBand="0"/>
      </w:tblPr>
      <w:tblGrid>
        <w:gridCol w:w="3260"/>
        <w:gridCol w:w="1709"/>
        <w:gridCol w:w="1127"/>
        <w:gridCol w:w="1352"/>
        <w:gridCol w:w="1483"/>
      </w:tblGrid>
      <w:tr w:rsidR="00807992" w:rsidRPr="00667DFF" w14:paraId="4C8985BE" w14:textId="77777777" w:rsidTr="00D25103">
        <w:trPr>
          <w:trHeight w:val="255"/>
        </w:trPr>
        <w:tc>
          <w:tcPr>
            <w:tcW w:w="1825" w:type="pct"/>
            <w:tcBorders>
              <w:top w:val="single" w:sz="4" w:space="0" w:color="auto"/>
              <w:bottom w:val="single" w:sz="4" w:space="0" w:color="auto"/>
            </w:tcBorders>
            <w:shd w:val="clear" w:color="auto" w:fill="FABF8F" w:themeFill="accent6" w:themeFillTint="99"/>
            <w:vAlign w:val="center"/>
          </w:tcPr>
          <w:p w14:paraId="0285FEA7" w14:textId="77777777" w:rsidR="00807992" w:rsidRPr="00667DFF" w:rsidRDefault="00807992" w:rsidP="00807992">
            <w:pPr>
              <w:spacing w:after="0" w:line="276" w:lineRule="auto"/>
              <w:ind w:firstLine="0"/>
              <w:rPr>
                <w:rFonts w:ascii="Arial" w:hAnsi="Arial" w:cs="Arial"/>
                <w:sz w:val="18"/>
                <w:szCs w:val="18"/>
              </w:rPr>
            </w:pPr>
            <w:r w:rsidRPr="00667DFF">
              <w:rPr>
                <w:rFonts w:ascii="Arial" w:hAnsi="Arial" w:cs="Arial"/>
                <w:sz w:val="18"/>
                <w:szCs w:val="18"/>
              </w:rPr>
              <w:t>Fundación</w:t>
            </w:r>
          </w:p>
        </w:tc>
        <w:tc>
          <w:tcPr>
            <w:tcW w:w="957" w:type="pct"/>
            <w:tcBorders>
              <w:top w:val="single" w:sz="4" w:space="0" w:color="auto"/>
              <w:bottom w:val="single" w:sz="4" w:space="0" w:color="auto"/>
            </w:tcBorders>
            <w:shd w:val="clear" w:color="auto" w:fill="FABF8F" w:themeFill="accent6" w:themeFillTint="99"/>
            <w:vAlign w:val="center"/>
          </w:tcPr>
          <w:p w14:paraId="69870889" w14:textId="77777777" w:rsidR="00807992" w:rsidRPr="00667DFF" w:rsidRDefault="00807992" w:rsidP="00D92287">
            <w:pPr>
              <w:spacing w:after="0" w:line="276" w:lineRule="auto"/>
              <w:jc w:val="right"/>
              <w:rPr>
                <w:rFonts w:ascii="Arial" w:hAnsi="Arial" w:cs="Arial"/>
                <w:sz w:val="18"/>
                <w:szCs w:val="18"/>
              </w:rPr>
            </w:pPr>
            <w:r w:rsidRPr="00667DFF">
              <w:rPr>
                <w:rFonts w:ascii="Arial" w:hAnsi="Arial" w:cs="Arial"/>
                <w:sz w:val="18"/>
                <w:szCs w:val="18"/>
              </w:rPr>
              <w:t>Ingresos</w:t>
            </w:r>
          </w:p>
        </w:tc>
        <w:tc>
          <w:tcPr>
            <w:tcW w:w="631" w:type="pct"/>
            <w:tcBorders>
              <w:top w:val="single" w:sz="4" w:space="0" w:color="auto"/>
              <w:bottom w:val="single" w:sz="4" w:space="0" w:color="auto"/>
            </w:tcBorders>
            <w:shd w:val="clear" w:color="auto" w:fill="FABF8F" w:themeFill="accent6" w:themeFillTint="99"/>
            <w:vAlign w:val="center"/>
          </w:tcPr>
          <w:p w14:paraId="7C5F4EA1" w14:textId="77777777" w:rsidR="00807992" w:rsidRPr="00667DFF" w:rsidRDefault="00807992" w:rsidP="00D92287">
            <w:pPr>
              <w:spacing w:after="0" w:line="276" w:lineRule="auto"/>
              <w:ind w:firstLine="0"/>
              <w:jc w:val="right"/>
              <w:rPr>
                <w:rFonts w:ascii="Arial" w:hAnsi="Arial" w:cs="Arial"/>
                <w:sz w:val="18"/>
                <w:szCs w:val="18"/>
              </w:rPr>
            </w:pPr>
            <w:r w:rsidRPr="00667DFF">
              <w:rPr>
                <w:rFonts w:ascii="Arial" w:hAnsi="Arial" w:cs="Arial"/>
                <w:sz w:val="18"/>
                <w:szCs w:val="18"/>
              </w:rPr>
              <w:t>Gastos</w:t>
            </w:r>
          </w:p>
        </w:tc>
        <w:tc>
          <w:tcPr>
            <w:tcW w:w="757" w:type="pct"/>
            <w:tcBorders>
              <w:top w:val="single" w:sz="4" w:space="0" w:color="auto"/>
              <w:bottom w:val="single" w:sz="4" w:space="0" w:color="auto"/>
            </w:tcBorders>
            <w:shd w:val="clear" w:color="auto" w:fill="FABF8F" w:themeFill="accent6" w:themeFillTint="99"/>
            <w:vAlign w:val="center"/>
          </w:tcPr>
          <w:p w14:paraId="6F5865AE" w14:textId="77777777" w:rsidR="00807992" w:rsidRPr="00667DFF" w:rsidRDefault="00807992" w:rsidP="00D92287">
            <w:pPr>
              <w:spacing w:after="0" w:line="276" w:lineRule="auto"/>
              <w:ind w:firstLine="0"/>
              <w:jc w:val="right"/>
              <w:rPr>
                <w:rFonts w:ascii="Arial" w:hAnsi="Arial" w:cs="Arial"/>
                <w:sz w:val="18"/>
                <w:szCs w:val="18"/>
              </w:rPr>
            </w:pPr>
            <w:r>
              <w:rPr>
                <w:rFonts w:ascii="Arial" w:hAnsi="Arial" w:cs="Arial"/>
                <w:sz w:val="18"/>
                <w:szCs w:val="18"/>
              </w:rPr>
              <w:t>Resultado</w:t>
            </w:r>
            <w:r w:rsidRPr="00667DFF">
              <w:rPr>
                <w:rFonts w:ascii="Arial" w:hAnsi="Arial" w:cs="Arial"/>
                <w:sz w:val="18"/>
                <w:szCs w:val="18"/>
              </w:rPr>
              <w:t xml:space="preserve"> del ejercicio</w:t>
            </w:r>
          </w:p>
        </w:tc>
        <w:tc>
          <w:tcPr>
            <w:tcW w:w="830" w:type="pct"/>
            <w:tcBorders>
              <w:top w:val="single" w:sz="4" w:space="0" w:color="auto"/>
              <w:bottom w:val="single" w:sz="4" w:space="0" w:color="auto"/>
            </w:tcBorders>
            <w:shd w:val="clear" w:color="auto" w:fill="FABF8F" w:themeFill="accent6" w:themeFillTint="99"/>
            <w:vAlign w:val="center"/>
          </w:tcPr>
          <w:p w14:paraId="2D41B355" w14:textId="77777777" w:rsidR="00807992" w:rsidRPr="00667DFF" w:rsidRDefault="00807992" w:rsidP="00D92287">
            <w:pPr>
              <w:spacing w:after="0" w:line="276" w:lineRule="auto"/>
              <w:ind w:firstLine="0"/>
              <w:jc w:val="right"/>
              <w:rPr>
                <w:rFonts w:ascii="Arial" w:hAnsi="Arial" w:cs="Arial"/>
                <w:sz w:val="18"/>
                <w:szCs w:val="18"/>
              </w:rPr>
            </w:pPr>
            <w:r w:rsidRPr="00667DFF">
              <w:rPr>
                <w:rFonts w:ascii="Arial" w:hAnsi="Arial" w:cs="Arial"/>
                <w:sz w:val="18"/>
                <w:szCs w:val="18"/>
              </w:rPr>
              <w:t>Plantilla media 20</w:t>
            </w:r>
            <w:r>
              <w:rPr>
                <w:rFonts w:ascii="Arial" w:hAnsi="Arial" w:cs="Arial"/>
                <w:sz w:val="18"/>
                <w:szCs w:val="18"/>
              </w:rPr>
              <w:t>21</w:t>
            </w:r>
          </w:p>
        </w:tc>
      </w:tr>
      <w:tr w:rsidR="00807992" w:rsidRPr="00756EC3" w14:paraId="2C10BDCA" w14:textId="77777777" w:rsidTr="00D25103">
        <w:trPr>
          <w:trHeight w:val="198"/>
        </w:trPr>
        <w:tc>
          <w:tcPr>
            <w:tcW w:w="1825" w:type="pct"/>
            <w:tcBorders>
              <w:top w:val="single" w:sz="4" w:space="0" w:color="auto"/>
              <w:bottom w:val="single" w:sz="4" w:space="0" w:color="auto"/>
            </w:tcBorders>
            <w:vAlign w:val="center"/>
          </w:tcPr>
          <w:p w14:paraId="52DC96E6" w14:textId="77777777" w:rsidR="00807992" w:rsidRPr="00756EC3" w:rsidRDefault="00807992" w:rsidP="00807992">
            <w:pPr>
              <w:spacing w:after="0" w:line="276" w:lineRule="auto"/>
              <w:ind w:firstLine="0"/>
              <w:rPr>
                <w:rFonts w:ascii="Arial Narrow" w:hAnsi="Arial Narrow"/>
              </w:rPr>
            </w:pPr>
            <w:r w:rsidRPr="00756EC3">
              <w:rPr>
                <w:rFonts w:ascii="Arial Narrow" w:hAnsi="Arial Narrow"/>
              </w:rPr>
              <w:t>Teatro Gayarre</w:t>
            </w:r>
          </w:p>
        </w:tc>
        <w:tc>
          <w:tcPr>
            <w:tcW w:w="957" w:type="pct"/>
            <w:tcBorders>
              <w:top w:val="single" w:sz="4" w:space="0" w:color="auto"/>
              <w:bottom w:val="single" w:sz="4" w:space="0" w:color="auto"/>
            </w:tcBorders>
            <w:vAlign w:val="center"/>
          </w:tcPr>
          <w:p w14:paraId="7395DD54" w14:textId="77777777" w:rsidR="00807992" w:rsidRPr="00756EC3" w:rsidRDefault="00807992" w:rsidP="00D92287">
            <w:pPr>
              <w:spacing w:after="0" w:line="276" w:lineRule="auto"/>
              <w:jc w:val="right"/>
              <w:rPr>
                <w:rFonts w:ascii="Arial Narrow" w:hAnsi="Arial Narrow"/>
              </w:rPr>
            </w:pPr>
            <w:r w:rsidRPr="00756EC3">
              <w:rPr>
                <w:rFonts w:ascii="Arial Narrow" w:hAnsi="Arial Narrow"/>
              </w:rPr>
              <w:t>1.803.621</w:t>
            </w:r>
          </w:p>
        </w:tc>
        <w:tc>
          <w:tcPr>
            <w:tcW w:w="631" w:type="pct"/>
            <w:tcBorders>
              <w:top w:val="single" w:sz="4" w:space="0" w:color="auto"/>
              <w:bottom w:val="single" w:sz="4" w:space="0" w:color="auto"/>
            </w:tcBorders>
            <w:vAlign w:val="center"/>
          </w:tcPr>
          <w:p w14:paraId="5758CF4F" w14:textId="77777777" w:rsidR="00807992" w:rsidRPr="00756EC3" w:rsidRDefault="00807992" w:rsidP="00D92287">
            <w:pPr>
              <w:spacing w:after="0" w:line="276" w:lineRule="auto"/>
              <w:ind w:firstLine="0"/>
              <w:jc w:val="right"/>
              <w:rPr>
                <w:rFonts w:ascii="Arial Narrow" w:hAnsi="Arial Narrow"/>
              </w:rPr>
            </w:pPr>
            <w:r w:rsidRPr="00756EC3">
              <w:rPr>
                <w:rFonts w:ascii="Arial Narrow" w:hAnsi="Arial Narrow"/>
              </w:rPr>
              <w:t>1.831.186</w:t>
            </w:r>
          </w:p>
        </w:tc>
        <w:tc>
          <w:tcPr>
            <w:tcW w:w="757" w:type="pct"/>
            <w:tcBorders>
              <w:top w:val="single" w:sz="4" w:space="0" w:color="auto"/>
              <w:bottom w:val="single" w:sz="4" w:space="0" w:color="auto"/>
            </w:tcBorders>
            <w:vAlign w:val="center"/>
          </w:tcPr>
          <w:p w14:paraId="0515E3D8" w14:textId="77777777" w:rsidR="00807992" w:rsidRPr="00756EC3" w:rsidRDefault="00807992" w:rsidP="00D92287">
            <w:pPr>
              <w:spacing w:after="0" w:line="276" w:lineRule="auto"/>
              <w:ind w:firstLine="0"/>
              <w:jc w:val="right"/>
              <w:rPr>
                <w:rFonts w:ascii="Arial Narrow" w:hAnsi="Arial Narrow"/>
              </w:rPr>
            </w:pPr>
            <w:r w:rsidRPr="00756EC3">
              <w:rPr>
                <w:rFonts w:ascii="Arial Narrow" w:hAnsi="Arial Narrow"/>
              </w:rPr>
              <w:t>-27.565</w:t>
            </w:r>
          </w:p>
        </w:tc>
        <w:tc>
          <w:tcPr>
            <w:tcW w:w="830" w:type="pct"/>
            <w:tcBorders>
              <w:top w:val="single" w:sz="4" w:space="0" w:color="auto"/>
              <w:bottom w:val="single" w:sz="4" w:space="0" w:color="auto"/>
            </w:tcBorders>
            <w:vAlign w:val="center"/>
          </w:tcPr>
          <w:p w14:paraId="33D2764A" w14:textId="77777777" w:rsidR="00807992" w:rsidRPr="00756EC3" w:rsidRDefault="00807992" w:rsidP="00D92287">
            <w:pPr>
              <w:spacing w:after="0" w:line="276" w:lineRule="auto"/>
              <w:jc w:val="right"/>
              <w:rPr>
                <w:rFonts w:ascii="Arial Narrow" w:hAnsi="Arial Narrow"/>
              </w:rPr>
            </w:pPr>
            <w:r w:rsidRPr="00756EC3">
              <w:rPr>
                <w:rFonts w:ascii="Arial Narrow" w:hAnsi="Arial Narrow"/>
              </w:rPr>
              <w:t>16</w:t>
            </w:r>
          </w:p>
        </w:tc>
      </w:tr>
    </w:tbl>
    <w:p w14:paraId="194DBE1C" w14:textId="77777777" w:rsidR="00807992" w:rsidRPr="00667DFF" w:rsidRDefault="00807992" w:rsidP="00807992">
      <w:pPr>
        <w:tabs>
          <w:tab w:val="center" w:pos="2835"/>
          <w:tab w:val="center" w:pos="3969"/>
          <w:tab w:val="center" w:pos="5103"/>
          <w:tab w:val="center" w:pos="6237"/>
          <w:tab w:val="center" w:pos="7371"/>
        </w:tabs>
        <w:ind w:firstLine="284"/>
        <w:rPr>
          <w:i/>
          <w:spacing w:val="6"/>
          <w:sz w:val="18"/>
          <w:szCs w:val="22"/>
        </w:rPr>
      </w:pPr>
    </w:p>
    <w:p w14:paraId="5682F5D6" w14:textId="77777777" w:rsidR="00807992" w:rsidRDefault="00807992" w:rsidP="00807992">
      <w:pPr>
        <w:tabs>
          <w:tab w:val="left" w:pos="142"/>
          <w:tab w:val="center" w:pos="2835"/>
          <w:tab w:val="center" w:pos="3969"/>
          <w:tab w:val="center" w:pos="5103"/>
          <w:tab w:val="center" w:pos="6237"/>
          <w:tab w:val="center" w:pos="7371"/>
        </w:tabs>
        <w:ind w:firstLine="284"/>
        <w:rPr>
          <w:color w:val="000000" w:themeColor="text1"/>
          <w:spacing w:val="6"/>
          <w:sz w:val="26"/>
          <w:szCs w:val="26"/>
        </w:rPr>
      </w:pPr>
      <w:r w:rsidRPr="00667DFF">
        <w:rPr>
          <w:spacing w:val="6"/>
          <w:sz w:val="26"/>
          <w:szCs w:val="26"/>
        </w:rPr>
        <w:t xml:space="preserve">El ayuntamiento, asimismo, forma parte de la Mancomunidad de la Comarca de Pamplona, que presta los servicios de ciclo integral del agua, la gestión y tratamiento de los residuos sólidos urbanos y el transporte urbano comarcal. </w:t>
      </w:r>
      <w:r w:rsidRPr="00667DFF">
        <w:rPr>
          <w:color w:val="000000" w:themeColor="text1"/>
          <w:spacing w:val="6"/>
          <w:sz w:val="26"/>
          <w:szCs w:val="26"/>
        </w:rPr>
        <w:t xml:space="preserve">El gasto reconocido a favor de </w:t>
      </w:r>
      <w:proofErr w:type="gramStart"/>
      <w:r w:rsidRPr="00667DFF">
        <w:rPr>
          <w:color w:val="000000" w:themeColor="text1"/>
          <w:spacing w:val="6"/>
          <w:sz w:val="26"/>
          <w:szCs w:val="26"/>
        </w:rPr>
        <w:t>la misma</w:t>
      </w:r>
      <w:proofErr w:type="gramEnd"/>
      <w:r w:rsidRPr="00667DFF">
        <w:rPr>
          <w:color w:val="000000" w:themeColor="text1"/>
          <w:spacing w:val="6"/>
          <w:sz w:val="26"/>
          <w:szCs w:val="26"/>
        </w:rPr>
        <w:t xml:space="preserve"> en </w:t>
      </w:r>
      <w:r>
        <w:rPr>
          <w:color w:val="000000" w:themeColor="text1"/>
          <w:spacing w:val="6"/>
          <w:sz w:val="26"/>
          <w:szCs w:val="26"/>
        </w:rPr>
        <w:t>2021</w:t>
      </w:r>
      <w:r w:rsidRPr="00667DFF">
        <w:rPr>
          <w:color w:val="000000" w:themeColor="text1"/>
          <w:spacing w:val="6"/>
          <w:sz w:val="26"/>
          <w:szCs w:val="26"/>
        </w:rPr>
        <w:t xml:space="preserve"> ha </w:t>
      </w:r>
      <w:r w:rsidRPr="00DF6702">
        <w:rPr>
          <w:spacing w:val="6"/>
          <w:sz w:val="26"/>
          <w:szCs w:val="26"/>
        </w:rPr>
        <w:t>sido de 2,8 millones</w:t>
      </w:r>
      <w:r w:rsidRPr="00667DFF">
        <w:rPr>
          <w:color w:val="000000" w:themeColor="text1"/>
          <w:spacing w:val="6"/>
          <w:sz w:val="26"/>
          <w:szCs w:val="26"/>
        </w:rPr>
        <w:t>.</w:t>
      </w:r>
    </w:p>
    <w:p w14:paraId="791DFF63" w14:textId="77777777" w:rsidR="00807992" w:rsidRDefault="00807992" w:rsidP="00807992">
      <w:pPr>
        <w:tabs>
          <w:tab w:val="left" w:pos="142"/>
          <w:tab w:val="center" w:pos="2835"/>
          <w:tab w:val="center" w:pos="3969"/>
          <w:tab w:val="center" w:pos="5103"/>
          <w:tab w:val="center" w:pos="6237"/>
          <w:tab w:val="center" w:pos="7371"/>
        </w:tabs>
        <w:ind w:firstLine="284"/>
        <w:rPr>
          <w:color w:val="000000" w:themeColor="text1"/>
          <w:spacing w:val="6"/>
          <w:sz w:val="26"/>
          <w:szCs w:val="26"/>
        </w:rPr>
      </w:pPr>
    </w:p>
    <w:p w14:paraId="0EDB6158" w14:textId="77777777" w:rsidR="00807992" w:rsidRPr="00667DFF" w:rsidRDefault="00807992" w:rsidP="00807992">
      <w:pPr>
        <w:tabs>
          <w:tab w:val="left" w:pos="142"/>
          <w:tab w:val="center" w:pos="2835"/>
          <w:tab w:val="center" w:pos="3969"/>
          <w:tab w:val="center" w:pos="5103"/>
          <w:tab w:val="center" w:pos="6237"/>
          <w:tab w:val="center" w:pos="7371"/>
        </w:tabs>
        <w:ind w:firstLine="284"/>
        <w:rPr>
          <w:color w:val="000000" w:themeColor="text1"/>
          <w:spacing w:val="6"/>
          <w:sz w:val="26"/>
          <w:szCs w:val="26"/>
        </w:rPr>
      </w:pPr>
    </w:p>
    <w:p w14:paraId="1132217F" w14:textId="77777777" w:rsidR="00807992" w:rsidRPr="00667DFF" w:rsidRDefault="00807992" w:rsidP="00807992">
      <w:pPr>
        <w:tabs>
          <w:tab w:val="left" w:pos="142"/>
          <w:tab w:val="center" w:pos="2835"/>
          <w:tab w:val="center" w:pos="3969"/>
          <w:tab w:val="center" w:pos="5103"/>
          <w:tab w:val="center" w:pos="6237"/>
          <w:tab w:val="center" w:pos="7371"/>
        </w:tabs>
        <w:ind w:firstLine="284"/>
        <w:rPr>
          <w:color w:val="000000" w:themeColor="text1"/>
          <w:spacing w:val="6"/>
          <w:sz w:val="26"/>
          <w:szCs w:val="26"/>
        </w:rPr>
      </w:pPr>
    </w:p>
    <w:p w14:paraId="4B3BC546" w14:textId="77777777" w:rsidR="00807992" w:rsidRPr="00667DFF" w:rsidRDefault="00807992" w:rsidP="00807992">
      <w:pPr>
        <w:tabs>
          <w:tab w:val="left" w:pos="142"/>
          <w:tab w:val="center" w:pos="2835"/>
          <w:tab w:val="center" w:pos="3969"/>
          <w:tab w:val="center" w:pos="5103"/>
          <w:tab w:val="center" w:pos="6237"/>
          <w:tab w:val="center" w:pos="7371"/>
        </w:tabs>
        <w:ind w:firstLine="284"/>
        <w:rPr>
          <w:color w:val="000000" w:themeColor="text1"/>
          <w:spacing w:val="6"/>
          <w:sz w:val="26"/>
          <w:szCs w:val="26"/>
        </w:rPr>
      </w:pPr>
    </w:p>
    <w:p w14:paraId="4F0BFADA" w14:textId="77777777" w:rsidR="00D92287" w:rsidRDefault="00D92287">
      <w:pPr>
        <w:spacing w:after="0"/>
        <w:ind w:firstLine="0"/>
        <w:jc w:val="left"/>
        <w:rPr>
          <w:color w:val="000000" w:themeColor="text1"/>
          <w:spacing w:val="6"/>
          <w:sz w:val="26"/>
          <w:szCs w:val="26"/>
        </w:rPr>
      </w:pPr>
      <w:r>
        <w:rPr>
          <w:color w:val="000000" w:themeColor="text1"/>
          <w:spacing w:val="6"/>
          <w:sz w:val="26"/>
          <w:szCs w:val="26"/>
        </w:rPr>
        <w:br w:type="page"/>
      </w:r>
    </w:p>
    <w:p w14:paraId="19A350AB" w14:textId="77777777" w:rsidR="00807992" w:rsidRPr="00667DFF" w:rsidRDefault="00807992" w:rsidP="00807992">
      <w:pPr>
        <w:tabs>
          <w:tab w:val="center" w:pos="2835"/>
          <w:tab w:val="center" w:pos="3969"/>
          <w:tab w:val="center" w:pos="5103"/>
          <w:tab w:val="center" w:pos="6237"/>
          <w:tab w:val="center" w:pos="7371"/>
        </w:tabs>
        <w:ind w:firstLine="284"/>
        <w:rPr>
          <w:spacing w:val="6"/>
          <w:sz w:val="26"/>
          <w:szCs w:val="24"/>
          <w:lang w:val="es-ES"/>
        </w:rPr>
      </w:pPr>
      <w:r w:rsidRPr="00667DFF">
        <w:rPr>
          <w:spacing w:val="6"/>
          <w:sz w:val="26"/>
          <w:szCs w:val="24"/>
          <w:lang w:val="es-ES"/>
        </w:rPr>
        <w:lastRenderedPageBreak/>
        <w:t>Los servicios públicos</w:t>
      </w:r>
      <w:r>
        <w:rPr>
          <w:spacing w:val="6"/>
          <w:sz w:val="26"/>
          <w:szCs w:val="24"/>
          <w:lang w:val="es-ES"/>
        </w:rPr>
        <w:t xml:space="preserve"> que presta el ayuntamiento y su</w:t>
      </w:r>
      <w:r w:rsidRPr="00667DFF">
        <w:rPr>
          <w:spacing w:val="6"/>
          <w:sz w:val="26"/>
          <w:szCs w:val="24"/>
          <w:lang w:val="es-ES"/>
        </w:rPr>
        <w:t xml:space="preserve"> forma de </w:t>
      </w:r>
      <w:r>
        <w:rPr>
          <w:spacing w:val="6"/>
          <w:sz w:val="26"/>
          <w:szCs w:val="24"/>
          <w:lang w:val="es-ES"/>
        </w:rPr>
        <w:t>gestión</w:t>
      </w:r>
      <w:r w:rsidRPr="00667DFF">
        <w:rPr>
          <w:spacing w:val="6"/>
          <w:sz w:val="26"/>
          <w:szCs w:val="24"/>
          <w:lang w:val="es-ES"/>
        </w:rPr>
        <w:t xml:space="preserve">, es la siguiente: </w:t>
      </w:r>
    </w:p>
    <w:tbl>
      <w:tblPr>
        <w:tblW w:w="8930" w:type="dxa"/>
        <w:jc w:val="center"/>
        <w:tblLayout w:type="fixed"/>
        <w:tblCellMar>
          <w:top w:w="28" w:type="dxa"/>
          <w:left w:w="80" w:type="dxa"/>
          <w:right w:w="80" w:type="dxa"/>
        </w:tblCellMar>
        <w:tblLook w:val="0000" w:firstRow="0" w:lastRow="0" w:firstColumn="0" w:lastColumn="0" w:noHBand="0" w:noVBand="0"/>
      </w:tblPr>
      <w:tblGrid>
        <w:gridCol w:w="2976"/>
        <w:gridCol w:w="1249"/>
        <w:gridCol w:w="883"/>
        <w:gridCol w:w="952"/>
        <w:gridCol w:w="901"/>
        <w:gridCol w:w="993"/>
        <w:gridCol w:w="976"/>
      </w:tblGrid>
      <w:tr w:rsidR="00807992" w:rsidRPr="00667DFF" w14:paraId="694721FF" w14:textId="77777777" w:rsidTr="004845DB">
        <w:trPr>
          <w:trHeight w:val="238"/>
          <w:jc w:val="center"/>
        </w:trPr>
        <w:tc>
          <w:tcPr>
            <w:tcW w:w="2976" w:type="dxa"/>
            <w:tcBorders>
              <w:top w:val="single" w:sz="4" w:space="0" w:color="auto"/>
              <w:bottom w:val="single" w:sz="4" w:space="0" w:color="auto"/>
            </w:tcBorders>
            <w:shd w:val="clear" w:color="auto" w:fill="FABF8F" w:themeFill="accent6" w:themeFillTint="99"/>
            <w:vAlign w:val="center"/>
          </w:tcPr>
          <w:p w14:paraId="295A70F0" w14:textId="77777777" w:rsidR="00807992" w:rsidRPr="00667DFF" w:rsidRDefault="00807992" w:rsidP="00807992">
            <w:pPr>
              <w:tabs>
                <w:tab w:val="left" w:pos="142"/>
                <w:tab w:val="left" w:pos="360"/>
              </w:tabs>
              <w:spacing w:after="0" w:line="276" w:lineRule="auto"/>
              <w:ind w:firstLine="0"/>
              <w:rPr>
                <w:rFonts w:ascii="Arial" w:hAnsi="Arial" w:cs="Arial"/>
                <w:sz w:val="18"/>
                <w:szCs w:val="18"/>
              </w:rPr>
            </w:pPr>
          </w:p>
        </w:tc>
        <w:tc>
          <w:tcPr>
            <w:tcW w:w="3084" w:type="dxa"/>
            <w:gridSpan w:val="3"/>
            <w:tcBorders>
              <w:top w:val="single" w:sz="4" w:space="0" w:color="auto"/>
              <w:bottom w:val="single" w:sz="4" w:space="0" w:color="auto"/>
            </w:tcBorders>
            <w:shd w:val="clear" w:color="auto" w:fill="FABF8F" w:themeFill="accent6" w:themeFillTint="99"/>
            <w:vAlign w:val="center"/>
          </w:tcPr>
          <w:p w14:paraId="0DAB5F3D" w14:textId="77777777" w:rsidR="00807992" w:rsidRPr="00667DFF" w:rsidRDefault="00807992" w:rsidP="00807992">
            <w:pPr>
              <w:tabs>
                <w:tab w:val="left" w:pos="142"/>
              </w:tabs>
              <w:spacing w:after="0" w:line="276" w:lineRule="auto"/>
              <w:ind w:firstLine="0"/>
              <w:jc w:val="center"/>
              <w:rPr>
                <w:rFonts w:ascii="Arial" w:hAnsi="Arial" w:cs="Arial"/>
                <w:sz w:val="18"/>
                <w:szCs w:val="18"/>
              </w:rPr>
            </w:pPr>
            <w:r w:rsidRPr="00667DFF">
              <w:rPr>
                <w:rFonts w:ascii="Arial" w:hAnsi="Arial" w:cs="Arial"/>
                <w:sz w:val="18"/>
                <w:szCs w:val="18"/>
              </w:rPr>
              <w:t>Gestión directa</w:t>
            </w:r>
          </w:p>
        </w:tc>
        <w:tc>
          <w:tcPr>
            <w:tcW w:w="1894" w:type="dxa"/>
            <w:gridSpan w:val="2"/>
            <w:tcBorders>
              <w:top w:val="single" w:sz="4" w:space="0" w:color="auto"/>
              <w:bottom w:val="single" w:sz="4" w:space="0" w:color="auto"/>
            </w:tcBorders>
            <w:shd w:val="clear" w:color="auto" w:fill="FABF8F" w:themeFill="accent6" w:themeFillTint="99"/>
            <w:vAlign w:val="center"/>
          </w:tcPr>
          <w:p w14:paraId="0271558B" w14:textId="77777777" w:rsidR="00807992" w:rsidRPr="00667DFF" w:rsidRDefault="00807992" w:rsidP="00807992">
            <w:pPr>
              <w:tabs>
                <w:tab w:val="left" w:pos="142"/>
              </w:tabs>
              <w:spacing w:after="0" w:line="276" w:lineRule="auto"/>
              <w:ind w:firstLine="0"/>
              <w:jc w:val="left"/>
              <w:rPr>
                <w:rFonts w:ascii="Arial" w:hAnsi="Arial" w:cs="Arial"/>
                <w:sz w:val="18"/>
                <w:szCs w:val="18"/>
              </w:rPr>
            </w:pPr>
            <w:r w:rsidRPr="00667DFF">
              <w:rPr>
                <w:rFonts w:ascii="Arial" w:hAnsi="Arial" w:cs="Arial"/>
                <w:sz w:val="18"/>
                <w:szCs w:val="18"/>
              </w:rPr>
              <w:t xml:space="preserve">      Gestión indirecta</w:t>
            </w:r>
          </w:p>
        </w:tc>
        <w:tc>
          <w:tcPr>
            <w:tcW w:w="976" w:type="dxa"/>
            <w:vMerge w:val="restart"/>
            <w:tcBorders>
              <w:top w:val="single" w:sz="4" w:space="0" w:color="auto"/>
              <w:bottom w:val="single" w:sz="4" w:space="0" w:color="auto"/>
            </w:tcBorders>
            <w:shd w:val="clear" w:color="auto" w:fill="FABF8F" w:themeFill="accent6" w:themeFillTint="99"/>
            <w:vAlign w:val="center"/>
          </w:tcPr>
          <w:p w14:paraId="50EB79AE" w14:textId="77777777" w:rsidR="00807992" w:rsidRPr="00667DFF" w:rsidRDefault="00807992" w:rsidP="005A0253">
            <w:pPr>
              <w:tabs>
                <w:tab w:val="left" w:pos="142"/>
              </w:tabs>
              <w:spacing w:after="0" w:line="276" w:lineRule="auto"/>
              <w:ind w:left="-141" w:firstLine="0"/>
              <w:jc w:val="right"/>
              <w:rPr>
                <w:rFonts w:ascii="Arial" w:hAnsi="Arial" w:cs="Arial"/>
                <w:sz w:val="18"/>
                <w:szCs w:val="18"/>
              </w:rPr>
            </w:pPr>
            <w:r w:rsidRPr="00667DFF">
              <w:rPr>
                <w:rFonts w:ascii="Arial" w:hAnsi="Arial" w:cs="Arial"/>
                <w:sz w:val="18"/>
                <w:szCs w:val="18"/>
              </w:rPr>
              <w:t>Manco-</w:t>
            </w:r>
          </w:p>
          <w:p w14:paraId="74A7ED4A" w14:textId="77777777" w:rsidR="00807992" w:rsidRPr="00667DFF" w:rsidRDefault="00807992" w:rsidP="005A0253">
            <w:pPr>
              <w:tabs>
                <w:tab w:val="left" w:pos="142"/>
              </w:tabs>
              <w:spacing w:after="0" w:line="276" w:lineRule="auto"/>
              <w:ind w:firstLine="0"/>
              <w:jc w:val="right"/>
              <w:rPr>
                <w:rFonts w:ascii="Arial" w:hAnsi="Arial" w:cs="Arial"/>
                <w:sz w:val="18"/>
                <w:szCs w:val="18"/>
              </w:rPr>
            </w:pPr>
            <w:r w:rsidRPr="00667DFF">
              <w:rPr>
                <w:rFonts w:ascii="Arial" w:hAnsi="Arial" w:cs="Arial"/>
                <w:sz w:val="18"/>
                <w:szCs w:val="18"/>
              </w:rPr>
              <w:t>munidad</w:t>
            </w:r>
          </w:p>
        </w:tc>
      </w:tr>
      <w:tr w:rsidR="00807992" w:rsidRPr="00667DFF" w14:paraId="6B25E714" w14:textId="77777777" w:rsidTr="004845DB">
        <w:trPr>
          <w:trHeight w:val="255"/>
          <w:jc w:val="center"/>
        </w:trPr>
        <w:tc>
          <w:tcPr>
            <w:tcW w:w="2976" w:type="dxa"/>
            <w:tcBorders>
              <w:top w:val="single" w:sz="4" w:space="0" w:color="auto"/>
              <w:bottom w:val="single" w:sz="4" w:space="0" w:color="auto"/>
            </w:tcBorders>
            <w:shd w:val="clear" w:color="auto" w:fill="FABF8F" w:themeFill="accent6" w:themeFillTint="99"/>
            <w:vAlign w:val="center"/>
          </w:tcPr>
          <w:p w14:paraId="68F0260D" w14:textId="77777777" w:rsidR="00807992" w:rsidRPr="00667DFF" w:rsidRDefault="00807992" w:rsidP="00807992">
            <w:pPr>
              <w:tabs>
                <w:tab w:val="left" w:pos="142"/>
                <w:tab w:val="left" w:pos="360"/>
              </w:tabs>
              <w:spacing w:after="0" w:line="276" w:lineRule="auto"/>
              <w:ind w:left="271" w:hanging="271"/>
              <w:rPr>
                <w:rFonts w:ascii="Arial" w:hAnsi="Arial" w:cs="Arial"/>
                <w:sz w:val="18"/>
                <w:szCs w:val="18"/>
              </w:rPr>
            </w:pPr>
            <w:r w:rsidRPr="00667DFF">
              <w:rPr>
                <w:rFonts w:ascii="Arial" w:hAnsi="Arial" w:cs="Arial"/>
                <w:sz w:val="18"/>
                <w:szCs w:val="18"/>
              </w:rPr>
              <w:t>Servicio</w:t>
            </w:r>
          </w:p>
        </w:tc>
        <w:tc>
          <w:tcPr>
            <w:tcW w:w="1249" w:type="dxa"/>
            <w:tcBorders>
              <w:top w:val="single" w:sz="4" w:space="0" w:color="auto"/>
              <w:bottom w:val="single" w:sz="4" w:space="0" w:color="auto"/>
            </w:tcBorders>
            <w:shd w:val="clear" w:color="auto" w:fill="FABF8F" w:themeFill="accent6" w:themeFillTint="99"/>
            <w:vAlign w:val="center"/>
          </w:tcPr>
          <w:p w14:paraId="5FF0A892" w14:textId="77777777" w:rsidR="00807992" w:rsidRPr="00667DFF" w:rsidRDefault="00807992" w:rsidP="00807992">
            <w:pPr>
              <w:tabs>
                <w:tab w:val="left" w:pos="142"/>
              </w:tabs>
              <w:spacing w:after="0" w:line="276" w:lineRule="auto"/>
              <w:ind w:left="-141" w:firstLine="0"/>
              <w:jc w:val="center"/>
              <w:rPr>
                <w:rFonts w:ascii="Arial" w:hAnsi="Arial" w:cs="Arial"/>
                <w:sz w:val="18"/>
                <w:szCs w:val="18"/>
              </w:rPr>
            </w:pPr>
            <w:r w:rsidRPr="00667DFF">
              <w:rPr>
                <w:rFonts w:ascii="Arial" w:hAnsi="Arial" w:cs="Arial"/>
                <w:sz w:val="18"/>
                <w:szCs w:val="18"/>
              </w:rPr>
              <w:t>Ayuntamiento</w:t>
            </w:r>
          </w:p>
        </w:tc>
        <w:tc>
          <w:tcPr>
            <w:tcW w:w="883" w:type="dxa"/>
            <w:tcBorders>
              <w:top w:val="single" w:sz="4" w:space="0" w:color="auto"/>
              <w:bottom w:val="single" w:sz="4" w:space="0" w:color="auto"/>
            </w:tcBorders>
            <w:shd w:val="clear" w:color="auto" w:fill="FABF8F" w:themeFill="accent6" w:themeFillTint="99"/>
            <w:vAlign w:val="center"/>
          </w:tcPr>
          <w:p w14:paraId="2E7FDFCD" w14:textId="77777777" w:rsidR="00807992" w:rsidRPr="00667DFF" w:rsidRDefault="00807992" w:rsidP="00807992">
            <w:pPr>
              <w:tabs>
                <w:tab w:val="left" w:pos="142"/>
              </w:tabs>
              <w:spacing w:after="0" w:line="276" w:lineRule="auto"/>
              <w:ind w:left="142" w:hanging="142"/>
              <w:jc w:val="center"/>
              <w:rPr>
                <w:rFonts w:ascii="Arial" w:hAnsi="Arial" w:cs="Arial"/>
                <w:sz w:val="18"/>
                <w:szCs w:val="18"/>
              </w:rPr>
            </w:pPr>
            <w:r w:rsidRPr="00667DFF">
              <w:rPr>
                <w:rFonts w:ascii="Arial" w:hAnsi="Arial" w:cs="Arial"/>
                <w:sz w:val="18"/>
                <w:szCs w:val="18"/>
              </w:rPr>
              <w:t>OOAA</w:t>
            </w:r>
          </w:p>
        </w:tc>
        <w:tc>
          <w:tcPr>
            <w:tcW w:w="952" w:type="dxa"/>
            <w:tcBorders>
              <w:top w:val="single" w:sz="4" w:space="0" w:color="auto"/>
              <w:bottom w:val="single" w:sz="4" w:space="0" w:color="auto"/>
            </w:tcBorders>
            <w:shd w:val="clear" w:color="auto" w:fill="FABF8F" w:themeFill="accent6" w:themeFillTint="99"/>
            <w:vAlign w:val="center"/>
          </w:tcPr>
          <w:p w14:paraId="7AB9917D" w14:textId="77777777" w:rsidR="00807992" w:rsidRPr="00667DFF" w:rsidRDefault="00807992" w:rsidP="00807992">
            <w:pPr>
              <w:tabs>
                <w:tab w:val="left" w:pos="142"/>
              </w:tabs>
              <w:spacing w:after="0" w:line="276" w:lineRule="auto"/>
              <w:ind w:firstLine="0"/>
              <w:jc w:val="center"/>
              <w:rPr>
                <w:rFonts w:ascii="Arial" w:hAnsi="Arial" w:cs="Arial"/>
                <w:sz w:val="18"/>
                <w:szCs w:val="18"/>
              </w:rPr>
            </w:pPr>
            <w:r w:rsidRPr="00667DFF">
              <w:rPr>
                <w:rFonts w:ascii="Arial" w:hAnsi="Arial" w:cs="Arial"/>
                <w:sz w:val="18"/>
                <w:szCs w:val="18"/>
              </w:rPr>
              <w:t>Empresa pública</w:t>
            </w:r>
          </w:p>
        </w:tc>
        <w:tc>
          <w:tcPr>
            <w:tcW w:w="901" w:type="dxa"/>
            <w:tcBorders>
              <w:top w:val="single" w:sz="4" w:space="0" w:color="auto"/>
              <w:bottom w:val="single" w:sz="4" w:space="0" w:color="auto"/>
            </w:tcBorders>
            <w:shd w:val="clear" w:color="auto" w:fill="FABF8F" w:themeFill="accent6" w:themeFillTint="99"/>
            <w:vAlign w:val="center"/>
          </w:tcPr>
          <w:p w14:paraId="3C0F5655" w14:textId="77777777" w:rsidR="00807992" w:rsidRPr="00667DFF" w:rsidRDefault="00807992" w:rsidP="00807992">
            <w:pPr>
              <w:tabs>
                <w:tab w:val="left" w:pos="142"/>
              </w:tabs>
              <w:spacing w:after="0" w:line="276" w:lineRule="auto"/>
              <w:ind w:left="-141" w:firstLine="0"/>
              <w:jc w:val="right"/>
              <w:rPr>
                <w:rFonts w:ascii="Arial" w:hAnsi="Arial" w:cs="Arial"/>
                <w:sz w:val="18"/>
                <w:szCs w:val="18"/>
              </w:rPr>
            </w:pPr>
            <w:r w:rsidRPr="00667DFF">
              <w:rPr>
                <w:rFonts w:ascii="Arial" w:hAnsi="Arial" w:cs="Arial"/>
                <w:sz w:val="18"/>
                <w:szCs w:val="18"/>
              </w:rPr>
              <w:t>Contrato concesión servicios</w:t>
            </w:r>
          </w:p>
        </w:tc>
        <w:tc>
          <w:tcPr>
            <w:tcW w:w="993" w:type="dxa"/>
            <w:tcBorders>
              <w:top w:val="single" w:sz="4" w:space="0" w:color="auto"/>
              <w:bottom w:val="single" w:sz="4" w:space="0" w:color="auto"/>
            </w:tcBorders>
            <w:shd w:val="clear" w:color="auto" w:fill="FABF8F" w:themeFill="accent6" w:themeFillTint="99"/>
            <w:vAlign w:val="center"/>
          </w:tcPr>
          <w:p w14:paraId="336FC057" w14:textId="77777777" w:rsidR="00807992" w:rsidRPr="00667DFF" w:rsidRDefault="00807992" w:rsidP="00807992">
            <w:pPr>
              <w:tabs>
                <w:tab w:val="left" w:pos="142"/>
              </w:tabs>
              <w:spacing w:after="0" w:line="276" w:lineRule="auto"/>
              <w:ind w:left="-141" w:firstLine="0"/>
              <w:jc w:val="right"/>
              <w:rPr>
                <w:rFonts w:ascii="Arial" w:hAnsi="Arial" w:cs="Arial"/>
                <w:sz w:val="18"/>
                <w:szCs w:val="18"/>
              </w:rPr>
            </w:pPr>
            <w:r w:rsidRPr="00667DFF">
              <w:rPr>
                <w:rFonts w:ascii="Arial" w:hAnsi="Arial" w:cs="Arial"/>
                <w:sz w:val="18"/>
                <w:szCs w:val="18"/>
              </w:rPr>
              <w:t>Contrato servicio</w:t>
            </w:r>
          </w:p>
        </w:tc>
        <w:tc>
          <w:tcPr>
            <w:tcW w:w="976" w:type="dxa"/>
            <w:vMerge/>
            <w:tcBorders>
              <w:top w:val="single" w:sz="4" w:space="0" w:color="auto"/>
              <w:bottom w:val="single" w:sz="4" w:space="0" w:color="auto"/>
            </w:tcBorders>
            <w:shd w:val="clear" w:color="auto" w:fill="FABF8F" w:themeFill="accent6" w:themeFillTint="99"/>
            <w:vAlign w:val="center"/>
          </w:tcPr>
          <w:p w14:paraId="61328BB1" w14:textId="77777777" w:rsidR="00807992" w:rsidRPr="00667DFF" w:rsidRDefault="00807992" w:rsidP="00807992">
            <w:pPr>
              <w:tabs>
                <w:tab w:val="left" w:pos="142"/>
              </w:tabs>
              <w:spacing w:after="0" w:line="276" w:lineRule="auto"/>
              <w:ind w:left="-141" w:firstLine="0"/>
              <w:rPr>
                <w:rFonts w:ascii="Arial" w:hAnsi="Arial" w:cs="Arial"/>
                <w:sz w:val="18"/>
                <w:szCs w:val="18"/>
              </w:rPr>
            </w:pPr>
          </w:p>
        </w:tc>
      </w:tr>
      <w:tr w:rsidR="00807992" w:rsidRPr="00DF6702" w14:paraId="3CB05ABB" w14:textId="77777777" w:rsidTr="004845DB">
        <w:trPr>
          <w:trHeight w:val="198"/>
          <w:jc w:val="center"/>
        </w:trPr>
        <w:tc>
          <w:tcPr>
            <w:tcW w:w="2976" w:type="dxa"/>
            <w:tcBorders>
              <w:top w:val="single" w:sz="4" w:space="0" w:color="auto"/>
              <w:bottom w:val="single" w:sz="2" w:space="0" w:color="auto"/>
            </w:tcBorders>
            <w:vAlign w:val="center"/>
          </w:tcPr>
          <w:p w14:paraId="281EEC0B"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 xml:space="preserve">Alumbrado público </w:t>
            </w:r>
          </w:p>
        </w:tc>
        <w:tc>
          <w:tcPr>
            <w:tcW w:w="1249" w:type="dxa"/>
            <w:tcBorders>
              <w:top w:val="single" w:sz="4" w:space="0" w:color="auto"/>
              <w:bottom w:val="single" w:sz="2" w:space="0" w:color="auto"/>
            </w:tcBorders>
            <w:vAlign w:val="center"/>
          </w:tcPr>
          <w:p w14:paraId="45522C8D"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4" w:space="0" w:color="auto"/>
              <w:bottom w:val="single" w:sz="2" w:space="0" w:color="auto"/>
            </w:tcBorders>
            <w:vAlign w:val="center"/>
          </w:tcPr>
          <w:p w14:paraId="7C83ECCB"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4" w:space="0" w:color="auto"/>
              <w:bottom w:val="single" w:sz="2" w:space="0" w:color="auto"/>
            </w:tcBorders>
            <w:vAlign w:val="center"/>
          </w:tcPr>
          <w:p w14:paraId="6C202433"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4" w:space="0" w:color="auto"/>
              <w:bottom w:val="single" w:sz="2" w:space="0" w:color="auto"/>
            </w:tcBorders>
            <w:vAlign w:val="center"/>
          </w:tcPr>
          <w:p w14:paraId="2819AD7E"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4" w:space="0" w:color="auto"/>
              <w:bottom w:val="single" w:sz="2" w:space="0" w:color="auto"/>
            </w:tcBorders>
            <w:vAlign w:val="center"/>
          </w:tcPr>
          <w:p w14:paraId="7C218313"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976" w:type="dxa"/>
            <w:tcBorders>
              <w:top w:val="single" w:sz="4" w:space="0" w:color="auto"/>
              <w:left w:val="nil"/>
              <w:bottom w:val="single" w:sz="2" w:space="0" w:color="auto"/>
            </w:tcBorders>
            <w:vAlign w:val="center"/>
          </w:tcPr>
          <w:p w14:paraId="2CAE7AF9"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49C2EACB" w14:textId="77777777" w:rsidTr="004845DB">
        <w:trPr>
          <w:trHeight w:val="198"/>
          <w:jc w:val="center"/>
        </w:trPr>
        <w:tc>
          <w:tcPr>
            <w:tcW w:w="2976" w:type="dxa"/>
            <w:tcBorders>
              <w:top w:val="single" w:sz="2" w:space="0" w:color="auto"/>
              <w:bottom w:val="single" w:sz="2" w:space="0" w:color="auto"/>
            </w:tcBorders>
            <w:vAlign w:val="center"/>
          </w:tcPr>
          <w:p w14:paraId="54957B38"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Cementerio</w:t>
            </w:r>
          </w:p>
        </w:tc>
        <w:tc>
          <w:tcPr>
            <w:tcW w:w="1249" w:type="dxa"/>
            <w:tcBorders>
              <w:top w:val="single" w:sz="2" w:space="0" w:color="auto"/>
              <w:bottom w:val="single" w:sz="2" w:space="0" w:color="auto"/>
            </w:tcBorders>
            <w:vAlign w:val="center"/>
          </w:tcPr>
          <w:p w14:paraId="05A4F188"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23D2AE3F"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6473776F"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3CB9C147"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3D38A679"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41573617"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03864C20" w14:textId="77777777" w:rsidTr="004845DB">
        <w:trPr>
          <w:trHeight w:val="198"/>
          <w:jc w:val="center"/>
        </w:trPr>
        <w:tc>
          <w:tcPr>
            <w:tcW w:w="2976" w:type="dxa"/>
            <w:tcBorders>
              <w:top w:val="single" w:sz="2" w:space="0" w:color="auto"/>
              <w:bottom w:val="single" w:sz="2" w:space="0" w:color="auto"/>
            </w:tcBorders>
            <w:vAlign w:val="center"/>
          </w:tcPr>
          <w:p w14:paraId="55B650CD"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Recogida y tratamiento de Residuos Urbanos</w:t>
            </w:r>
          </w:p>
        </w:tc>
        <w:tc>
          <w:tcPr>
            <w:tcW w:w="1249" w:type="dxa"/>
            <w:tcBorders>
              <w:top w:val="single" w:sz="2" w:space="0" w:color="auto"/>
              <w:bottom w:val="single" w:sz="2" w:space="0" w:color="auto"/>
            </w:tcBorders>
            <w:vAlign w:val="center"/>
          </w:tcPr>
          <w:p w14:paraId="4E46A742" w14:textId="77777777" w:rsidR="00807992" w:rsidRPr="004845DB" w:rsidRDefault="00807992" w:rsidP="00D92287">
            <w:pPr>
              <w:tabs>
                <w:tab w:val="left" w:pos="142"/>
              </w:tabs>
              <w:spacing w:after="0"/>
              <w:ind w:firstLine="0"/>
              <w:jc w:val="center"/>
              <w:rPr>
                <w:rFonts w:ascii="Arial Narrow" w:hAnsi="Arial Narrow"/>
              </w:rPr>
            </w:pPr>
          </w:p>
        </w:tc>
        <w:tc>
          <w:tcPr>
            <w:tcW w:w="883" w:type="dxa"/>
            <w:tcBorders>
              <w:top w:val="single" w:sz="2" w:space="0" w:color="auto"/>
              <w:bottom w:val="single" w:sz="2" w:space="0" w:color="auto"/>
            </w:tcBorders>
            <w:vAlign w:val="center"/>
          </w:tcPr>
          <w:p w14:paraId="078B6034"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08F65A79"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6DF9948B"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1AC4885E"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00B038F9"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r>
      <w:tr w:rsidR="00807992" w:rsidRPr="00DF6702" w14:paraId="2181B700" w14:textId="77777777" w:rsidTr="004845DB">
        <w:trPr>
          <w:trHeight w:val="198"/>
          <w:jc w:val="center"/>
        </w:trPr>
        <w:tc>
          <w:tcPr>
            <w:tcW w:w="2976" w:type="dxa"/>
            <w:tcBorders>
              <w:top w:val="single" w:sz="2" w:space="0" w:color="auto"/>
              <w:bottom w:val="single" w:sz="2" w:space="0" w:color="auto"/>
            </w:tcBorders>
            <w:vAlign w:val="center"/>
          </w:tcPr>
          <w:p w14:paraId="52232CC9"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Limpieza viaria</w:t>
            </w:r>
          </w:p>
        </w:tc>
        <w:tc>
          <w:tcPr>
            <w:tcW w:w="1249" w:type="dxa"/>
            <w:tcBorders>
              <w:top w:val="single" w:sz="2" w:space="0" w:color="auto"/>
              <w:bottom w:val="single" w:sz="2" w:space="0" w:color="auto"/>
            </w:tcBorders>
            <w:vAlign w:val="center"/>
          </w:tcPr>
          <w:p w14:paraId="2A79F318"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236FB2AB"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0F260086"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3FEEC336"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45C3C0BD"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976" w:type="dxa"/>
            <w:tcBorders>
              <w:top w:val="single" w:sz="2" w:space="0" w:color="auto"/>
              <w:left w:val="nil"/>
              <w:bottom w:val="single" w:sz="2" w:space="0" w:color="auto"/>
            </w:tcBorders>
            <w:vAlign w:val="center"/>
          </w:tcPr>
          <w:p w14:paraId="01C5EF80"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5B2AE059" w14:textId="77777777" w:rsidTr="004845DB">
        <w:trPr>
          <w:trHeight w:val="198"/>
          <w:jc w:val="center"/>
        </w:trPr>
        <w:tc>
          <w:tcPr>
            <w:tcW w:w="2976" w:type="dxa"/>
            <w:tcBorders>
              <w:top w:val="single" w:sz="2" w:space="0" w:color="auto"/>
              <w:bottom w:val="single" w:sz="2" w:space="0" w:color="auto"/>
            </w:tcBorders>
            <w:vAlign w:val="center"/>
          </w:tcPr>
          <w:p w14:paraId="08564902"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Ciclo integral del agua</w:t>
            </w:r>
          </w:p>
        </w:tc>
        <w:tc>
          <w:tcPr>
            <w:tcW w:w="1249" w:type="dxa"/>
            <w:tcBorders>
              <w:top w:val="single" w:sz="2" w:space="0" w:color="auto"/>
              <w:bottom w:val="single" w:sz="2" w:space="0" w:color="auto"/>
            </w:tcBorders>
            <w:vAlign w:val="center"/>
          </w:tcPr>
          <w:p w14:paraId="713B7936" w14:textId="77777777" w:rsidR="00807992" w:rsidRPr="004845DB" w:rsidRDefault="00807992" w:rsidP="00D92287">
            <w:pPr>
              <w:tabs>
                <w:tab w:val="left" w:pos="142"/>
              </w:tabs>
              <w:spacing w:after="0"/>
              <w:ind w:firstLine="0"/>
              <w:jc w:val="center"/>
              <w:rPr>
                <w:rFonts w:ascii="Arial Narrow" w:hAnsi="Arial Narrow"/>
              </w:rPr>
            </w:pPr>
          </w:p>
        </w:tc>
        <w:tc>
          <w:tcPr>
            <w:tcW w:w="883" w:type="dxa"/>
            <w:tcBorders>
              <w:top w:val="single" w:sz="2" w:space="0" w:color="auto"/>
              <w:bottom w:val="single" w:sz="2" w:space="0" w:color="auto"/>
            </w:tcBorders>
            <w:vAlign w:val="center"/>
          </w:tcPr>
          <w:p w14:paraId="11A60242"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28B15859"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369714EA"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5D0A32E4"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6B4F4585"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r>
      <w:tr w:rsidR="00807992" w:rsidRPr="00DF6702" w14:paraId="3004F019" w14:textId="77777777" w:rsidTr="004845DB">
        <w:trPr>
          <w:trHeight w:val="198"/>
          <w:jc w:val="center"/>
        </w:trPr>
        <w:tc>
          <w:tcPr>
            <w:tcW w:w="2976" w:type="dxa"/>
            <w:tcBorders>
              <w:top w:val="single" w:sz="2" w:space="0" w:color="auto"/>
              <w:bottom w:val="single" w:sz="2" w:space="0" w:color="auto"/>
            </w:tcBorders>
            <w:vAlign w:val="center"/>
          </w:tcPr>
          <w:p w14:paraId="16ED98DE"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Alcantarillado</w:t>
            </w:r>
          </w:p>
        </w:tc>
        <w:tc>
          <w:tcPr>
            <w:tcW w:w="1249" w:type="dxa"/>
            <w:tcBorders>
              <w:top w:val="single" w:sz="2" w:space="0" w:color="auto"/>
              <w:bottom w:val="single" w:sz="2" w:space="0" w:color="auto"/>
            </w:tcBorders>
            <w:vAlign w:val="center"/>
          </w:tcPr>
          <w:p w14:paraId="340E2AA8"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1E8736BD"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444BC3FB"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29AA4D6D"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05690EE4"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2A6CEE76"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2F8AEB71" w14:textId="77777777" w:rsidTr="004845DB">
        <w:trPr>
          <w:trHeight w:val="198"/>
          <w:jc w:val="center"/>
        </w:trPr>
        <w:tc>
          <w:tcPr>
            <w:tcW w:w="2976" w:type="dxa"/>
            <w:tcBorders>
              <w:top w:val="single" w:sz="2" w:space="0" w:color="auto"/>
              <w:bottom w:val="single" w:sz="2" w:space="0" w:color="auto"/>
            </w:tcBorders>
            <w:vAlign w:val="center"/>
          </w:tcPr>
          <w:p w14:paraId="487BB0A5"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Parque público</w:t>
            </w:r>
          </w:p>
        </w:tc>
        <w:tc>
          <w:tcPr>
            <w:tcW w:w="1249" w:type="dxa"/>
            <w:tcBorders>
              <w:top w:val="single" w:sz="2" w:space="0" w:color="auto"/>
              <w:bottom w:val="single" w:sz="2" w:space="0" w:color="auto"/>
            </w:tcBorders>
            <w:vAlign w:val="center"/>
          </w:tcPr>
          <w:p w14:paraId="4C34814F"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15518599"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737F0683"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6B29B7D0"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3A7D99E1"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976" w:type="dxa"/>
            <w:tcBorders>
              <w:top w:val="single" w:sz="2" w:space="0" w:color="auto"/>
              <w:left w:val="nil"/>
              <w:bottom w:val="single" w:sz="2" w:space="0" w:color="auto"/>
            </w:tcBorders>
            <w:vAlign w:val="center"/>
          </w:tcPr>
          <w:p w14:paraId="7F851531"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34209C62" w14:textId="77777777" w:rsidTr="004845DB">
        <w:trPr>
          <w:trHeight w:val="198"/>
          <w:jc w:val="center"/>
        </w:trPr>
        <w:tc>
          <w:tcPr>
            <w:tcW w:w="2976" w:type="dxa"/>
            <w:tcBorders>
              <w:top w:val="single" w:sz="2" w:space="0" w:color="auto"/>
              <w:bottom w:val="single" w:sz="2" w:space="0" w:color="auto"/>
            </w:tcBorders>
            <w:vAlign w:val="center"/>
          </w:tcPr>
          <w:p w14:paraId="7F772497"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Biblioteca-ludoteca</w:t>
            </w:r>
          </w:p>
        </w:tc>
        <w:tc>
          <w:tcPr>
            <w:tcW w:w="1249" w:type="dxa"/>
            <w:tcBorders>
              <w:top w:val="single" w:sz="2" w:space="0" w:color="auto"/>
              <w:bottom w:val="single" w:sz="2" w:space="0" w:color="auto"/>
            </w:tcBorders>
            <w:vAlign w:val="center"/>
          </w:tcPr>
          <w:p w14:paraId="18C3AD31"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25D7FFDA"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6A7F19DF" w14:textId="77777777" w:rsidR="00807992" w:rsidRPr="004845DB" w:rsidRDefault="00807992" w:rsidP="00D92287">
            <w:pPr>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29106B63"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75F4739A"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3E03D574"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705D17E5" w14:textId="77777777" w:rsidTr="004845DB">
        <w:trPr>
          <w:trHeight w:val="198"/>
          <w:jc w:val="center"/>
        </w:trPr>
        <w:tc>
          <w:tcPr>
            <w:tcW w:w="2976" w:type="dxa"/>
            <w:tcBorders>
              <w:top w:val="single" w:sz="2" w:space="0" w:color="auto"/>
              <w:bottom w:val="single" w:sz="2" w:space="0" w:color="auto"/>
            </w:tcBorders>
            <w:vAlign w:val="center"/>
          </w:tcPr>
          <w:p w14:paraId="621C1BE3" w14:textId="77777777" w:rsidR="00807992" w:rsidRPr="00D92287" w:rsidRDefault="00807992" w:rsidP="00D92287">
            <w:pPr>
              <w:tabs>
                <w:tab w:val="left" w:pos="142"/>
                <w:tab w:val="left" w:pos="360"/>
              </w:tabs>
              <w:spacing w:after="0"/>
              <w:ind w:left="172" w:hanging="172"/>
              <w:jc w:val="left"/>
              <w:rPr>
                <w:rFonts w:ascii="Arial Narrow" w:hAnsi="Arial Narrow"/>
                <w:lang w:val="es-ES"/>
              </w:rPr>
            </w:pPr>
            <w:r w:rsidRPr="00D92287">
              <w:rPr>
                <w:rFonts w:ascii="Arial Narrow" w:hAnsi="Arial Narrow"/>
                <w:lang w:val="es-ES"/>
              </w:rPr>
              <w:t>Servicios sociales</w:t>
            </w:r>
          </w:p>
        </w:tc>
        <w:tc>
          <w:tcPr>
            <w:tcW w:w="1249" w:type="dxa"/>
            <w:tcBorders>
              <w:top w:val="single" w:sz="2" w:space="0" w:color="auto"/>
              <w:bottom w:val="single" w:sz="2" w:space="0" w:color="auto"/>
            </w:tcBorders>
            <w:vAlign w:val="center"/>
          </w:tcPr>
          <w:p w14:paraId="6B66CDD2" w14:textId="77777777" w:rsidR="00807992" w:rsidRPr="004845DB" w:rsidRDefault="00807992" w:rsidP="00D92287">
            <w:pPr>
              <w:tabs>
                <w:tab w:val="left" w:pos="142"/>
              </w:tabs>
              <w:spacing w:after="0"/>
              <w:ind w:firstLine="0"/>
              <w:jc w:val="center"/>
              <w:rPr>
                <w:rFonts w:ascii="Arial Narrow" w:hAnsi="Arial Narrow"/>
              </w:rPr>
            </w:pPr>
          </w:p>
        </w:tc>
        <w:tc>
          <w:tcPr>
            <w:tcW w:w="883" w:type="dxa"/>
            <w:tcBorders>
              <w:top w:val="single" w:sz="2" w:space="0" w:color="auto"/>
              <w:bottom w:val="single" w:sz="2" w:space="0" w:color="auto"/>
            </w:tcBorders>
            <w:vAlign w:val="center"/>
          </w:tcPr>
          <w:p w14:paraId="61F2E2E1"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3DF6B9AA" w14:textId="77777777" w:rsidR="00807992" w:rsidRPr="004845DB" w:rsidRDefault="00807992" w:rsidP="00D92287">
            <w:pPr>
              <w:spacing w:after="0"/>
              <w:ind w:firstLine="0"/>
              <w:jc w:val="center"/>
              <w:rPr>
                <w:rFonts w:ascii="Arial Narrow" w:hAnsi="Arial Narrow"/>
              </w:rPr>
            </w:pPr>
            <w:r w:rsidRPr="004845DB">
              <w:rPr>
                <w:rFonts w:ascii="Arial Narrow" w:hAnsi="Arial Narrow"/>
              </w:rPr>
              <w:t>x</w:t>
            </w:r>
          </w:p>
        </w:tc>
        <w:tc>
          <w:tcPr>
            <w:tcW w:w="901" w:type="dxa"/>
            <w:tcBorders>
              <w:top w:val="single" w:sz="2" w:space="0" w:color="auto"/>
              <w:bottom w:val="single" w:sz="2" w:space="0" w:color="auto"/>
            </w:tcBorders>
            <w:vAlign w:val="center"/>
          </w:tcPr>
          <w:p w14:paraId="3D3D8620"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7C4F4B85"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09111B9D"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7FF52173" w14:textId="77777777" w:rsidTr="004845DB">
        <w:trPr>
          <w:trHeight w:val="198"/>
          <w:jc w:val="center"/>
        </w:trPr>
        <w:tc>
          <w:tcPr>
            <w:tcW w:w="2976" w:type="dxa"/>
            <w:tcBorders>
              <w:top w:val="single" w:sz="2" w:space="0" w:color="auto"/>
              <w:bottom w:val="single" w:sz="2" w:space="0" w:color="auto"/>
            </w:tcBorders>
            <w:vAlign w:val="center"/>
          </w:tcPr>
          <w:p w14:paraId="3E6A9F6E"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Instalaciones deportivas</w:t>
            </w:r>
          </w:p>
        </w:tc>
        <w:tc>
          <w:tcPr>
            <w:tcW w:w="1249" w:type="dxa"/>
            <w:tcBorders>
              <w:top w:val="single" w:sz="2" w:space="0" w:color="auto"/>
              <w:bottom w:val="single" w:sz="2" w:space="0" w:color="auto"/>
            </w:tcBorders>
            <w:vAlign w:val="center"/>
          </w:tcPr>
          <w:p w14:paraId="1B7326E4"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2BA7A9D5"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5A2B2246" w14:textId="77777777" w:rsidR="00807992" w:rsidRPr="004845DB" w:rsidRDefault="00807992" w:rsidP="00D92287">
            <w:pPr>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43CEC5B9"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6E84326E"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976" w:type="dxa"/>
            <w:tcBorders>
              <w:top w:val="single" w:sz="2" w:space="0" w:color="auto"/>
              <w:left w:val="nil"/>
              <w:bottom w:val="single" w:sz="2" w:space="0" w:color="auto"/>
            </w:tcBorders>
            <w:vAlign w:val="center"/>
          </w:tcPr>
          <w:p w14:paraId="608F9933"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615F13D1" w14:textId="77777777" w:rsidTr="004845DB">
        <w:trPr>
          <w:trHeight w:val="198"/>
          <w:jc w:val="center"/>
        </w:trPr>
        <w:tc>
          <w:tcPr>
            <w:tcW w:w="2976" w:type="dxa"/>
            <w:tcBorders>
              <w:top w:val="single" w:sz="2" w:space="0" w:color="auto"/>
              <w:bottom w:val="single" w:sz="2" w:space="0" w:color="auto"/>
            </w:tcBorders>
            <w:vAlign w:val="center"/>
          </w:tcPr>
          <w:p w14:paraId="7A113681"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Transporte colectivo urbano de viajeros</w:t>
            </w:r>
          </w:p>
        </w:tc>
        <w:tc>
          <w:tcPr>
            <w:tcW w:w="1249" w:type="dxa"/>
            <w:tcBorders>
              <w:top w:val="single" w:sz="2" w:space="0" w:color="auto"/>
              <w:bottom w:val="single" w:sz="2" w:space="0" w:color="auto"/>
            </w:tcBorders>
            <w:vAlign w:val="center"/>
          </w:tcPr>
          <w:p w14:paraId="0164EB47" w14:textId="77777777" w:rsidR="00807992" w:rsidRPr="004845DB" w:rsidRDefault="00807992" w:rsidP="00D92287">
            <w:pPr>
              <w:tabs>
                <w:tab w:val="left" w:pos="142"/>
              </w:tabs>
              <w:spacing w:after="0"/>
              <w:ind w:firstLine="0"/>
              <w:jc w:val="center"/>
              <w:rPr>
                <w:rFonts w:ascii="Arial Narrow" w:hAnsi="Arial Narrow"/>
              </w:rPr>
            </w:pPr>
          </w:p>
        </w:tc>
        <w:tc>
          <w:tcPr>
            <w:tcW w:w="883" w:type="dxa"/>
            <w:tcBorders>
              <w:top w:val="single" w:sz="2" w:space="0" w:color="auto"/>
              <w:bottom w:val="single" w:sz="2" w:space="0" w:color="auto"/>
            </w:tcBorders>
            <w:vAlign w:val="center"/>
          </w:tcPr>
          <w:p w14:paraId="17A2B260"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57A1CD77" w14:textId="77777777" w:rsidR="00807992" w:rsidRPr="004845DB" w:rsidRDefault="00807992" w:rsidP="00D92287">
            <w:pPr>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7554233C"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37D8A497"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0D2F0EFF"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r>
      <w:tr w:rsidR="00807992" w:rsidRPr="00DF6702" w14:paraId="55ADCD62" w14:textId="77777777" w:rsidTr="004845DB">
        <w:trPr>
          <w:trHeight w:val="198"/>
          <w:jc w:val="center"/>
        </w:trPr>
        <w:tc>
          <w:tcPr>
            <w:tcW w:w="2976" w:type="dxa"/>
            <w:tcBorders>
              <w:top w:val="single" w:sz="2" w:space="0" w:color="auto"/>
              <w:bottom w:val="single" w:sz="2" w:space="0" w:color="auto"/>
            </w:tcBorders>
            <w:vAlign w:val="center"/>
          </w:tcPr>
          <w:p w14:paraId="17882832"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Urbanismo</w:t>
            </w:r>
          </w:p>
        </w:tc>
        <w:tc>
          <w:tcPr>
            <w:tcW w:w="1249" w:type="dxa"/>
            <w:tcBorders>
              <w:top w:val="single" w:sz="2" w:space="0" w:color="auto"/>
              <w:bottom w:val="single" w:sz="2" w:space="0" w:color="auto"/>
            </w:tcBorders>
            <w:vAlign w:val="center"/>
          </w:tcPr>
          <w:p w14:paraId="5D7AD5E3"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4C6C497E"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952" w:type="dxa"/>
            <w:tcBorders>
              <w:top w:val="single" w:sz="2" w:space="0" w:color="auto"/>
              <w:bottom w:val="single" w:sz="2" w:space="0" w:color="auto"/>
            </w:tcBorders>
            <w:vAlign w:val="center"/>
          </w:tcPr>
          <w:p w14:paraId="714C536B" w14:textId="77777777" w:rsidR="00807992" w:rsidRPr="004845DB" w:rsidRDefault="00807992" w:rsidP="00D92287">
            <w:pPr>
              <w:spacing w:after="0"/>
              <w:ind w:firstLine="0"/>
              <w:jc w:val="center"/>
              <w:rPr>
                <w:rFonts w:ascii="Arial Narrow" w:hAnsi="Arial Narrow"/>
              </w:rPr>
            </w:pPr>
            <w:r w:rsidRPr="004845DB">
              <w:rPr>
                <w:rFonts w:ascii="Arial Narrow" w:hAnsi="Arial Narrow"/>
              </w:rPr>
              <w:t>x</w:t>
            </w:r>
          </w:p>
        </w:tc>
        <w:tc>
          <w:tcPr>
            <w:tcW w:w="901" w:type="dxa"/>
            <w:tcBorders>
              <w:top w:val="single" w:sz="2" w:space="0" w:color="auto"/>
              <w:bottom w:val="single" w:sz="2" w:space="0" w:color="auto"/>
            </w:tcBorders>
            <w:vAlign w:val="center"/>
          </w:tcPr>
          <w:p w14:paraId="18291840"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7B9403C5"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7861A96E"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0F4341E1" w14:textId="77777777" w:rsidTr="004845DB">
        <w:trPr>
          <w:trHeight w:val="198"/>
          <w:jc w:val="center"/>
        </w:trPr>
        <w:tc>
          <w:tcPr>
            <w:tcW w:w="2976" w:type="dxa"/>
            <w:tcBorders>
              <w:top w:val="single" w:sz="2" w:space="0" w:color="auto"/>
              <w:bottom w:val="single" w:sz="2" w:space="0" w:color="auto"/>
            </w:tcBorders>
            <w:vAlign w:val="center"/>
          </w:tcPr>
          <w:p w14:paraId="07ACFC26"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Policía Local</w:t>
            </w:r>
          </w:p>
        </w:tc>
        <w:tc>
          <w:tcPr>
            <w:tcW w:w="1249" w:type="dxa"/>
            <w:tcBorders>
              <w:top w:val="single" w:sz="2" w:space="0" w:color="auto"/>
              <w:bottom w:val="single" w:sz="2" w:space="0" w:color="auto"/>
            </w:tcBorders>
            <w:vAlign w:val="center"/>
          </w:tcPr>
          <w:p w14:paraId="12520597"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6FAD25C7"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608F3EC6" w14:textId="77777777" w:rsidR="00807992" w:rsidRPr="004845DB" w:rsidRDefault="00807992" w:rsidP="00D92287">
            <w:pPr>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726818F4"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1E923F7B"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6B9A0874"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77FBB99F" w14:textId="77777777" w:rsidTr="004845DB">
        <w:trPr>
          <w:trHeight w:val="198"/>
          <w:jc w:val="center"/>
        </w:trPr>
        <w:tc>
          <w:tcPr>
            <w:tcW w:w="2976" w:type="dxa"/>
            <w:tcBorders>
              <w:top w:val="single" w:sz="2" w:space="0" w:color="auto"/>
              <w:bottom w:val="single" w:sz="2" w:space="0" w:color="auto"/>
            </w:tcBorders>
            <w:vAlign w:val="center"/>
          </w:tcPr>
          <w:p w14:paraId="22431268"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Medio Ambiente</w:t>
            </w:r>
          </w:p>
        </w:tc>
        <w:tc>
          <w:tcPr>
            <w:tcW w:w="1249" w:type="dxa"/>
            <w:tcBorders>
              <w:top w:val="single" w:sz="2" w:space="0" w:color="auto"/>
              <w:bottom w:val="single" w:sz="2" w:space="0" w:color="auto"/>
            </w:tcBorders>
            <w:vAlign w:val="center"/>
          </w:tcPr>
          <w:p w14:paraId="0225E611"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02F7DC31"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79C6F840" w14:textId="77777777" w:rsidR="00807992" w:rsidRPr="004845DB" w:rsidRDefault="00807992" w:rsidP="00D92287">
            <w:pPr>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612EA5C8"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559AC9A3"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976" w:type="dxa"/>
            <w:tcBorders>
              <w:top w:val="single" w:sz="2" w:space="0" w:color="auto"/>
              <w:left w:val="nil"/>
              <w:bottom w:val="single" w:sz="2" w:space="0" w:color="auto"/>
            </w:tcBorders>
            <w:vAlign w:val="center"/>
          </w:tcPr>
          <w:p w14:paraId="2E366635"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4EF4B87A" w14:textId="77777777" w:rsidTr="004845DB">
        <w:trPr>
          <w:trHeight w:val="198"/>
          <w:jc w:val="center"/>
        </w:trPr>
        <w:tc>
          <w:tcPr>
            <w:tcW w:w="2976" w:type="dxa"/>
            <w:tcBorders>
              <w:top w:val="single" w:sz="2" w:space="0" w:color="auto"/>
              <w:bottom w:val="single" w:sz="2" w:space="0" w:color="auto"/>
            </w:tcBorders>
            <w:vAlign w:val="center"/>
          </w:tcPr>
          <w:p w14:paraId="0F0CF5B6"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Promoción de la cultura y equipamientos culturales</w:t>
            </w:r>
          </w:p>
        </w:tc>
        <w:tc>
          <w:tcPr>
            <w:tcW w:w="1249" w:type="dxa"/>
            <w:tcBorders>
              <w:top w:val="single" w:sz="2" w:space="0" w:color="auto"/>
              <w:bottom w:val="single" w:sz="2" w:space="0" w:color="auto"/>
            </w:tcBorders>
            <w:vAlign w:val="center"/>
          </w:tcPr>
          <w:p w14:paraId="7F3AFEC9"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154D63A7"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54F4B03E"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4A1A2BAA"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6909FD3C"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976" w:type="dxa"/>
            <w:tcBorders>
              <w:top w:val="single" w:sz="2" w:space="0" w:color="auto"/>
              <w:left w:val="nil"/>
              <w:bottom w:val="single" w:sz="2" w:space="0" w:color="auto"/>
            </w:tcBorders>
            <w:vAlign w:val="center"/>
          </w:tcPr>
          <w:p w14:paraId="3F44D6E4"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6151B368" w14:textId="77777777" w:rsidTr="004845DB">
        <w:trPr>
          <w:trHeight w:val="198"/>
          <w:jc w:val="center"/>
        </w:trPr>
        <w:tc>
          <w:tcPr>
            <w:tcW w:w="2976" w:type="dxa"/>
            <w:tcBorders>
              <w:top w:val="single" w:sz="2" w:space="0" w:color="auto"/>
              <w:bottom w:val="single" w:sz="2" w:space="0" w:color="auto"/>
            </w:tcBorders>
            <w:vAlign w:val="center"/>
          </w:tcPr>
          <w:p w14:paraId="1D55FD62" w14:textId="77777777" w:rsidR="0046298C"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 xml:space="preserve">Mantenimiento centros públicos </w:t>
            </w:r>
          </w:p>
          <w:p w14:paraId="06E66302"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 xml:space="preserve">educación </w:t>
            </w:r>
          </w:p>
        </w:tc>
        <w:tc>
          <w:tcPr>
            <w:tcW w:w="1249" w:type="dxa"/>
            <w:tcBorders>
              <w:top w:val="single" w:sz="2" w:space="0" w:color="auto"/>
              <w:bottom w:val="single" w:sz="2" w:space="0" w:color="auto"/>
            </w:tcBorders>
            <w:vAlign w:val="center"/>
          </w:tcPr>
          <w:p w14:paraId="4F71055D"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3DE79F1F"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79D03609"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43B5E5F0"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34430CF8"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0B554556" w14:textId="77777777" w:rsidR="00807992" w:rsidRPr="004845DB" w:rsidRDefault="00807992" w:rsidP="00D92287">
            <w:pPr>
              <w:tabs>
                <w:tab w:val="left" w:pos="142"/>
              </w:tabs>
              <w:spacing w:after="0"/>
              <w:ind w:firstLine="0"/>
              <w:jc w:val="center"/>
              <w:rPr>
                <w:rFonts w:ascii="Arial Narrow" w:hAnsi="Arial Narrow"/>
              </w:rPr>
            </w:pPr>
          </w:p>
        </w:tc>
      </w:tr>
      <w:tr w:rsidR="00962B2B" w:rsidRPr="00DF6702" w14:paraId="777C879A" w14:textId="77777777" w:rsidTr="004845DB">
        <w:trPr>
          <w:trHeight w:val="198"/>
          <w:jc w:val="center"/>
        </w:trPr>
        <w:tc>
          <w:tcPr>
            <w:tcW w:w="2976" w:type="dxa"/>
            <w:tcBorders>
              <w:top w:val="single" w:sz="2" w:space="0" w:color="auto"/>
              <w:bottom w:val="single" w:sz="2" w:space="0" w:color="auto"/>
            </w:tcBorders>
            <w:vAlign w:val="center"/>
          </w:tcPr>
          <w:p w14:paraId="165C7B58" w14:textId="77777777" w:rsidR="00962B2B" w:rsidRPr="00D92287" w:rsidRDefault="00962B2B" w:rsidP="00D92287">
            <w:pPr>
              <w:tabs>
                <w:tab w:val="left" w:pos="142"/>
                <w:tab w:val="left" w:pos="360"/>
              </w:tabs>
              <w:spacing w:after="0"/>
              <w:ind w:firstLine="0"/>
              <w:jc w:val="left"/>
              <w:rPr>
                <w:rFonts w:ascii="Arial Narrow" w:hAnsi="Arial Narrow"/>
                <w:lang w:val="es-ES"/>
              </w:rPr>
            </w:pPr>
            <w:r>
              <w:rPr>
                <w:rFonts w:ascii="Arial Narrow" w:hAnsi="Arial Narrow"/>
                <w:lang w:val="es-ES"/>
              </w:rPr>
              <w:t>Mercado</w:t>
            </w:r>
          </w:p>
        </w:tc>
        <w:tc>
          <w:tcPr>
            <w:tcW w:w="1249" w:type="dxa"/>
            <w:tcBorders>
              <w:top w:val="single" w:sz="2" w:space="0" w:color="auto"/>
              <w:bottom w:val="single" w:sz="2" w:space="0" w:color="auto"/>
            </w:tcBorders>
            <w:vAlign w:val="center"/>
          </w:tcPr>
          <w:p w14:paraId="74F49B48" w14:textId="77777777" w:rsidR="00962B2B" w:rsidRPr="004845DB" w:rsidRDefault="00962B2B" w:rsidP="00D92287">
            <w:pPr>
              <w:tabs>
                <w:tab w:val="left" w:pos="142"/>
              </w:tabs>
              <w:spacing w:after="0"/>
              <w:ind w:firstLine="0"/>
              <w:jc w:val="center"/>
              <w:rPr>
                <w:rFonts w:ascii="Arial Narrow" w:hAnsi="Arial Narrow"/>
              </w:rPr>
            </w:pPr>
          </w:p>
        </w:tc>
        <w:tc>
          <w:tcPr>
            <w:tcW w:w="883" w:type="dxa"/>
            <w:tcBorders>
              <w:top w:val="single" w:sz="2" w:space="0" w:color="auto"/>
              <w:bottom w:val="single" w:sz="2" w:space="0" w:color="auto"/>
            </w:tcBorders>
            <w:vAlign w:val="center"/>
          </w:tcPr>
          <w:p w14:paraId="66F621D3" w14:textId="77777777" w:rsidR="00962B2B" w:rsidRPr="004845DB" w:rsidRDefault="00962B2B"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0B7C817C" w14:textId="77777777" w:rsidR="00962B2B" w:rsidRPr="004845DB" w:rsidRDefault="00962B2B" w:rsidP="00D92287">
            <w:pPr>
              <w:tabs>
                <w:tab w:val="left" w:pos="142"/>
              </w:tabs>
              <w:spacing w:after="0"/>
              <w:ind w:firstLine="0"/>
              <w:jc w:val="center"/>
              <w:rPr>
                <w:rFonts w:ascii="Arial Narrow" w:hAnsi="Arial Narrow"/>
              </w:rPr>
            </w:pPr>
            <w:r w:rsidRPr="004845DB">
              <w:rPr>
                <w:rFonts w:ascii="Arial Narrow" w:hAnsi="Arial Narrow"/>
              </w:rPr>
              <w:t>x</w:t>
            </w:r>
          </w:p>
        </w:tc>
        <w:tc>
          <w:tcPr>
            <w:tcW w:w="901" w:type="dxa"/>
            <w:tcBorders>
              <w:top w:val="single" w:sz="2" w:space="0" w:color="auto"/>
              <w:bottom w:val="single" w:sz="2" w:space="0" w:color="auto"/>
            </w:tcBorders>
            <w:vAlign w:val="center"/>
          </w:tcPr>
          <w:p w14:paraId="42801FC1" w14:textId="77777777" w:rsidR="00962B2B" w:rsidRPr="004845DB" w:rsidRDefault="00962B2B"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484F014F" w14:textId="77777777" w:rsidR="00962B2B" w:rsidRPr="004845DB" w:rsidRDefault="00962B2B"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19F21782" w14:textId="77777777" w:rsidR="00962B2B" w:rsidRPr="004845DB" w:rsidRDefault="00962B2B" w:rsidP="00D92287">
            <w:pPr>
              <w:tabs>
                <w:tab w:val="left" w:pos="142"/>
              </w:tabs>
              <w:spacing w:after="0"/>
              <w:ind w:firstLine="0"/>
              <w:jc w:val="center"/>
              <w:rPr>
                <w:rFonts w:ascii="Arial Narrow" w:hAnsi="Arial Narrow"/>
              </w:rPr>
            </w:pPr>
          </w:p>
        </w:tc>
      </w:tr>
      <w:tr w:rsidR="00807992" w:rsidRPr="00DF6702" w14:paraId="6787DF80" w14:textId="77777777" w:rsidTr="004845DB">
        <w:trPr>
          <w:trHeight w:val="198"/>
          <w:jc w:val="center"/>
        </w:trPr>
        <w:tc>
          <w:tcPr>
            <w:tcW w:w="2976" w:type="dxa"/>
            <w:tcBorders>
              <w:top w:val="single" w:sz="2" w:space="0" w:color="auto"/>
              <w:bottom w:val="single" w:sz="2" w:space="0" w:color="auto"/>
            </w:tcBorders>
            <w:vAlign w:val="center"/>
          </w:tcPr>
          <w:p w14:paraId="7F6B13AE"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Promoción de la igualdad</w:t>
            </w:r>
          </w:p>
        </w:tc>
        <w:tc>
          <w:tcPr>
            <w:tcW w:w="1249" w:type="dxa"/>
            <w:tcBorders>
              <w:top w:val="single" w:sz="2" w:space="0" w:color="auto"/>
              <w:bottom w:val="single" w:sz="2" w:space="0" w:color="auto"/>
            </w:tcBorders>
            <w:vAlign w:val="center"/>
          </w:tcPr>
          <w:p w14:paraId="49DEFA6A"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0A398642"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5BE04BF8"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46CF5990"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1BABB571"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255C7882"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7AC7BAB5" w14:textId="77777777" w:rsidTr="004845DB">
        <w:trPr>
          <w:trHeight w:val="198"/>
          <w:jc w:val="center"/>
        </w:trPr>
        <w:tc>
          <w:tcPr>
            <w:tcW w:w="2976" w:type="dxa"/>
            <w:tcBorders>
              <w:top w:val="single" w:sz="2" w:space="0" w:color="auto"/>
              <w:bottom w:val="single" w:sz="2" w:space="0" w:color="auto"/>
            </w:tcBorders>
            <w:vAlign w:val="center"/>
          </w:tcPr>
          <w:p w14:paraId="62962E41"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Promoción actividad turística</w:t>
            </w:r>
          </w:p>
        </w:tc>
        <w:tc>
          <w:tcPr>
            <w:tcW w:w="1249" w:type="dxa"/>
            <w:tcBorders>
              <w:top w:val="single" w:sz="2" w:space="0" w:color="auto"/>
              <w:bottom w:val="single" w:sz="2" w:space="0" w:color="auto"/>
            </w:tcBorders>
            <w:vAlign w:val="center"/>
          </w:tcPr>
          <w:p w14:paraId="36795E03"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2" w:space="0" w:color="auto"/>
            </w:tcBorders>
            <w:vAlign w:val="center"/>
          </w:tcPr>
          <w:p w14:paraId="6918703B"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2" w:space="0" w:color="auto"/>
            </w:tcBorders>
            <w:vAlign w:val="center"/>
          </w:tcPr>
          <w:p w14:paraId="69966AC9"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2" w:space="0" w:color="auto"/>
              <w:bottom w:val="single" w:sz="2" w:space="0" w:color="auto"/>
            </w:tcBorders>
            <w:vAlign w:val="center"/>
          </w:tcPr>
          <w:p w14:paraId="4A8B9BAD"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2" w:space="0" w:color="auto"/>
            </w:tcBorders>
            <w:vAlign w:val="center"/>
          </w:tcPr>
          <w:p w14:paraId="68E022F2"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2" w:space="0" w:color="auto"/>
            </w:tcBorders>
            <w:vAlign w:val="center"/>
          </w:tcPr>
          <w:p w14:paraId="79A99BB7"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7156E41C" w14:textId="77777777" w:rsidTr="004845DB">
        <w:trPr>
          <w:trHeight w:val="198"/>
          <w:jc w:val="center"/>
        </w:trPr>
        <w:tc>
          <w:tcPr>
            <w:tcW w:w="2976" w:type="dxa"/>
            <w:tcBorders>
              <w:top w:val="single" w:sz="2" w:space="0" w:color="auto"/>
              <w:bottom w:val="single" w:sz="4" w:space="0" w:color="auto"/>
            </w:tcBorders>
            <w:vAlign w:val="center"/>
          </w:tcPr>
          <w:p w14:paraId="5B529C13"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Comercio ambulante</w:t>
            </w:r>
          </w:p>
        </w:tc>
        <w:tc>
          <w:tcPr>
            <w:tcW w:w="1249" w:type="dxa"/>
            <w:tcBorders>
              <w:top w:val="single" w:sz="2" w:space="0" w:color="auto"/>
              <w:bottom w:val="single" w:sz="4" w:space="0" w:color="auto"/>
            </w:tcBorders>
            <w:vAlign w:val="center"/>
          </w:tcPr>
          <w:p w14:paraId="0B3A7B84"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883" w:type="dxa"/>
            <w:tcBorders>
              <w:top w:val="single" w:sz="2" w:space="0" w:color="auto"/>
              <w:bottom w:val="single" w:sz="4" w:space="0" w:color="auto"/>
            </w:tcBorders>
            <w:vAlign w:val="center"/>
          </w:tcPr>
          <w:p w14:paraId="5DA13F08" w14:textId="77777777" w:rsidR="00807992" w:rsidRPr="004845DB" w:rsidRDefault="00807992" w:rsidP="00D92287">
            <w:pPr>
              <w:tabs>
                <w:tab w:val="left" w:pos="142"/>
              </w:tabs>
              <w:spacing w:after="0"/>
              <w:ind w:firstLine="0"/>
              <w:jc w:val="center"/>
              <w:rPr>
                <w:rFonts w:ascii="Arial Narrow" w:hAnsi="Arial Narrow"/>
              </w:rPr>
            </w:pPr>
          </w:p>
        </w:tc>
        <w:tc>
          <w:tcPr>
            <w:tcW w:w="952" w:type="dxa"/>
            <w:tcBorders>
              <w:top w:val="single" w:sz="2" w:space="0" w:color="auto"/>
              <w:bottom w:val="single" w:sz="4" w:space="0" w:color="auto"/>
            </w:tcBorders>
            <w:vAlign w:val="center"/>
          </w:tcPr>
          <w:p w14:paraId="0DFC0C12"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2" w:space="0" w:color="auto"/>
              <w:bottom w:val="single" w:sz="4" w:space="0" w:color="auto"/>
            </w:tcBorders>
            <w:vAlign w:val="center"/>
          </w:tcPr>
          <w:p w14:paraId="1967D32D"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2" w:space="0" w:color="auto"/>
              <w:bottom w:val="single" w:sz="4" w:space="0" w:color="auto"/>
            </w:tcBorders>
            <w:vAlign w:val="center"/>
          </w:tcPr>
          <w:p w14:paraId="3F1D2782"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2" w:space="0" w:color="auto"/>
              <w:left w:val="nil"/>
              <w:bottom w:val="single" w:sz="4" w:space="0" w:color="auto"/>
            </w:tcBorders>
            <w:vAlign w:val="center"/>
          </w:tcPr>
          <w:p w14:paraId="5C818EFA" w14:textId="77777777" w:rsidR="00807992" w:rsidRPr="004845DB" w:rsidRDefault="00807992" w:rsidP="00D92287">
            <w:pPr>
              <w:tabs>
                <w:tab w:val="left" w:pos="142"/>
              </w:tabs>
              <w:spacing w:after="0"/>
              <w:ind w:firstLine="0"/>
              <w:jc w:val="center"/>
              <w:rPr>
                <w:rFonts w:ascii="Arial Narrow" w:hAnsi="Arial Narrow"/>
              </w:rPr>
            </w:pPr>
          </w:p>
        </w:tc>
      </w:tr>
      <w:tr w:rsidR="00807992" w:rsidRPr="00DF6702" w14:paraId="73BAE795" w14:textId="77777777" w:rsidTr="004845DB">
        <w:trPr>
          <w:trHeight w:val="198"/>
          <w:jc w:val="center"/>
        </w:trPr>
        <w:tc>
          <w:tcPr>
            <w:tcW w:w="2976" w:type="dxa"/>
            <w:tcBorders>
              <w:top w:val="single" w:sz="4" w:space="0" w:color="auto"/>
              <w:bottom w:val="single" w:sz="4" w:space="0" w:color="auto"/>
            </w:tcBorders>
            <w:vAlign w:val="center"/>
          </w:tcPr>
          <w:p w14:paraId="2D79F777" w14:textId="77777777" w:rsidR="00807992" w:rsidRPr="00D92287" w:rsidRDefault="00807992" w:rsidP="00D92287">
            <w:pPr>
              <w:tabs>
                <w:tab w:val="left" w:pos="142"/>
                <w:tab w:val="left" w:pos="360"/>
              </w:tabs>
              <w:spacing w:after="0"/>
              <w:ind w:firstLine="0"/>
              <w:jc w:val="left"/>
              <w:rPr>
                <w:rFonts w:ascii="Arial Narrow" w:hAnsi="Arial Narrow"/>
                <w:lang w:val="es-ES"/>
              </w:rPr>
            </w:pPr>
            <w:r w:rsidRPr="00D92287">
              <w:rPr>
                <w:rFonts w:ascii="Arial Narrow" w:hAnsi="Arial Narrow"/>
                <w:lang w:val="es-ES"/>
              </w:rPr>
              <w:t>Centros 0-3 ejercicios</w:t>
            </w:r>
          </w:p>
        </w:tc>
        <w:tc>
          <w:tcPr>
            <w:tcW w:w="1249" w:type="dxa"/>
            <w:tcBorders>
              <w:top w:val="single" w:sz="4" w:space="0" w:color="auto"/>
              <w:bottom w:val="single" w:sz="4" w:space="0" w:color="auto"/>
            </w:tcBorders>
            <w:vAlign w:val="center"/>
          </w:tcPr>
          <w:p w14:paraId="3B175C49" w14:textId="77777777" w:rsidR="00807992" w:rsidRPr="004845DB" w:rsidRDefault="00807992" w:rsidP="00D92287">
            <w:pPr>
              <w:tabs>
                <w:tab w:val="left" w:pos="142"/>
              </w:tabs>
              <w:spacing w:after="0"/>
              <w:ind w:firstLine="0"/>
              <w:jc w:val="center"/>
              <w:rPr>
                <w:rFonts w:ascii="Arial Narrow" w:hAnsi="Arial Narrow"/>
              </w:rPr>
            </w:pPr>
          </w:p>
        </w:tc>
        <w:tc>
          <w:tcPr>
            <w:tcW w:w="883" w:type="dxa"/>
            <w:tcBorders>
              <w:top w:val="single" w:sz="4" w:space="0" w:color="auto"/>
              <w:bottom w:val="single" w:sz="4" w:space="0" w:color="auto"/>
            </w:tcBorders>
            <w:vAlign w:val="center"/>
          </w:tcPr>
          <w:p w14:paraId="0A3C1E03" w14:textId="77777777" w:rsidR="00807992" w:rsidRPr="004845DB" w:rsidRDefault="00807992" w:rsidP="00D92287">
            <w:pPr>
              <w:tabs>
                <w:tab w:val="left" w:pos="142"/>
              </w:tabs>
              <w:spacing w:after="0"/>
              <w:ind w:firstLine="0"/>
              <w:jc w:val="center"/>
              <w:rPr>
                <w:rFonts w:ascii="Arial Narrow" w:hAnsi="Arial Narrow"/>
              </w:rPr>
            </w:pPr>
            <w:r w:rsidRPr="004845DB">
              <w:rPr>
                <w:rFonts w:ascii="Arial Narrow" w:hAnsi="Arial Narrow"/>
              </w:rPr>
              <w:t>x</w:t>
            </w:r>
          </w:p>
        </w:tc>
        <w:tc>
          <w:tcPr>
            <w:tcW w:w="952" w:type="dxa"/>
            <w:tcBorders>
              <w:top w:val="single" w:sz="4" w:space="0" w:color="auto"/>
              <w:bottom w:val="single" w:sz="4" w:space="0" w:color="auto"/>
            </w:tcBorders>
            <w:vAlign w:val="center"/>
          </w:tcPr>
          <w:p w14:paraId="3F580320" w14:textId="77777777" w:rsidR="00807992" w:rsidRPr="004845DB" w:rsidRDefault="00807992" w:rsidP="00D92287">
            <w:pPr>
              <w:tabs>
                <w:tab w:val="left" w:pos="142"/>
              </w:tabs>
              <w:spacing w:after="0"/>
              <w:ind w:firstLine="0"/>
              <w:jc w:val="center"/>
              <w:rPr>
                <w:rFonts w:ascii="Arial Narrow" w:hAnsi="Arial Narrow"/>
              </w:rPr>
            </w:pPr>
          </w:p>
        </w:tc>
        <w:tc>
          <w:tcPr>
            <w:tcW w:w="901" w:type="dxa"/>
            <w:tcBorders>
              <w:top w:val="single" w:sz="4" w:space="0" w:color="auto"/>
              <w:bottom w:val="single" w:sz="4" w:space="0" w:color="auto"/>
            </w:tcBorders>
            <w:vAlign w:val="center"/>
          </w:tcPr>
          <w:p w14:paraId="2E7CB8A5" w14:textId="77777777" w:rsidR="00807992" w:rsidRPr="004845DB" w:rsidRDefault="00807992" w:rsidP="00D92287">
            <w:pPr>
              <w:tabs>
                <w:tab w:val="left" w:pos="142"/>
              </w:tabs>
              <w:spacing w:after="0"/>
              <w:ind w:firstLine="0"/>
              <w:jc w:val="center"/>
              <w:rPr>
                <w:rFonts w:ascii="Arial Narrow" w:hAnsi="Arial Narrow"/>
              </w:rPr>
            </w:pPr>
          </w:p>
        </w:tc>
        <w:tc>
          <w:tcPr>
            <w:tcW w:w="993" w:type="dxa"/>
            <w:tcBorders>
              <w:top w:val="single" w:sz="4" w:space="0" w:color="auto"/>
              <w:bottom w:val="single" w:sz="4" w:space="0" w:color="auto"/>
            </w:tcBorders>
            <w:vAlign w:val="center"/>
          </w:tcPr>
          <w:p w14:paraId="01C45981" w14:textId="77777777" w:rsidR="00807992" w:rsidRPr="004845DB" w:rsidRDefault="00807992" w:rsidP="00D92287">
            <w:pPr>
              <w:tabs>
                <w:tab w:val="left" w:pos="142"/>
              </w:tabs>
              <w:spacing w:after="0"/>
              <w:ind w:firstLine="0"/>
              <w:jc w:val="center"/>
              <w:rPr>
                <w:rFonts w:ascii="Arial Narrow" w:hAnsi="Arial Narrow"/>
              </w:rPr>
            </w:pPr>
          </w:p>
        </w:tc>
        <w:tc>
          <w:tcPr>
            <w:tcW w:w="976" w:type="dxa"/>
            <w:tcBorders>
              <w:top w:val="single" w:sz="4" w:space="0" w:color="auto"/>
              <w:left w:val="nil"/>
              <w:bottom w:val="single" w:sz="4" w:space="0" w:color="auto"/>
            </w:tcBorders>
            <w:vAlign w:val="center"/>
          </w:tcPr>
          <w:p w14:paraId="64AA48E2" w14:textId="77777777" w:rsidR="00807992" w:rsidRPr="004845DB" w:rsidRDefault="00807992" w:rsidP="00D92287">
            <w:pPr>
              <w:tabs>
                <w:tab w:val="left" w:pos="142"/>
              </w:tabs>
              <w:spacing w:after="0"/>
              <w:ind w:firstLine="0"/>
              <w:jc w:val="center"/>
              <w:rPr>
                <w:rFonts w:ascii="Arial Narrow" w:hAnsi="Arial Narrow"/>
              </w:rPr>
            </w:pPr>
          </w:p>
        </w:tc>
      </w:tr>
    </w:tbl>
    <w:p w14:paraId="64533C08" w14:textId="77777777" w:rsidR="00807992" w:rsidRDefault="00807992" w:rsidP="00807992">
      <w:pPr>
        <w:tabs>
          <w:tab w:val="center" w:pos="2835"/>
          <w:tab w:val="center" w:pos="3969"/>
          <w:tab w:val="center" w:pos="5103"/>
          <w:tab w:val="center" w:pos="6237"/>
          <w:tab w:val="center" w:pos="7371"/>
        </w:tabs>
        <w:ind w:firstLine="284"/>
        <w:rPr>
          <w:spacing w:val="6"/>
          <w:sz w:val="26"/>
          <w:szCs w:val="24"/>
          <w:lang w:val="es-ES"/>
        </w:rPr>
      </w:pPr>
    </w:p>
    <w:p w14:paraId="6832F750" w14:textId="77777777" w:rsidR="00807992" w:rsidRDefault="00807992" w:rsidP="00807992">
      <w:pPr>
        <w:spacing w:after="0"/>
        <w:ind w:firstLine="0"/>
        <w:jc w:val="left"/>
        <w:rPr>
          <w:spacing w:val="6"/>
          <w:sz w:val="26"/>
          <w:szCs w:val="24"/>
          <w:lang w:val="es-ES"/>
        </w:rPr>
      </w:pPr>
      <w:r>
        <w:rPr>
          <w:lang w:val="es-ES"/>
        </w:rPr>
        <w:br w:type="page"/>
      </w:r>
    </w:p>
    <w:p w14:paraId="0646B44C" w14:textId="77777777" w:rsidR="00807992" w:rsidRPr="00D92287" w:rsidRDefault="00807992" w:rsidP="00D92287">
      <w:pPr>
        <w:pStyle w:val="atitulo1"/>
      </w:pPr>
      <w:bookmarkStart w:id="81" w:name="_Toc118266022"/>
      <w:bookmarkStart w:id="82" w:name="_Toc129243484"/>
      <w:r w:rsidRPr="00D92287">
        <w:lastRenderedPageBreak/>
        <w:t>Apéndice 3. Marco regulador</w:t>
      </w:r>
      <w:bookmarkEnd w:id="81"/>
      <w:bookmarkEnd w:id="82"/>
    </w:p>
    <w:p w14:paraId="617F813A" w14:textId="77777777" w:rsidR="00807992" w:rsidRDefault="00807992" w:rsidP="00807992">
      <w:pPr>
        <w:tabs>
          <w:tab w:val="center" w:pos="2835"/>
          <w:tab w:val="center" w:pos="3969"/>
          <w:tab w:val="center" w:pos="5103"/>
          <w:tab w:val="center" w:pos="6237"/>
          <w:tab w:val="center" w:pos="7371"/>
        </w:tabs>
        <w:spacing w:before="240"/>
        <w:ind w:firstLine="284"/>
        <w:rPr>
          <w:spacing w:val="4"/>
          <w:sz w:val="26"/>
          <w:szCs w:val="24"/>
        </w:rPr>
      </w:pPr>
      <w:r w:rsidRPr="00667DFF">
        <w:rPr>
          <w:spacing w:val="6"/>
          <w:sz w:val="26"/>
          <w:szCs w:val="24"/>
        </w:rPr>
        <w:t xml:space="preserve">El marco normativo que resulta aplicable al ayuntamiento y OOAA en </w:t>
      </w:r>
      <w:r>
        <w:rPr>
          <w:spacing w:val="6"/>
          <w:sz w:val="26"/>
          <w:szCs w:val="24"/>
        </w:rPr>
        <w:t>2021</w:t>
      </w:r>
      <w:r w:rsidRPr="00667DFF">
        <w:rPr>
          <w:spacing w:val="6"/>
          <w:sz w:val="26"/>
          <w:szCs w:val="24"/>
        </w:rPr>
        <w:t xml:space="preserve"> está </w:t>
      </w:r>
      <w:r w:rsidRPr="00667DFF">
        <w:rPr>
          <w:spacing w:val="4"/>
          <w:sz w:val="26"/>
          <w:szCs w:val="24"/>
        </w:rPr>
        <w:t>constituido fundamentalmente por</w:t>
      </w:r>
      <w:r>
        <w:rPr>
          <w:spacing w:val="4"/>
          <w:sz w:val="26"/>
          <w:szCs w:val="24"/>
        </w:rPr>
        <w:t>:</w:t>
      </w:r>
    </w:p>
    <w:p w14:paraId="738D820E"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 xml:space="preserve">Ley 7/1985, de 2 de abril, reguladora de las Bases de Régimen Local. </w:t>
      </w:r>
    </w:p>
    <w:p w14:paraId="16C35A2F"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 xml:space="preserve">Ley 38/2003, de 17 de noviembre, General de Subvenciones. </w:t>
      </w:r>
    </w:p>
    <w:p w14:paraId="5F6783BB"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Ley 3/2004, de 29 de diciembre, por la que se establecen medidas de lucha contra la morosidad en las operaciones comerciales.</w:t>
      </w:r>
    </w:p>
    <w:p w14:paraId="213581CA" w14:textId="77777777" w:rsidR="00807992"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 xml:space="preserve">Ley Orgánica 2/2012, de 27 de abril, de Estabilidad Presupuestaria y Sostenibilidad Financiera y su normativa de desarrollo. </w:t>
      </w:r>
    </w:p>
    <w:p w14:paraId="1CC0E898" w14:textId="77777777" w:rsidR="006C3898" w:rsidRDefault="006C3898" w:rsidP="00807992">
      <w:pPr>
        <w:numPr>
          <w:ilvl w:val="0"/>
          <w:numId w:val="10"/>
        </w:numPr>
        <w:tabs>
          <w:tab w:val="num" w:pos="284"/>
          <w:tab w:val="num" w:pos="600"/>
          <w:tab w:val="num" w:pos="720"/>
          <w:tab w:val="num" w:pos="1320"/>
        </w:tabs>
        <w:spacing w:after="120"/>
        <w:rPr>
          <w:rFonts w:cs="Arial"/>
          <w:spacing w:val="6"/>
          <w:sz w:val="26"/>
          <w:szCs w:val="24"/>
        </w:rPr>
      </w:pPr>
      <w:r>
        <w:rPr>
          <w:rFonts w:cs="Arial"/>
          <w:spacing w:val="6"/>
          <w:sz w:val="26"/>
          <w:szCs w:val="24"/>
        </w:rPr>
        <w:t>Ley 39/2015, de 1 de octubre, del Procedimiento Administrativo Común de las Administraciones Públicas.</w:t>
      </w:r>
    </w:p>
    <w:p w14:paraId="2FA7CA43" w14:textId="77777777" w:rsidR="006C3898" w:rsidRPr="00B76DAA" w:rsidRDefault="006C3898" w:rsidP="00807992">
      <w:pPr>
        <w:numPr>
          <w:ilvl w:val="0"/>
          <w:numId w:val="10"/>
        </w:numPr>
        <w:tabs>
          <w:tab w:val="num" w:pos="284"/>
          <w:tab w:val="num" w:pos="600"/>
          <w:tab w:val="num" w:pos="720"/>
          <w:tab w:val="num" w:pos="1320"/>
        </w:tabs>
        <w:spacing w:after="120"/>
        <w:rPr>
          <w:rFonts w:cs="Arial"/>
          <w:spacing w:val="6"/>
          <w:sz w:val="26"/>
          <w:szCs w:val="24"/>
        </w:rPr>
      </w:pPr>
      <w:r>
        <w:rPr>
          <w:rFonts w:cs="Arial"/>
          <w:spacing w:val="6"/>
          <w:sz w:val="26"/>
          <w:szCs w:val="24"/>
        </w:rPr>
        <w:t>Ley 40/2015, de 1 de octubre, de Régimen Jurídico del Sector Público.</w:t>
      </w:r>
    </w:p>
    <w:p w14:paraId="53074B46"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Real Decreto Legislativo 2/2015, de 23 de octubre, por el que se aprueba el texto refundido de la Ley del Estatuto de los Trabajadores.</w:t>
      </w:r>
    </w:p>
    <w:p w14:paraId="59DF9B96" w14:textId="77777777" w:rsidR="00807992"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Disposiciones aplicables de la Ley 11/2020, de 30 de diciembre, de Presupuestos Generales del Estado para el año 2021, en materia de gastos del personal al servicio del sector público.</w:t>
      </w:r>
    </w:p>
    <w:p w14:paraId="7260BD8E" w14:textId="77777777" w:rsidR="006C3898" w:rsidRPr="00B76DAA" w:rsidRDefault="006C3898" w:rsidP="00807992">
      <w:pPr>
        <w:numPr>
          <w:ilvl w:val="0"/>
          <w:numId w:val="10"/>
        </w:numPr>
        <w:tabs>
          <w:tab w:val="num" w:pos="284"/>
          <w:tab w:val="num" w:pos="600"/>
          <w:tab w:val="num" w:pos="720"/>
          <w:tab w:val="num" w:pos="1320"/>
        </w:tabs>
        <w:spacing w:after="120"/>
        <w:rPr>
          <w:rFonts w:cs="Arial"/>
          <w:spacing w:val="6"/>
          <w:sz w:val="26"/>
          <w:szCs w:val="24"/>
        </w:rPr>
      </w:pPr>
      <w:r>
        <w:rPr>
          <w:rFonts w:cs="Arial"/>
          <w:spacing w:val="6"/>
          <w:sz w:val="26"/>
          <w:szCs w:val="24"/>
        </w:rPr>
        <w:t>Real Decreto-ley 36/2020, de 30 de diciembre, por el que se aprueban medidas urgentes para la modernización de la Administración Pública y para la ejecución del Plan de Recuperación, Transformación y Resiliencia.</w:t>
      </w:r>
    </w:p>
    <w:p w14:paraId="0454D84A"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Orden HFP/1030/2021, de 29 de septiembre, por la que se configura el sistema de gestión del Plan de Recuperación, Transformación y Resiliencia.</w:t>
      </w:r>
    </w:p>
    <w:p w14:paraId="45FA5158"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 xml:space="preserve">Ley Foral 6/1990, de 2 de julio, de la Administración Local de Navarra. </w:t>
      </w:r>
    </w:p>
    <w:p w14:paraId="2F0F7B3B"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 xml:space="preserve">Decreto Foral Legislativo 251/1993, de 30 de agosto, por el que se aprueba el Texto refundido del Estatuto de Personal al servicio de las Administraciones Públicas de Navarra. </w:t>
      </w:r>
    </w:p>
    <w:p w14:paraId="7FF74D3D"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 xml:space="preserve">Ley Foral 2/1995, de 10 de marzo, de Haciendas Locales de Navarra. </w:t>
      </w:r>
    </w:p>
    <w:p w14:paraId="4D5B0FF3"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Decreto Foral Legislativo 1/2017, de 26 de julio, por el que se aprueba el Texto Refundido de la Ley Foral de Ordenación del Territorio y Urbanismo</w:t>
      </w:r>
    </w:p>
    <w:p w14:paraId="397FC19B"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Ley Foral 2/2018, de 13 de abril, de Contratos Públicos.</w:t>
      </w:r>
    </w:p>
    <w:p w14:paraId="75333976"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 xml:space="preserve">Ley Foral 23/2018, de 19 de noviembre, de las Policías de Navarra. </w:t>
      </w:r>
    </w:p>
    <w:p w14:paraId="4930621F"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Ley Foral 6/2020 y Ley Foral 7/2020, de 6 de abril, por la que se aprueban medidas urgentes para responder al impacto generado por la Covid-19.</w:t>
      </w:r>
    </w:p>
    <w:p w14:paraId="60311BA6"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 xml:space="preserve">En materia contable-presupuestaria, el régimen jurídico viene establecido en los Decretos Forales números, 270 y 272, todos ellos de 21 de septiembre de </w:t>
      </w:r>
      <w:r w:rsidRPr="00B76DAA">
        <w:rPr>
          <w:rFonts w:cs="Arial"/>
          <w:spacing w:val="6"/>
          <w:sz w:val="26"/>
          <w:szCs w:val="24"/>
        </w:rPr>
        <w:lastRenderedPageBreak/>
        <w:t xml:space="preserve">1998, sobre presupuesto y gasto público y contabilidad para la Administración Local de Navarra, así como en el Decreto Foral 234/2015, de 23 de septiembre, por el que se aprueba la estructura presupuestaria de las entidades locales de Navarra. </w:t>
      </w:r>
    </w:p>
    <w:p w14:paraId="56FE87B8" w14:textId="77777777" w:rsidR="00807992" w:rsidRPr="00B76DAA"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B76DAA">
        <w:rPr>
          <w:rFonts w:cs="Arial"/>
          <w:spacing w:val="6"/>
          <w:sz w:val="26"/>
          <w:szCs w:val="24"/>
        </w:rPr>
        <w:t>Bases de ejecución del presupuesto del ayuntamiento de 2021 y demás normativa interna del ayuntamiento.</w:t>
      </w:r>
    </w:p>
    <w:p w14:paraId="7DA98491" w14:textId="77777777" w:rsidR="00D542B5" w:rsidRDefault="00D542B5">
      <w:pPr>
        <w:spacing w:after="0"/>
        <w:ind w:firstLine="0"/>
        <w:jc w:val="left"/>
        <w:rPr>
          <w:sz w:val="26"/>
          <w:szCs w:val="26"/>
          <w:lang w:val="es-ES" w:eastAsia="es-ES"/>
        </w:rPr>
      </w:pPr>
      <w:r>
        <w:rPr>
          <w:sz w:val="26"/>
          <w:szCs w:val="26"/>
          <w:lang w:val="es-ES" w:eastAsia="es-ES"/>
        </w:rPr>
        <w:br w:type="page"/>
      </w:r>
    </w:p>
    <w:p w14:paraId="6B4FB000" w14:textId="77777777" w:rsidR="00807992" w:rsidRPr="00224D7A" w:rsidRDefault="00807992" w:rsidP="00807992">
      <w:pPr>
        <w:pStyle w:val="atitulo1"/>
        <w:rPr>
          <w:color w:val="auto"/>
        </w:rPr>
      </w:pPr>
      <w:bookmarkStart w:id="83" w:name="_Toc118266023"/>
      <w:bookmarkStart w:id="84" w:name="_Toc430935366"/>
      <w:bookmarkStart w:id="85" w:name="_Toc22495440"/>
      <w:bookmarkStart w:id="86" w:name="_Toc55460325"/>
      <w:bookmarkStart w:id="87" w:name="_Toc129243485"/>
      <w:r w:rsidRPr="00224D7A">
        <w:rPr>
          <w:color w:val="auto"/>
        </w:rPr>
        <w:lastRenderedPageBreak/>
        <w:t>Apéndice 4. Información adicional sobre las salvedades</w:t>
      </w:r>
      <w:bookmarkEnd w:id="83"/>
      <w:bookmarkEnd w:id="87"/>
    </w:p>
    <w:p w14:paraId="6B1FDD9E" w14:textId="77777777" w:rsidR="00946618" w:rsidRPr="00224D7A" w:rsidRDefault="00946618" w:rsidP="00190001">
      <w:pPr>
        <w:pStyle w:val="atitulo2"/>
        <w:rPr>
          <w:color w:val="auto"/>
        </w:rPr>
      </w:pPr>
      <w:bookmarkStart w:id="88" w:name="_Toc118266025"/>
      <w:bookmarkStart w:id="89" w:name="_Toc129243486"/>
      <w:r w:rsidRPr="00224D7A">
        <w:rPr>
          <w:color w:val="auto"/>
        </w:rPr>
        <w:t>Personal</w:t>
      </w:r>
      <w:bookmarkEnd w:id="89"/>
    </w:p>
    <w:p w14:paraId="4085ECB6" w14:textId="77777777" w:rsidR="000023DA" w:rsidRPr="00F20E58" w:rsidRDefault="000023DA" w:rsidP="000023DA">
      <w:pPr>
        <w:spacing w:before="240" w:after="120"/>
        <w:ind w:firstLine="284"/>
        <w:rPr>
          <w:spacing w:val="6"/>
          <w:sz w:val="26"/>
          <w:szCs w:val="24"/>
        </w:rPr>
      </w:pPr>
      <w:r>
        <w:rPr>
          <w:spacing w:val="6"/>
          <w:sz w:val="26"/>
          <w:szCs w:val="24"/>
        </w:rPr>
        <w:t xml:space="preserve">La Junta de Gobierno Local aprobó el 21 de mayo de </w:t>
      </w:r>
      <w:r w:rsidR="00946618">
        <w:rPr>
          <w:spacing w:val="6"/>
          <w:sz w:val="26"/>
          <w:szCs w:val="24"/>
        </w:rPr>
        <w:t xml:space="preserve">2019 </w:t>
      </w:r>
      <w:r w:rsidR="007E55E1">
        <w:rPr>
          <w:spacing w:val="6"/>
          <w:sz w:val="26"/>
          <w:szCs w:val="24"/>
        </w:rPr>
        <w:t>el “</w:t>
      </w:r>
      <w:r w:rsidR="007E55E1" w:rsidRPr="007E55E1">
        <w:rPr>
          <w:spacing w:val="6"/>
          <w:sz w:val="26"/>
          <w:szCs w:val="24"/>
        </w:rPr>
        <w:t>Acuerdo para la mejora del empleo público y de las condiciones de trabajo</w:t>
      </w:r>
      <w:r w:rsidR="007E55E1">
        <w:rPr>
          <w:spacing w:val="6"/>
          <w:sz w:val="26"/>
          <w:szCs w:val="24"/>
        </w:rPr>
        <w:t xml:space="preserve"> </w:t>
      </w:r>
      <w:r>
        <w:rPr>
          <w:spacing w:val="6"/>
          <w:sz w:val="26"/>
          <w:szCs w:val="24"/>
        </w:rPr>
        <w:t>entre el Ayuntamiento/OOAA y los sindicatos</w:t>
      </w:r>
      <w:r w:rsidR="007E55E1">
        <w:rPr>
          <w:spacing w:val="6"/>
          <w:sz w:val="26"/>
          <w:szCs w:val="24"/>
        </w:rPr>
        <w:t>”</w:t>
      </w:r>
      <w:r w:rsidR="0005426F">
        <w:rPr>
          <w:spacing w:val="6"/>
          <w:sz w:val="26"/>
          <w:szCs w:val="24"/>
        </w:rPr>
        <w:t xml:space="preserve"> y en el que </w:t>
      </w:r>
      <w:r w:rsidR="005F0990">
        <w:rPr>
          <w:spacing w:val="6"/>
          <w:sz w:val="26"/>
          <w:szCs w:val="24"/>
        </w:rPr>
        <w:t xml:space="preserve">se recogen una serie de incrementos </w:t>
      </w:r>
      <w:r w:rsidR="005F0990" w:rsidRPr="00F20E58">
        <w:rPr>
          <w:spacing w:val="6"/>
          <w:sz w:val="26"/>
          <w:szCs w:val="24"/>
        </w:rPr>
        <w:t xml:space="preserve">retributivos </w:t>
      </w:r>
      <w:r w:rsidR="0005426F" w:rsidRPr="00F20E58">
        <w:rPr>
          <w:spacing w:val="6"/>
          <w:sz w:val="26"/>
          <w:szCs w:val="24"/>
        </w:rPr>
        <w:t>referid</w:t>
      </w:r>
      <w:r w:rsidR="005F0990" w:rsidRPr="00F20E58">
        <w:rPr>
          <w:spacing w:val="6"/>
          <w:sz w:val="26"/>
          <w:szCs w:val="24"/>
        </w:rPr>
        <w:t>o</w:t>
      </w:r>
      <w:r w:rsidR="00224D7A" w:rsidRPr="00F20E58">
        <w:rPr>
          <w:spacing w:val="6"/>
          <w:sz w:val="26"/>
          <w:szCs w:val="24"/>
        </w:rPr>
        <w:t>s al periodo 2019-2021. La aprobación de este acuerdo colectivo se corresponde con la a</w:t>
      </w:r>
      <w:r w:rsidR="00F531F5" w:rsidRPr="00F20E58">
        <w:rPr>
          <w:spacing w:val="6"/>
          <w:sz w:val="26"/>
          <w:szCs w:val="24"/>
        </w:rPr>
        <w:t>plicación de lo previsto en el “</w:t>
      </w:r>
      <w:r w:rsidR="00224D7A" w:rsidRPr="00F20E58">
        <w:rPr>
          <w:spacing w:val="6"/>
          <w:sz w:val="26"/>
          <w:szCs w:val="24"/>
        </w:rPr>
        <w:t>II Acuerdo Gobierno-Sindicatos para la mejora del empleo público y las condiciones de trabajo</w:t>
      </w:r>
      <w:r w:rsidR="00F531F5" w:rsidRPr="00F20E58">
        <w:rPr>
          <w:spacing w:val="6"/>
          <w:sz w:val="26"/>
          <w:szCs w:val="24"/>
        </w:rPr>
        <w:t>” que se aprobó en el Estado en marzo de 2018</w:t>
      </w:r>
      <w:r w:rsidR="00224D7A" w:rsidRPr="00F20E58">
        <w:rPr>
          <w:rStyle w:val="Refdenotaalpie"/>
          <w:spacing w:val="6"/>
          <w:sz w:val="26"/>
          <w:szCs w:val="24"/>
        </w:rPr>
        <w:footnoteReference w:id="2"/>
      </w:r>
      <w:r w:rsidR="00DC0354" w:rsidRPr="00F20E58">
        <w:rPr>
          <w:spacing w:val="6"/>
          <w:sz w:val="26"/>
          <w:szCs w:val="24"/>
        </w:rPr>
        <w:t>, y que entre otras medidas establece la posibilidad de destinar por las distintas administraciones públicas, unos fondos adicionales, que previa negociación colectiva puedan destinarse a determinadas mejoras retributivas</w:t>
      </w:r>
      <w:r w:rsidR="008374FF" w:rsidRPr="00F20E58">
        <w:rPr>
          <w:spacing w:val="6"/>
          <w:sz w:val="26"/>
          <w:szCs w:val="24"/>
        </w:rPr>
        <w:t xml:space="preserve">. </w:t>
      </w:r>
    </w:p>
    <w:p w14:paraId="6CD6D4C3" w14:textId="77777777" w:rsidR="00946618" w:rsidRPr="00F20E58" w:rsidRDefault="008374FF" w:rsidP="000023DA">
      <w:pPr>
        <w:spacing w:before="240" w:after="120"/>
        <w:ind w:firstLine="284"/>
        <w:rPr>
          <w:spacing w:val="6"/>
          <w:sz w:val="26"/>
          <w:szCs w:val="24"/>
        </w:rPr>
      </w:pPr>
      <w:r w:rsidRPr="00F20E58">
        <w:rPr>
          <w:spacing w:val="6"/>
          <w:sz w:val="26"/>
          <w:szCs w:val="24"/>
        </w:rPr>
        <w:t>La materialización de las citadas mejoras retributivas en e</w:t>
      </w:r>
      <w:r w:rsidR="000023DA" w:rsidRPr="00F20E58">
        <w:rPr>
          <w:spacing w:val="6"/>
          <w:sz w:val="26"/>
          <w:szCs w:val="24"/>
        </w:rPr>
        <w:t xml:space="preserve">l </w:t>
      </w:r>
      <w:r w:rsidR="005F0990" w:rsidRPr="00F20E58">
        <w:rPr>
          <w:spacing w:val="6"/>
          <w:sz w:val="26"/>
          <w:szCs w:val="24"/>
        </w:rPr>
        <w:t>a</w:t>
      </w:r>
      <w:r w:rsidR="000023DA" w:rsidRPr="00F20E58">
        <w:rPr>
          <w:spacing w:val="6"/>
          <w:sz w:val="26"/>
          <w:szCs w:val="24"/>
        </w:rPr>
        <w:t>cuerdo</w:t>
      </w:r>
      <w:r w:rsidR="005F0990" w:rsidRPr="00F20E58">
        <w:rPr>
          <w:spacing w:val="6"/>
          <w:sz w:val="26"/>
          <w:szCs w:val="24"/>
        </w:rPr>
        <w:t xml:space="preserve"> </w:t>
      </w:r>
      <w:r w:rsidRPr="00F20E58">
        <w:rPr>
          <w:spacing w:val="6"/>
          <w:sz w:val="26"/>
          <w:szCs w:val="24"/>
        </w:rPr>
        <w:t xml:space="preserve">colectivo aprobado en el ayuntamiento, </w:t>
      </w:r>
      <w:r w:rsidR="00F20E58">
        <w:rPr>
          <w:spacing w:val="6"/>
          <w:sz w:val="26"/>
          <w:szCs w:val="24"/>
        </w:rPr>
        <w:t xml:space="preserve">se han concentrado en </w:t>
      </w:r>
      <w:r w:rsidR="000023DA" w:rsidRPr="00F20E58">
        <w:rPr>
          <w:spacing w:val="6"/>
          <w:sz w:val="26"/>
          <w:szCs w:val="24"/>
        </w:rPr>
        <w:t xml:space="preserve">el ejercicio 2021, entre otras, </w:t>
      </w:r>
      <w:r w:rsidR="00F20E58">
        <w:rPr>
          <w:spacing w:val="6"/>
          <w:sz w:val="26"/>
          <w:szCs w:val="24"/>
        </w:rPr>
        <w:t xml:space="preserve">en </w:t>
      </w:r>
      <w:r w:rsidR="000023DA" w:rsidRPr="00F20E58">
        <w:rPr>
          <w:spacing w:val="6"/>
          <w:sz w:val="26"/>
          <w:szCs w:val="24"/>
        </w:rPr>
        <w:t>las siguientes medidas</w:t>
      </w:r>
      <w:r w:rsidR="00946618" w:rsidRPr="00F20E58">
        <w:rPr>
          <w:spacing w:val="6"/>
          <w:sz w:val="26"/>
          <w:szCs w:val="24"/>
        </w:rPr>
        <w:t>:</w:t>
      </w:r>
    </w:p>
    <w:p w14:paraId="08AD2418" w14:textId="77777777" w:rsidR="00792974" w:rsidRDefault="00792974" w:rsidP="00946618">
      <w:pPr>
        <w:pStyle w:val="Prrafodelista"/>
        <w:numPr>
          <w:ilvl w:val="0"/>
          <w:numId w:val="25"/>
        </w:numPr>
        <w:tabs>
          <w:tab w:val="num" w:pos="600"/>
          <w:tab w:val="num" w:pos="673"/>
          <w:tab w:val="num" w:pos="720"/>
          <w:tab w:val="num" w:pos="1320"/>
        </w:tabs>
        <w:spacing w:before="120" w:after="0"/>
        <w:rPr>
          <w:spacing w:val="6"/>
          <w:sz w:val="26"/>
          <w:szCs w:val="24"/>
        </w:rPr>
      </w:pPr>
      <w:r>
        <w:rPr>
          <w:spacing w:val="6"/>
          <w:sz w:val="26"/>
          <w:szCs w:val="24"/>
        </w:rPr>
        <w:t>Ayuda familiar. E</w:t>
      </w:r>
      <w:r w:rsidR="008374FF">
        <w:rPr>
          <w:spacing w:val="6"/>
          <w:sz w:val="26"/>
          <w:szCs w:val="24"/>
        </w:rPr>
        <w:t xml:space="preserve">l abono a todo el personal referido al sueldo inicial del nivel/grupo </w:t>
      </w:r>
      <w:r>
        <w:rPr>
          <w:spacing w:val="6"/>
          <w:sz w:val="26"/>
          <w:szCs w:val="24"/>
        </w:rPr>
        <w:t>D</w:t>
      </w:r>
    </w:p>
    <w:p w14:paraId="754E6BE1" w14:textId="77777777" w:rsidR="00792974" w:rsidRDefault="00792974" w:rsidP="00946618">
      <w:pPr>
        <w:pStyle w:val="Prrafodelista"/>
        <w:numPr>
          <w:ilvl w:val="0"/>
          <w:numId w:val="25"/>
        </w:numPr>
        <w:tabs>
          <w:tab w:val="num" w:pos="600"/>
          <w:tab w:val="num" w:pos="673"/>
          <w:tab w:val="num" w:pos="720"/>
          <w:tab w:val="num" w:pos="1320"/>
        </w:tabs>
        <w:spacing w:before="120" w:after="0"/>
        <w:rPr>
          <w:spacing w:val="6"/>
          <w:sz w:val="26"/>
          <w:szCs w:val="24"/>
        </w:rPr>
      </w:pPr>
      <w:r>
        <w:rPr>
          <w:spacing w:val="6"/>
          <w:sz w:val="26"/>
          <w:szCs w:val="24"/>
        </w:rPr>
        <w:t>P</w:t>
      </w:r>
      <w:r w:rsidR="00946618" w:rsidRPr="00950882">
        <w:rPr>
          <w:spacing w:val="6"/>
          <w:sz w:val="26"/>
          <w:szCs w:val="24"/>
        </w:rPr>
        <w:t xml:space="preserve">remio </w:t>
      </w:r>
      <w:r w:rsidR="000023DA">
        <w:rPr>
          <w:spacing w:val="6"/>
          <w:sz w:val="26"/>
          <w:szCs w:val="24"/>
        </w:rPr>
        <w:t>de antigüedad</w:t>
      </w:r>
      <w:r>
        <w:rPr>
          <w:spacing w:val="6"/>
          <w:sz w:val="26"/>
          <w:szCs w:val="24"/>
        </w:rPr>
        <w:t>. S</w:t>
      </w:r>
      <w:r w:rsidR="00946618" w:rsidRPr="00FA2B37">
        <w:rPr>
          <w:spacing w:val="6"/>
          <w:sz w:val="26"/>
          <w:szCs w:val="24"/>
        </w:rPr>
        <w:t xml:space="preserve">e pretende llegar a su </w:t>
      </w:r>
      <w:r w:rsidR="008374FF">
        <w:rPr>
          <w:spacing w:val="6"/>
          <w:sz w:val="26"/>
          <w:szCs w:val="24"/>
        </w:rPr>
        <w:t xml:space="preserve">abono también sobre el nivel/grupo </w:t>
      </w:r>
      <w:r w:rsidR="00946618" w:rsidRPr="00FA2B37">
        <w:rPr>
          <w:spacing w:val="6"/>
          <w:sz w:val="26"/>
          <w:szCs w:val="24"/>
        </w:rPr>
        <w:t>D, por lo que trans</w:t>
      </w:r>
      <w:r w:rsidR="000023DA">
        <w:rPr>
          <w:spacing w:val="6"/>
          <w:sz w:val="26"/>
          <w:szCs w:val="24"/>
        </w:rPr>
        <w:t>itoriamente se va incrementando, habiéndose aumentado e</w:t>
      </w:r>
      <w:r w:rsidR="00946618" w:rsidRPr="00FA2B37">
        <w:rPr>
          <w:spacing w:val="6"/>
          <w:sz w:val="26"/>
          <w:szCs w:val="24"/>
        </w:rPr>
        <w:t xml:space="preserve">n 2021 </w:t>
      </w:r>
      <w:r w:rsidR="000023DA">
        <w:rPr>
          <w:spacing w:val="6"/>
          <w:sz w:val="26"/>
          <w:szCs w:val="24"/>
        </w:rPr>
        <w:t xml:space="preserve">un </w:t>
      </w:r>
      <w:r w:rsidR="00946618" w:rsidRPr="00FA2B37">
        <w:rPr>
          <w:spacing w:val="6"/>
          <w:sz w:val="26"/>
          <w:szCs w:val="24"/>
        </w:rPr>
        <w:t>2’75 por ciento sobre el nivel E</w:t>
      </w:r>
      <w:r w:rsidR="000023DA">
        <w:rPr>
          <w:spacing w:val="6"/>
          <w:sz w:val="26"/>
          <w:szCs w:val="24"/>
        </w:rPr>
        <w:t xml:space="preserve">. </w:t>
      </w:r>
    </w:p>
    <w:p w14:paraId="5C8D9BA9" w14:textId="77777777" w:rsidR="00946618" w:rsidRPr="00FA2B37" w:rsidRDefault="000023DA" w:rsidP="00792974">
      <w:pPr>
        <w:spacing w:before="240" w:after="120"/>
        <w:ind w:firstLine="284"/>
        <w:rPr>
          <w:spacing w:val="6"/>
          <w:sz w:val="26"/>
          <w:szCs w:val="24"/>
        </w:rPr>
      </w:pPr>
      <w:r>
        <w:rPr>
          <w:spacing w:val="6"/>
          <w:sz w:val="26"/>
          <w:szCs w:val="24"/>
        </w:rPr>
        <w:t xml:space="preserve">En ambos casos, indicamos que son actos contrarios </w:t>
      </w:r>
      <w:r w:rsidRPr="00950882">
        <w:rPr>
          <w:spacing w:val="6"/>
          <w:sz w:val="26"/>
          <w:szCs w:val="24"/>
        </w:rPr>
        <w:t xml:space="preserve">a lo establecido </w:t>
      </w:r>
      <w:r w:rsidR="00C717BE">
        <w:rPr>
          <w:spacing w:val="6"/>
          <w:sz w:val="26"/>
          <w:szCs w:val="24"/>
        </w:rPr>
        <w:t xml:space="preserve">en el </w:t>
      </w:r>
      <w:r w:rsidR="00C717BE" w:rsidRPr="00792974">
        <w:rPr>
          <w:spacing w:val="6"/>
          <w:sz w:val="26"/>
          <w:szCs w:val="24"/>
        </w:rPr>
        <w:t xml:space="preserve">Decreto Foral Legislativo 251/1993, de 30 de agosto, por el que se aprueba el Texto Refundido del Estatuto del Personal al servicio de las Administraciones Públicas de Navarra (en adelante TREP) </w:t>
      </w:r>
      <w:r>
        <w:rPr>
          <w:spacing w:val="6"/>
          <w:sz w:val="26"/>
          <w:szCs w:val="24"/>
        </w:rPr>
        <w:t xml:space="preserve">ya que son complementos </w:t>
      </w:r>
      <w:r w:rsidRPr="00FA2B37">
        <w:rPr>
          <w:spacing w:val="6"/>
          <w:sz w:val="26"/>
          <w:szCs w:val="24"/>
        </w:rPr>
        <w:t>que se aplica</w:t>
      </w:r>
      <w:r>
        <w:rPr>
          <w:spacing w:val="6"/>
          <w:sz w:val="26"/>
          <w:szCs w:val="24"/>
        </w:rPr>
        <w:t>n</w:t>
      </w:r>
      <w:r w:rsidRPr="00FA2B37">
        <w:rPr>
          <w:spacing w:val="6"/>
          <w:sz w:val="26"/>
          <w:szCs w:val="24"/>
        </w:rPr>
        <w:t xml:space="preserve"> sobre el </w:t>
      </w:r>
      <w:r w:rsidR="00792974">
        <w:rPr>
          <w:spacing w:val="6"/>
          <w:sz w:val="26"/>
          <w:szCs w:val="24"/>
        </w:rPr>
        <w:t xml:space="preserve">sueldo base del </w:t>
      </w:r>
      <w:r w:rsidRPr="00FA2B37">
        <w:rPr>
          <w:spacing w:val="6"/>
          <w:sz w:val="26"/>
          <w:szCs w:val="24"/>
        </w:rPr>
        <w:t>nivel E.</w:t>
      </w:r>
    </w:p>
    <w:p w14:paraId="3F99853A" w14:textId="77777777" w:rsidR="0005127C" w:rsidRPr="0005127C" w:rsidRDefault="000023DA" w:rsidP="0005127C">
      <w:pPr>
        <w:spacing w:after="120"/>
        <w:ind w:firstLine="284"/>
        <w:rPr>
          <w:spacing w:val="6"/>
          <w:sz w:val="26"/>
          <w:szCs w:val="24"/>
        </w:rPr>
      </w:pPr>
      <w:r w:rsidRPr="00907CF4">
        <w:rPr>
          <w:spacing w:val="6"/>
          <w:sz w:val="26"/>
          <w:szCs w:val="24"/>
        </w:rPr>
        <w:t xml:space="preserve">De la revisión </w:t>
      </w:r>
      <w:r w:rsidR="0005127C">
        <w:rPr>
          <w:spacing w:val="6"/>
          <w:sz w:val="26"/>
          <w:szCs w:val="24"/>
        </w:rPr>
        <w:t xml:space="preserve">informática </w:t>
      </w:r>
      <w:r w:rsidRPr="00907CF4">
        <w:rPr>
          <w:spacing w:val="6"/>
          <w:sz w:val="26"/>
          <w:szCs w:val="24"/>
        </w:rPr>
        <w:t xml:space="preserve">de nóminas que </w:t>
      </w:r>
      <w:r w:rsidR="0005127C">
        <w:rPr>
          <w:spacing w:val="6"/>
          <w:sz w:val="26"/>
          <w:szCs w:val="24"/>
        </w:rPr>
        <w:t xml:space="preserve">hemos </w:t>
      </w:r>
      <w:r w:rsidRPr="00907CF4">
        <w:rPr>
          <w:spacing w:val="6"/>
          <w:sz w:val="26"/>
          <w:szCs w:val="24"/>
        </w:rPr>
        <w:t>efectuado y que se describe en al apartado 5.4.</w:t>
      </w:r>
      <w:r w:rsidR="009838F0" w:rsidRPr="00907CF4">
        <w:rPr>
          <w:spacing w:val="6"/>
          <w:sz w:val="26"/>
          <w:szCs w:val="24"/>
        </w:rPr>
        <w:t>2</w:t>
      </w:r>
      <w:r w:rsidRPr="00907CF4">
        <w:rPr>
          <w:spacing w:val="6"/>
          <w:sz w:val="26"/>
          <w:szCs w:val="24"/>
        </w:rPr>
        <w:t xml:space="preserve"> del Apéndice 5, hemos comprobado que los citados </w:t>
      </w:r>
      <w:r w:rsidR="00006898" w:rsidRPr="00907CF4">
        <w:rPr>
          <w:spacing w:val="6"/>
          <w:sz w:val="26"/>
          <w:szCs w:val="24"/>
        </w:rPr>
        <w:t>comple</w:t>
      </w:r>
      <w:r w:rsidR="00006898" w:rsidRPr="0005127C">
        <w:rPr>
          <w:spacing w:val="6"/>
          <w:sz w:val="26"/>
          <w:szCs w:val="24"/>
        </w:rPr>
        <w:t>mentos han sido abonad</w:t>
      </w:r>
      <w:r w:rsidR="00792974" w:rsidRPr="0005127C">
        <w:rPr>
          <w:spacing w:val="6"/>
          <w:sz w:val="26"/>
          <w:szCs w:val="24"/>
        </w:rPr>
        <w:t xml:space="preserve">os y hemos cuantificado en 26.650 euros para el premio de antigüedad. </w:t>
      </w:r>
      <w:r w:rsidR="00907CF4" w:rsidRPr="0005127C">
        <w:rPr>
          <w:spacing w:val="6"/>
          <w:sz w:val="26"/>
          <w:szCs w:val="24"/>
        </w:rPr>
        <w:t xml:space="preserve">No hemos podido cuantificar el exceso </w:t>
      </w:r>
      <w:r w:rsidR="001A6BF8" w:rsidRPr="0005127C">
        <w:rPr>
          <w:spacing w:val="6"/>
          <w:sz w:val="26"/>
          <w:szCs w:val="24"/>
        </w:rPr>
        <w:t xml:space="preserve">abonado por la ayuda familiar, dado que desconocemos donde se almacenan los datos </w:t>
      </w:r>
      <w:r w:rsidR="0005127C" w:rsidRPr="0005127C">
        <w:rPr>
          <w:spacing w:val="6"/>
          <w:sz w:val="26"/>
          <w:szCs w:val="24"/>
        </w:rPr>
        <w:t xml:space="preserve">familiares </w:t>
      </w:r>
      <w:proofErr w:type="gramStart"/>
      <w:r w:rsidR="0005127C" w:rsidRPr="0005127C">
        <w:rPr>
          <w:spacing w:val="6"/>
          <w:sz w:val="26"/>
          <w:szCs w:val="24"/>
        </w:rPr>
        <w:t>de acuerdo a</w:t>
      </w:r>
      <w:proofErr w:type="gramEnd"/>
      <w:r w:rsidR="0005127C" w:rsidRPr="0005127C">
        <w:rPr>
          <w:spacing w:val="6"/>
          <w:sz w:val="26"/>
          <w:szCs w:val="24"/>
        </w:rPr>
        <w:t xml:space="preserve"> las distintas circunstancias previstas en los artículos 30 y siguientes del Decreto Foral 158/1984, de 4 de julio, que aprueba el Reglamento Provisional de retribuciones del personal al servicio de las Administraciones Públicas de Navarra</w:t>
      </w:r>
      <w:r w:rsidR="0005127C">
        <w:rPr>
          <w:spacing w:val="6"/>
          <w:sz w:val="26"/>
          <w:szCs w:val="24"/>
        </w:rPr>
        <w:t>.</w:t>
      </w:r>
      <w:r w:rsidR="00A3041D">
        <w:rPr>
          <w:spacing w:val="6"/>
          <w:sz w:val="26"/>
          <w:szCs w:val="24"/>
        </w:rPr>
        <w:t xml:space="preserve"> </w:t>
      </w:r>
      <w:proofErr w:type="gramStart"/>
      <w:r w:rsidR="00A3041D">
        <w:rPr>
          <w:spacing w:val="6"/>
          <w:sz w:val="26"/>
          <w:szCs w:val="24"/>
        </w:rPr>
        <w:t>Asimismo</w:t>
      </w:r>
      <w:proofErr w:type="gramEnd"/>
      <w:r w:rsidR="00A3041D">
        <w:rPr>
          <w:spacing w:val="6"/>
          <w:sz w:val="26"/>
          <w:szCs w:val="24"/>
        </w:rPr>
        <w:t xml:space="preserve"> no tenemos la certeza en los pagos de atrasos, la fecha de devengo a la que corresponden. </w:t>
      </w:r>
    </w:p>
    <w:p w14:paraId="7F98CBF2" w14:textId="77777777" w:rsidR="000023DA" w:rsidRDefault="000023DA" w:rsidP="000023DA">
      <w:pPr>
        <w:spacing w:before="240" w:after="120"/>
        <w:ind w:firstLine="284"/>
        <w:rPr>
          <w:spacing w:val="6"/>
          <w:sz w:val="26"/>
          <w:szCs w:val="24"/>
        </w:rPr>
      </w:pPr>
      <w:proofErr w:type="gramStart"/>
      <w:r>
        <w:rPr>
          <w:spacing w:val="6"/>
          <w:sz w:val="26"/>
          <w:szCs w:val="24"/>
        </w:rPr>
        <w:lastRenderedPageBreak/>
        <w:t>De acuerdo a</w:t>
      </w:r>
      <w:proofErr w:type="gramEnd"/>
      <w:r>
        <w:rPr>
          <w:spacing w:val="6"/>
          <w:sz w:val="26"/>
          <w:szCs w:val="24"/>
        </w:rPr>
        <w:t xml:space="preserve"> lo anterior, entendemos que el establecimiento y abono de los citados complementos retributivos, exceden del recogido en el </w:t>
      </w:r>
      <w:r w:rsidR="00152EBD">
        <w:rPr>
          <w:spacing w:val="6"/>
          <w:sz w:val="26"/>
          <w:szCs w:val="24"/>
        </w:rPr>
        <w:t>marco legal estatutario</w:t>
      </w:r>
      <w:r>
        <w:rPr>
          <w:spacing w:val="6"/>
          <w:sz w:val="26"/>
          <w:szCs w:val="24"/>
        </w:rPr>
        <w:t>, no siendo posible modificar este régimen legal por el ayuntamiento ni pactar un régimen que se separe del recogido en la normativa aplicable.</w:t>
      </w:r>
    </w:p>
    <w:bookmarkEnd w:id="88"/>
    <w:p w14:paraId="23D506DD" w14:textId="77777777" w:rsidR="005F0990" w:rsidRDefault="005F0990">
      <w:pPr>
        <w:spacing w:after="0"/>
        <w:ind w:firstLine="0"/>
        <w:jc w:val="left"/>
        <w:rPr>
          <w:spacing w:val="6"/>
          <w:sz w:val="26"/>
          <w:szCs w:val="24"/>
        </w:rPr>
      </w:pPr>
      <w:r>
        <w:rPr>
          <w:spacing w:val="6"/>
          <w:sz w:val="26"/>
          <w:szCs w:val="24"/>
        </w:rPr>
        <w:br w:type="page"/>
      </w:r>
    </w:p>
    <w:p w14:paraId="3E75212E" w14:textId="77777777" w:rsidR="00807992" w:rsidRPr="00667DFF" w:rsidRDefault="00807992" w:rsidP="00807992">
      <w:pPr>
        <w:pStyle w:val="atitulo1"/>
      </w:pPr>
      <w:bookmarkStart w:id="90" w:name="_Toc118266027"/>
      <w:bookmarkStart w:id="91" w:name="_Toc129243487"/>
      <w:r>
        <w:lastRenderedPageBreak/>
        <w:t>Apéndice 5. Observaciones y hallazgos adicionales de la fiscalización de regularidad</w:t>
      </w:r>
      <w:bookmarkEnd w:id="84"/>
      <w:bookmarkEnd w:id="85"/>
      <w:bookmarkEnd w:id="86"/>
      <w:bookmarkEnd w:id="90"/>
      <w:bookmarkEnd w:id="91"/>
    </w:p>
    <w:p w14:paraId="2E86B3D5" w14:textId="77777777" w:rsidR="00807992" w:rsidRPr="00667DFF" w:rsidRDefault="00807992" w:rsidP="00807992">
      <w:pPr>
        <w:tabs>
          <w:tab w:val="center" w:pos="2835"/>
          <w:tab w:val="center" w:pos="3969"/>
          <w:tab w:val="center" w:pos="5103"/>
          <w:tab w:val="center" w:pos="6237"/>
          <w:tab w:val="center" w:pos="7371"/>
        </w:tabs>
        <w:spacing w:after="100"/>
        <w:ind w:firstLine="284"/>
        <w:rPr>
          <w:spacing w:val="6"/>
          <w:sz w:val="26"/>
          <w:szCs w:val="24"/>
        </w:rPr>
      </w:pPr>
      <w:r>
        <w:rPr>
          <w:spacing w:val="6"/>
          <w:sz w:val="26"/>
          <w:szCs w:val="24"/>
        </w:rPr>
        <w:t xml:space="preserve">A continuación, </w:t>
      </w:r>
      <w:r w:rsidRPr="00667DFF">
        <w:rPr>
          <w:spacing w:val="6"/>
          <w:sz w:val="26"/>
          <w:szCs w:val="24"/>
        </w:rPr>
        <w:t>se incluyen aquellas observaciones y comentarios junto con determinada información adicional que esta Cámara conside</w:t>
      </w:r>
      <w:r>
        <w:rPr>
          <w:spacing w:val="6"/>
          <w:sz w:val="26"/>
          <w:szCs w:val="24"/>
        </w:rPr>
        <w:t xml:space="preserve">ra que puede ser de interés a las personas </w:t>
      </w:r>
      <w:r w:rsidRPr="00667DFF">
        <w:rPr>
          <w:spacing w:val="6"/>
          <w:sz w:val="26"/>
          <w:szCs w:val="24"/>
        </w:rPr>
        <w:t>destinatari</w:t>
      </w:r>
      <w:r>
        <w:rPr>
          <w:spacing w:val="6"/>
          <w:sz w:val="26"/>
          <w:szCs w:val="24"/>
        </w:rPr>
        <w:t>a</w:t>
      </w:r>
      <w:r w:rsidRPr="00667DFF">
        <w:rPr>
          <w:spacing w:val="6"/>
          <w:sz w:val="26"/>
          <w:szCs w:val="24"/>
        </w:rPr>
        <w:t>s y usuari</w:t>
      </w:r>
      <w:r>
        <w:rPr>
          <w:spacing w:val="6"/>
          <w:sz w:val="26"/>
          <w:szCs w:val="24"/>
        </w:rPr>
        <w:t>a</w:t>
      </w:r>
      <w:r w:rsidRPr="00667DFF">
        <w:rPr>
          <w:spacing w:val="6"/>
          <w:sz w:val="26"/>
          <w:szCs w:val="24"/>
        </w:rPr>
        <w:t>s del presente informe de fiscalización.</w:t>
      </w:r>
    </w:p>
    <w:p w14:paraId="00ADCF38" w14:textId="77777777" w:rsidR="00807992" w:rsidRPr="00667DFF" w:rsidRDefault="00807992" w:rsidP="00807992">
      <w:pPr>
        <w:tabs>
          <w:tab w:val="center" w:pos="2835"/>
          <w:tab w:val="center" w:pos="3969"/>
          <w:tab w:val="center" w:pos="5103"/>
          <w:tab w:val="center" w:pos="6237"/>
          <w:tab w:val="center" w:pos="7371"/>
        </w:tabs>
        <w:spacing w:before="120" w:after="240"/>
        <w:ind w:firstLine="284"/>
        <w:rPr>
          <w:spacing w:val="6"/>
          <w:sz w:val="26"/>
          <w:szCs w:val="24"/>
        </w:rPr>
      </w:pPr>
      <w:r w:rsidRPr="00667DFF">
        <w:rPr>
          <w:spacing w:val="6"/>
          <w:sz w:val="26"/>
          <w:szCs w:val="24"/>
        </w:rPr>
        <w:t>Incluye, igualmente, las recomendaciones que esta Cámara considera precisas para una mejora de la gestión económico-administrativa del ayuntam</w:t>
      </w:r>
      <w:r>
        <w:rPr>
          <w:spacing w:val="6"/>
          <w:sz w:val="26"/>
          <w:szCs w:val="24"/>
        </w:rPr>
        <w:t>iento y sus entes dependientes.</w:t>
      </w:r>
    </w:p>
    <w:p w14:paraId="26F34CD8" w14:textId="77777777" w:rsidR="00807992" w:rsidRPr="00190001" w:rsidRDefault="00807992" w:rsidP="00190001">
      <w:pPr>
        <w:pStyle w:val="atitulo2"/>
      </w:pPr>
      <w:bookmarkStart w:id="92" w:name="_Toc461588448"/>
      <w:bookmarkStart w:id="93" w:name="_Toc461590590"/>
      <w:bookmarkStart w:id="94" w:name="_Toc461591110"/>
      <w:bookmarkStart w:id="95" w:name="_Toc461592241"/>
      <w:bookmarkStart w:id="96" w:name="_Toc461593661"/>
      <w:bookmarkStart w:id="97" w:name="_Toc461593794"/>
      <w:bookmarkStart w:id="98" w:name="_Toc461594096"/>
      <w:bookmarkStart w:id="99" w:name="_Toc461594693"/>
      <w:bookmarkStart w:id="100" w:name="_Toc461595086"/>
      <w:bookmarkStart w:id="101" w:name="_Toc461595678"/>
      <w:bookmarkStart w:id="102" w:name="_Toc461601747"/>
      <w:bookmarkStart w:id="103" w:name="_Toc461602534"/>
      <w:bookmarkStart w:id="104" w:name="_Toc462124223"/>
      <w:bookmarkStart w:id="105" w:name="_Toc462124303"/>
      <w:bookmarkStart w:id="106" w:name="_Toc462803278"/>
      <w:bookmarkStart w:id="107" w:name="_Toc463680850"/>
      <w:bookmarkStart w:id="108" w:name="_Toc463680930"/>
      <w:bookmarkStart w:id="109" w:name="_Toc463681087"/>
      <w:bookmarkStart w:id="110" w:name="_Toc464619342"/>
      <w:bookmarkStart w:id="111" w:name="_Toc464870764"/>
      <w:bookmarkStart w:id="112" w:name="_Toc496503483"/>
      <w:bookmarkStart w:id="113" w:name="_Toc69801029"/>
      <w:bookmarkStart w:id="114" w:name="_Toc93816327"/>
      <w:bookmarkStart w:id="115" w:name="_Toc93817014"/>
      <w:bookmarkStart w:id="116" w:name="_Toc120335778"/>
      <w:bookmarkStart w:id="117" w:name="_Toc120335700"/>
      <w:bookmarkStart w:id="118" w:name="_Toc120335533"/>
      <w:bookmarkStart w:id="119" w:name="_Toc318960028"/>
      <w:bookmarkStart w:id="120" w:name="_Toc430935363"/>
      <w:bookmarkStart w:id="121" w:name="_Toc55460326"/>
      <w:bookmarkStart w:id="122" w:name="_Toc22495441"/>
      <w:bookmarkStart w:id="123" w:name="_Toc118266028"/>
      <w:bookmarkStart w:id="124" w:name="_Toc129243488"/>
      <w:r w:rsidRPr="00190001">
        <w:t xml:space="preserve">5.1. </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190001">
        <w:t>Presupuesto General</w:t>
      </w:r>
      <w:bookmarkEnd w:id="121"/>
      <w:r w:rsidRPr="00190001">
        <w:t xml:space="preserve"> </w:t>
      </w:r>
      <w:bookmarkEnd w:id="122"/>
      <w:r w:rsidRPr="00190001">
        <w:t>2021</w:t>
      </w:r>
      <w:bookmarkEnd w:id="123"/>
      <w:bookmarkEnd w:id="124"/>
    </w:p>
    <w:p w14:paraId="5ED7C878" w14:textId="77777777" w:rsidR="00807992" w:rsidRDefault="00807992" w:rsidP="00807992">
      <w:pPr>
        <w:tabs>
          <w:tab w:val="center" w:pos="2835"/>
          <w:tab w:val="center" w:pos="3969"/>
          <w:tab w:val="center" w:pos="5103"/>
          <w:tab w:val="center" w:pos="6237"/>
          <w:tab w:val="center" w:pos="7371"/>
        </w:tabs>
        <w:spacing w:after="100"/>
        <w:ind w:firstLine="284"/>
        <w:rPr>
          <w:spacing w:val="4"/>
          <w:sz w:val="26"/>
          <w:szCs w:val="24"/>
        </w:rPr>
      </w:pPr>
      <w:r>
        <w:rPr>
          <w:spacing w:val="4"/>
          <w:sz w:val="26"/>
          <w:szCs w:val="24"/>
        </w:rPr>
        <w:t xml:space="preserve">El Pleno del Ayuntamiento de Pamplona aprobó inicialmente el presupuesto general para 2021 el 22 de diciembre de 2020. Una vez cumplidos los trámites exigidos legalmente, la aprobación definitiva se publicó en el </w:t>
      </w:r>
      <w:r w:rsidRPr="00500E6C">
        <w:rPr>
          <w:spacing w:val="6"/>
          <w:sz w:val="26"/>
          <w:szCs w:val="24"/>
          <w:lang w:val="es-ES"/>
        </w:rPr>
        <w:t>Boletín Oficial de Na</w:t>
      </w:r>
      <w:r w:rsidRPr="00331803">
        <w:rPr>
          <w:spacing w:val="6"/>
          <w:sz w:val="26"/>
          <w:szCs w:val="24"/>
          <w:lang w:val="es-ES"/>
        </w:rPr>
        <w:t>varra (BON en adelante)</w:t>
      </w:r>
      <w:r>
        <w:rPr>
          <w:spacing w:val="6"/>
          <w:sz w:val="26"/>
          <w:szCs w:val="24"/>
          <w:lang w:val="es-ES"/>
        </w:rPr>
        <w:t xml:space="preserve"> </w:t>
      </w:r>
      <w:r>
        <w:rPr>
          <w:spacing w:val="4"/>
          <w:sz w:val="26"/>
          <w:szCs w:val="24"/>
        </w:rPr>
        <w:t>el ocho de febrero de 2021, entrando en vigor al día siguiente de su publicación. Hasta el nueve de febrero estuvo vigente el presupuesto prorrogado de 2018</w:t>
      </w:r>
      <w:r>
        <w:rPr>
          <w:rStyle w:val="Refdenotaalpie"/>
          <w:spacing w:val="4"/>
          <w:sz w:val="26"/>
          <w:szCs w:val="24"/>
        </w:rPr>
        <w:footnoteReference w:id="3"/>
      </w:r>
      <w:r>
        <w:rPr>
          <w:spacing w:val="4"/>
          <w:sz w:val="26"/>
          <w:szCs w:val="24"/>
        </w:rPr>
        <w:t xml:space="preserve">. </w:t>
      </w:r>
    </w:p>
    <w:p w14:paraId="17328C4F" w14:textId="77777777" w:rsidR="00807992" w:rsidRPr="00667DFF" w:rsidRDefault="00807992" w:rsidP="00807992">
      <w:pPr>
        <w:tabs>
          <w:tab w:val="center" w:pos="2835"/>
          <w:tab w:val="center" w:pos="3969"/>
          <w:tab w:val="center" w:pos="5103"/>
          <w:tab w:val="center" w:pos="6237"/>
          <w:tab w:val="center" w:pos="7371"/>
        </w:tabs>
        <w:spacing w:after="100"/>
        <w:ind w:firstLine="284"/>
        <w:rPr>
          <w:spacing w:val="4"/>
          <w:sz w:val="26"/>
          <w:szCs w:val="24"/>
        </w:rPr>
      </w:pPr>
      <w:r>
        <w:rPr>
          <w:spacing w:val="4"/>
          <w:sz w:val="26"/>
          <w:szCs w:val="24"/>
        </w:rPr>
        <w:t xml:space="preserve">El </w:t>
      </w:r>
      <w:r w:rsidRPr="00667DFF">
        <w:rPr>
          <w:spacing w:val="4"/>
          <w:sz w:val="26"/>
          <w:szCs w:val="24"/>
        </w:rPr>
        <w:t>presupuesto inicial consolidado del ayuntamiento y sus OOAA para 20</w:t>
      </w:r>
      <w:r>
        <w:rPr>
          <w:spacing w:val="4"/>
          <w:sz w:val="26"/>
          <w:szCs w:val="24"/>
        </w:rPr>
        <w:t>21</w:t>
      </w:r>
      <w:r w:rsidRPr="00667DFF">
        <w:rPr>
          <w:spacing w:val="4"/>
          <w:sz w:val="26"/>
          <w:szCs w:val="24"/>
        </w:rPr>
        <w:t xml:space="preserve">, presentaba unas previsiones iniciales de gastos e ingresos de </w:t>
      </w:r>
      <w:r>
        <w:rPr>
          <w:spacing w:val="4"/>
          <w:sz w:val="26"/>
          <w:szCs w:val="24"/>
        </w:rPr>
        <w:t>248,1 millones.</w:t>
      </w:r>
    </w:p>
    <w:p w14:paraId="093D734B" w14:textId="77777777" w:rsidR="00807992" w:rsidRPr="00667DFF" w:rsidRDefault="00807992" w:rsidP="00807992">
      <w:pPr>
        <w:tabs>
          <w:tab w:val="center" w:pos="2835"/>
          <w:tab w:val="center" w:pos="3969"/>
          <w:tab w:val="center" w:pos="5103"/>
          <w:tab w:val="center" w:pos="6237"/>
          <w:tab w:val="center" w:pos="7371"/>
        </w:tabs>
        <w:spacing w:after="100"/>
        <w:ind w:firstLine="284"/>
        <w:rPr>
          <w:strike/>
          <w:spacing w:val="4"/>
          <w:sz w:val="26"/>
          <w:szCs w:val="24"/>
        </w:rPr>
      </w:pPr>
      <w:r w:rsidRPr="00667DFF">
        <w:rPr>
          <w:spacing w:val="4"/>
          <w:sz w:val="26"/>
          <w:szCs w:val="24"/>
        </w:rPr>
        <w:t xml:space="preserve">Tras las modificaciones presupuestarias de </w:t>
      </w:r>
      <w:r>
        <w:rPr>
          <w:spacing w:val="4"/>
          <w:sz w:val="26"/>
          <w:szCs w:val="24"/>
        </w:rPr>
        <w:t xml:space="preserve">33,1 </w:t>
      </w:r>
      <w:r w:rsidRPr="00667DFF">
        <w:rPr>
          <w:spacing w:val="4"/>
          <w:sz w:val="26"/>
          <w:szCs w:val="24"/>
        </w:rPr>
        <w:t>millones, que suponen un 1</w:t>
      </w:r>
      <w:r>
        <w:rPr>
          <w:spacing w:val="4"/>
          <w:sz w:val="26"/>
          <w:szCs w:val="24"/>
        </w:rPr>
        <w:t>3</w:t>
      </w:r>
      <w:r w:rsidRPr="00667DFF">
        <w:rPr>
          <w:spacing w:val="4"/>
          <w:sz w:val="26"/>
          <w:szCs w:val="24"/>
        </w:rPr>
        <w:t xml:space="preserve"> por ciento de los créditos iniciales, las previsiones definitivas ascendieron a 2</w:t>
      </w:r>
      <w:r>
        <w:rPr>
          <w:spacing w:val="4"/>
          <w:sz w:val="26"/>
          <w:szCs w:val="24"/>
        </w:rPr>
        <w:t>8</w:t>
      </w:r>
      <w:r w:rsidRPr="00667DFF">
        <w:rPr>
          <w:spacing w:val="4"/>
          <w:sz w:val="26"/>
          <w:szCs w:val="24"/>
        </w:rPr>
        <w:t>1,</w:t>
      </w:r>
      <w:r>
        <w:rPr>
          <w:spacing w:val="4"/>
          <w:sz w:val="26"/>
          <w:szCs w:val="24"/>
        </w:rPr>
        <w:t>14</w:t>
      </w:r>
      <w:r w:rsidRPr="00667DFF">
        <w:rPr>
          <w:spacing w:val="4"/>
          <w:sz w:val="26"/>
          <w:szCs w:val="24"/>
        </w:rPr>
        <w:t xml:space="preserve"> millones. </w:t>
      </w:r>
      <w:r w:rsidRPr="00667DFF">
        <w:rPr>
          <w:color w:val="000000" w:themeColor="text1"/>
          <w:spacing w:val="4"/>
          <w:sz w:val="26"/>
          <w:szCs w:val="24"/>
        </w:rPr>
        <w:t>El 7</w:t>
      </w:r>
      <w:r>
        <w:rPr>
          <w:color w:val="000000" w:themeColor="text1"/>
          <w:spacing w:val="4"/>
          <w:sz w:val="26"/>
          <w:szCs w:val="24"/>
        </w:rPr>
        <w:t>7</w:t>
      </w:r>
      <w:r w:rsidRPr="00667DFF">
        <w:rPr>
          <w:color w:val="000000" w:themeColor="text1"/>
          <w:spacing w:val="4"/>
          <w:sz w:val="26"/>
          <w:szCs w:val="24"/>
        </w:rPr>
        <w:t xml:space="preserve"> por ciento del importe total de modificaciones corresponden al capítulo </w:t>
      </w:r>
      <w:r>
        <w:rPr>
          <w:color w:val="000000" w:themeColor="text1"/>
          <w:spacing w:val="4"/>
          <w:sz w:val="26"/>
          <w:szCs w:val="24"/>
        </w:rPr>
        <w:t xml:space="preserve">seis </w:t>
      </w:r>
      <w:r w:rsidRPr="00667DFF">
        <w:rPr>
          <w:color w:val="000000" w:themeColor="text1"/>
          <w:spacing w:val="4"/>
          <w:sz w:val="26"/>
          <w:szCs w:val="24"/>
        </w:rPr>
        <w:t>de inversiones reales</w:t>
      </w:r>
      <w:r w:rsidRPr="00667DFF">
        <w:rPr>
          <w:spacing w:val="4"/>
          <w:sz w:val="26"/>
          <w:szCs w:val="24"/>
        </w:rPr>
        <w:t xml:space="preserve">. </w:t>
      </w:r>
    </w:p>
    <w:p w14:paraId="157CA764" w14:textId="77777777" w:rsidR="00807992" w:rsidRDefault="00807992" w:rsidP="00807992">
      <w:pPr>
        <w:spacing w:before="200"/>
        <w:ind w:firstLine="284"/>
        <w:jc w:val="left"/>
        <w:rPr>
          <w:rFonts w:ascii="Arial" w:hAnsi="Arial"/>
          <w:i/>
          <w:iCs/>
          <w:color w:val="000000"/>
          <w:spacing w:val="10"/>
          <w:kern w:val="28"/>
          <w:sz w:val="24"/>
          <w:szCs w:val="24"/>
          <w:lang w:val="es-ES"/>
        </w:rPr>
      </w:pPr>
      <w:r w:rsidRPr="00667DFF">
        <w:rPr>
          <w:rFonts w:ascii="Arial" w:hAnsi="Arial"/>
          <w:i/>
          <w:iCs/>
          <w:color w:val="000000"/>
          <w:spacing w:val="10"/>
          <w:kern w:val="28"/>
          <w:sz w:val="24"/>
          <w:szCs w:val="24"/>
          <w:lang w:val="es-ES"/>
        </w:rPr>
        <w:t>Liquidación presupuestaria</w:t>
      </w:r>
    </w:p>
    <w:p w14:paraId="6A2E6212" w14:textId="77777777" w:rsidR="00807992" w:rsidRDefault="00807992" w:rsidP="00807992">
      <w:pPr>
        <w:tabs>
          <w:tab w:val="center" w:pos="2835"/>
          <w:tab w:val="center" w:pos="3969"/>
          <w:tab w:val="center" w:pos="5103"/>
          <w:tab w:val="center" w:pos="6237"/>
          <w:tab w:val="center" w:pos="7371"/>
        </w:tabs>
        <w:spacing w:after="100"/>
        <w:ind w:firstLine="284"/>
        <w:rPr>
          <w:spacing w:val="4"/>
          <w:sz w:val="26"/>
          <w:szCs w:val="24"/>
        </w:rPr>
      </w:pPr>
      <w:r w:rsidRPr="006B26B7">
        <w:rPr>
          <w:spacing w:val="4"/>
          <w:sz w:val="26"/>
          <w:szCs w:val="24"/>
        </w:rPr>
        <w:t xml:space="preserve">La liquidación del presupuesto de 2021 se aprobó por Resolución de Alcaldía el 29 de abril de </w:t>
      </w:r>
      <w:r w:rsidR="007407B6">
        <w:rPr>
          <w:spacing w:val="4"/>
          <w:sz w:val="26"/>
          <w:szCs w:val="24"/>
        </w:rPr>
        <w:t>2022 y la cuenta g</w:t>
      </w:r>
      <w:r>
        <w:rPr>
          <w:spacing w:val="4"/>
          <w:sz w:val="26"/>
          <w:szCs w:val="24"/>
        </w:rPr>
        <w:t>eneral por el Pleno del ayuntamiento el 3 de noviembre de 2022. Al respecto destacamos que la liquidación del presupuesto debe aprobarse antes del 31 d</w:t>
      </w:r>
      <w:r w:rsidR="007407B6">
        <w:rPr>
          <w:spacing w:val="4"/>
          <w:sz w:val="26"/>
          <w:szCs w:val="24"/>
        </w:rPr>
        <w:t>e marzo de cada ejercicio y la cuenta g</w:t>
      </w:r>
      <w:r>
        <w:rPr>
          <w:spacing w:val="4"/>
          <w:sz w:val="26"/>
          <w:szCs w:val="24"/>
        </w:rPr>
        <w:t xml:space="preserve">eneral con anterioridad al 1 de septiembre. </w:t>
      </w:r>
    </w:p>
    <w:p w14:paraId="107535F7" w14:textId="77777777" w:rsidR="002E248F" w:rsidRDefault="002E248F" w:rsidP="002E248F">
      <w:pPr>
        <w:tabs>
          <w:tab w:val="num" w:pos="600"/>
          <w:tab w:val="num" w:pos="720"/>
          <w:tab w:val="num" w:pos="1320"/>
        </w:tabs>
        <w:spacing w:after="120"/>
        <w:ind w:left="142" w:firstLine="0"/>
        <w:rPr>
          <w:rFonts w:cs="Arial"/>
          <w:i/>
          <w:spacing w:val="6"/>
          <w:sz w:val="26"/>
          <w:szCs w:val="24"/>
        </w:rPr>
      </w:pPr>
      <w:r>
        <w:rPr>
          <w:rFonts w:cs="Arial"/>
          <w:i/>
          <w:spacing w:val="6"/>
          <w:sz w:val="26"/>
          <w:szCs w:val="24"/>
        </w:rPr>
        <w:t>Recomendamos a</w:t>
      </w:r>
      <w:r w:rsidRPr="007B4051">
        <w:rPr>
          <w:rFonts w:cs="Arial"/>
          <w:i/>
          <w:spacing w:val="6"/>
          <w:sz w:val="26"/>
          <w:szCs w:val="24"/>
        </w:rPr>
        <w:t>probar el presupuesto, la liquidación presupuestaria y la cuenta general en los plazos establecidos legalmente.</w:t>
      </w:r>
    </w:p>
    <w:p w14:paraId="7BA40E02" w14:textId="77777777" w:rsidR="00792974" w:rsidRPr="000F1910" w:rsidRDefault="00792974" w:rsidP="00792974">
      <w:pPr>
        <w:tabs>
          <w:tab w:val="center" w:pos="2835"/>
          <w:tab w:val="center" w:pos="3969"/>
          <w:tab w:val="center" w:pos="5103"/>
          <w:tab w:val="center" w:pos="6237"/>
          <w:tab w:val="center" w:pos="7371"/>
        </w:tabs>
        <w:spacing w:after="100"/>
        <w:ind w:firstLine="284"/>
        <w:rPr>
          <w:spacing w:val="4"/>
          <w:sz w:val="26"/>
          <w:szCs w:val="24"/>
        </w:rPr>
      </w:pPr>
      <w:r w:rsidRPr="000F1910">
        <w:rPr>
          <w:spacing w:val="4"/>
          <w:sz w:val="26"/>
          <w:szCs w:val="24"/>
        </w:rPr>
        <w:t>No obstante, y a efectos de contextualizar las diferencias que se analizan en este epígrafe y en otros del informe, hay que tener en cuenta los siguientes hechos:</w:t>
      </w:r>
    </w:p>
    <w:p w14:paraId="5FBA554A" w14:textId="77777777" w:rsidR="00792974" w:rsidRDefault="00792974" w:rsidP="00792974">
      <w:pPr>
        <w:numPr>
          <w:ilvl w:val="0"/>
          <w:numId w:val="2"/>
        </w:numPr>
        <w:tabs>
          <w:tab w:val="clear" w:pos="502"/>
          <w:tab w:val="left" w:pos="480"/>
          <w:tab w:val="num" w:pos="720"/>
          <w:tab w:val="num" w:pos="6597"/>
        </w:tabs>
        <w:ind w:left="0" w:firstLine="289"/>
        <w:rPr>
          <w:spacing w:val="6"/>
          <w:sz w:val="26"/>
          <w:szCs w:val="26"/>
        </w:rPr>
      </w:pPr>
      <w:r w:rsidRPr="00952D3D">
        <w:rPr>
          <w:spacing w:val="6"/>
          <w:sz w:val="26"/>
          <w:szCs w:val="26"/>
        </w:rPr>
        <w:t>La crisis motivada por la COVID-19 dejó en suspenso el cumplimiento de las reglas fiscales de estabilidad, deuda y regla de gasto para los años 2020-2021</w:t>
      </w:r>
      <w:r>
        <w:rPr>
          <w:spacing w:val="6"/>
          <w:sz w:val="26"/>
          <w:szCs w:val="26"/>
        </w:rPr>
        <w:t>, lo que configura el nuevo escenario presupuestario en 2021.</w:t>
      </w:r>
    </w:p>
    <w:p w14:paraId="0A66EDC0" w14:textId="77777777" w:rsidR="00792974" w:rsidRDefault="00792974" w:rsidP="00792974">
      <w:pPr>
        <w:numPr>
          <w:ilvl w:val="0"/>
          <w:numId w:val="2"/>
        </w:numPr>
        <w:tabs>
          <w:tab w:val="clear" w:pos="502"/>
          <w:tab w:val="left" w:pos="480"/>
          <w:tab w:val="num" w:pos="720"/>
          <w:tab w:val="num" w:pos="6597"/>
        </w:tabs>
        <w:ind w:left="0" w:firstLine="289"/>
        <w:rPr>
          <w:spacing w:val="6"/>
          <w:sz w:val="26"/>
          <w:szCs w:val="26"/>
        </w:rPr>
      </w:pPr>
      <w:r>
        <w:rPr>
          <w:spacing w:val="6"/>
          <w:sz w:val="26"/>
          <w:szCs w:val="26"/>
        </w:rPr>
        <w:lastRenderedPageBreak/>
        <w:t xml:space="preserve">El presupuesto del ejercicio 2020 fue un presupuesto prorrogado, situación que se mantuvo durante todo el ejercicio. </w:t>
      </w:r>
    </w:p>
    <w:p w14:paraId="29BB8783" w14:textId="77777777" w:rsidR="00807992" w:rsidRPr="00737E93" w:rsidRDefault="00807992" w:rsidP="00807992">
      <w:pPr>
        <w:tabs>
          <w:tab w:val="center" w:pos="2835"/>
          <w:tab w:val="center" w:pos="3969"/>
          <w:tab w:val="center" w:pos="5103"/>
          <w:tab w:val="center" w:pos="6237"/>
          <w:tab w:val="center" w:pos="7371"/>
        </w:tabs>
        <w:spacing w:after="100"/>
        <w:ind w:firstLine="284"/>
        <w:rPr>
          <w:spacing w:val="4"/>
          <w:sz w:val="26"/>
          <w:szCs w:val="24"/>
        </w:rPr>
      </w:pPr>
      <w:r w:rsidRPr="00667DFF">
        <w:rPr>
          <w:spacing w:val="4"/>
          <w:sz w:val="26"/>
          <w:szCs w:val="24"/>
        </w:rPr>
        <w:t>En 20</w:t>
      </w:r>
      <w:r>
        <w:rPr>
          <w:spacing w:val="4"/>
          <w:sz w:val="26"/>
          <w:szCs w:val="24"/>
        </w:rPr>
        <w:t>21 los gastos alcanzaron 255</w:t>
      </w:r>
      <w:r w:rsidRPr="00667DFF">
        <w:rPr>
          <w:spacing w:val="4"/>
          <w:sz w:val="26"/>
          <w:szCs w:val="24"/>
        </w:rPr>
        <w:t>,</w:t>
      </w:r>
      <w:r>
        <w:rPr>
          <w:spacing w:val="4"/>
          <w:sz w:val="26"/>
          <w:szCs w:val="24"/>
        </w:rPr>
        <w:t>11</w:t>
      </w:r>
      <w:r w:rsidRPr="00667DFF">
        <w:rPr>
          <w:spacing w:val="4"/>
          <w:sz w:val="26"/>
          <w:szCs w:val="24"/>
        </w:rPr>
        <w:t xml:space="preserve"> millones con un grado de ejecución del </w:t>
      </w:r>
      <w:r w:rsidRPr="00737E93">
        <w:rPr>
          <w:spacing w:val="4"/>
          <w:sz w:val="26"/>
          <w:szCs w:val="24"/>
        </w:rPr>
        <w:t>91 por ciento. Dichos gastos fueron un 21 por ciento superiores a los de 2020.</w:t>
      </w:r>
    </w:p>
    <w:p w14:paraId="1A4A7F3D" w14:textId="77777777" w:rsidR="00807992" w:rsidRDefault="00807992" w:rsidP="00807992">
      <w:pPr>
        <w:tabs>
          <w:tab w:val="center" w:pos="2835"/>
          <w:tab w:val="center" w:pos="3969"/>
          <w:tab w:val="center" w:pos="5103"/>
          <w:tab w:val="center" w:pos="6237"/>
          <w:tab w:val="center" w:pos="7371"/>
        </w:tabs>
        <w:spacing w:after="100"/>
        <w:ind w:firstLine="284"/>
        <w:rPr>
          <w:spacing w:val="4"/>
          <w:sz w:val="26"/>
          <w:szCs w:val="24"/>
        </w:rPr>
      </w:pPr>
      <w:r w:rsidRPr="00737E93">
        <w:rPr>
          <w:spacing w:val="4"/>
          <w:sz w:val="26"/>
          <w:szCs w:val="24"/>
        </w:rPr>
        <w:t xml:space="preserve">En cuanto a los ingresos, en 2021 se reconocieron derechos por 241,66 millones con un grado de ejecución del 86 por ciento. Con respecto al ejercicio </w:t>
      </w:r>
      <w:r>
        <w:rPr>
          <w:spacing w:val="4"/>
          <w:sz w:val="26"/>
          <w:szCs w:val="24"/>
        </w:rPr>
        <w:t>anterior</w:t>
      </w:r>
      <w:r w:rsidRPr="00737E93">
        <w:rPr>
          <w:spacing w:val="4"/>
          <w:sz w:val="26"/>
          <w:szCs w:val="24"/>
        </w:rPr>
        <w:t>, los ingresos han aumentado en un siete por ciento.</w:t>
      </w:r>
    </w:p>
    <w:p w14:paraId="3700080D" w14:textId="77777777" w:rsidR="00807992" w:rsidRDefault="00807992" w:rsidP="00807992">
      <w:pPr>
        <w:tabs>
          <w:tab w:val="center" w:pos="2835"/>
          <w:tab w:val="center" w:pos="3969"/>
          <w:tab w:val="center" w:pos="5103"/>
          <w:tab w:val="center" w:pos="6237"/>
          <w:tab w:val="center" w:pos="7371"/>
        </w:tabs>
        <w:spacing w:after="180"/>
        <w:ind w:firstLine="284"/>
        <w:rPr>
          <w:spacing w:val="4"/>
          <w:sz w:val="26"/>
          <w:szCs w:val="24"/>
        </w:rPr>
      </w:pPr>
      <w:r w:rsidRPr="00667DFF">
        <w:rPr>
          <w:spacing w:val="4"/>
          <w:sz w:val="26"/>
          <w:szCs w:val="24"/>
        </w:rPr>
        <w:t>En el siguiente cuadro se muestra el destino y financiación, en porcentaje, de los</w:t>
      </w:r>
      <w:r>
        <w:rPr>
          <w:spacing w:val="4"/>
          <w:sz w:val="26"/>
          <w:szCs w:val="24"/>
        </w:rPr>
        <w:t xml:space="preserve"> gastos del ayuntamiento y OOAA y su comparativa con el ejercicio anterior:</w:t>
      </w:r>
    </w:p>
    <w:tbl>
      <w:tblPr>
        <w:tblW w:w="9072" w:type="dxa"/>
        <w:jc w:val="center"/>
        <w:tblCellMar>
          <w:left w:w="70" w:type="dxa"/>
          <w:right w:w="70" w:type="dxa"/>
        </w:tblCellMar>
        <w:tblLook w:val="04A0" w:firstRow="1" w:lastRow="0" w:firstColumn="1" w:lastColumn="0" w:noHBand="0" w:noVBand="1"/>
      </w:tblPr>
      <w:tblGrid>
        <w:gridCol w:w="2479"/>
        <w:gridCol w:w="1016"/>
        <w:gridCol w:w="566"/>
        <w:gridCol w:w="3765"/>
        <w:gridCol w:w="705"/>
        <w:gridCol w:w="541"/>
      </w:tblGrid>
      <w:tr w:rsidR="00807992" w:rsidRPr="00667DFF" w14:paraId="0ED8F1E2" w14:textId="77777777" w:rsidTr="00317422">
        <w:trPr>
          <w:trHeight w:val="255"/>
          <w:jc w:val="center"/>
        </w:trPr>
        <w:tc>
          <w:tcPr>
            <w:tcW w:w="2479" w:type="dxa"/>
            <w:tcBorders>
              <w:top w:val="single" w:sz="4" w:space="0" w:color="auto"/>
              <w:left w:val="nil"/>
              <w:bottom w:val="single" w:sz="4" w:space="0" w:color="auto"/>
              <w:right w:val="nil"/>
            </w:tcBorders>
            <w:shd w:val="clear" w:color="auto" w:fill="FABF8F" w:themeFill="accent6" w:themeFillTint="99"/>
            <w:vAlign w:val="center"/>
            <w:hideMark/>
          </w:tcPr>
          <w:p w14:paraId="174199BD" w14:textId="77777777" w:rsidR="00807992" w:rsidRPr="00667DFF" w:rsidRDefault="00807992" w:rsidP="00807992">
            <w:pPr>
              <w:spacing w:after="0"/>
              <w:ind w:firstLine="0"/>
              <w:jc w:val="left"/>
              <w:rPr>
                <w:rFonts w:ascii="Arial" w:hAnsi="Arial" w:cs="Arial"/>
                <w:sz w:val="18"/>
                <w:szCs w:val="18"/>
                <w:lang w:val="es-ES" w:eastAsia="es-ES"/>
              </w:rPr>
            </w:pPr>
            <w:r w:rsidRPr="00667DFF">
              <w:rPr>
                <w:rFonts w:ascii="Arial" w:hAnsi="Arial" w:cs="Arial"/>
                <w:sz w:val="18"/>
                <w:szCs w:val="18"/>
                <w:lang w:eastAsia="es-ES"/>
              </w:rPr>
              <w:t>Naturaleza del gasto</w:t>
            </w:r>
          </w:p>
        </w:tc>
        <w:tc>
          <w:tcPr>
            <w:tcW w:w="1016" w:type="dxa"/>
            <w:tcBorders>
              <w:top w:val="single" w:sz="4" w:space="0" w:color="auto"/>
              <w:left w:val="nil"/>
              <w:bottom w:val="single" w:sz="4" w:space="0" w:color="auto"/>
              <w:right w:val="nil"/>
            </w:tcBorders>
            <w:shd w:val="clear" w:color="auto" w:fill="FABF8F" w:themeFill="accent6" w:themeFillTint="99"/>
            <w:vAlign w:val="center"/>
          </w:tcPr>
          <w:p w14:paraId="4AB3B848" w14:textId="77777777" w:rsidR="00807992" w:rsidRDefault="00807992" w:rsidP="00F60014">
            <w:pPr>
              <w:spacing w:after="0"/>
              <w:ind w:firstLine="0"/>
              <w:jc w:val="right"/>
              <w:rPr>
                <w:rFonts w:ascii="Arial" w:hAnsi="Arial" w:cs="Arial"/>
                <w:sz w:val="18"/>
                <w:szCs w:val="18"/>
                <w:lang w:eastAsia="es-ES"/>
              </w:rPr>
            </w:pPr>
            <w:r>
              <w:rPr>
                <w:rFonts w:ascii="Arial" w:hAnsi="Arial" w:cs="Arial"/>
                <w:sz w:val="18"/>
                <w:szCs w:val="18"/>
                <w:lang w:eastAsia="es-ES"/>
              </w:rPr>
              <w:t>%</w:t>
            </w:r>
          </w:p>
          <w:p w14:paraId="6BB18D14" w14:textId="77777777" w:rsidR="00807992" w:rsidRPr="00667DFF" w:rsidRDefault="00807992" w:rsidP="00F60014">
            <w:pPr>
              <w:spacing w:after="0"/>
              <w:ind w:firstLine="0"/>
              <w:jc w:val="right"/>
              <w:rPr>
                <w:rFonts w:ascii="Arial" w:hAnsi="Arial" w:cs="Arial"/>
                <w:sz w:val="18"/>
                <w:szCs w:val="18"/>
                <w:lang w:val="es-ES" w:eastAsia="es-ES"/>
              </w:rPr>
            </w:pPr>
            <w:r>
              <w:rPr>
                <w:rFonts w:ascii="Arial" w:hAnsi="Arial" w:cs="Arial"/>
                <w:sz w:val="18"/>
                <w:szCs w:val="18"/>
                <w:lang w:eastAsia="es-ES"/>
              </w:rPr>
              <w:t>2020</w:t>
            </w:r>
          </w:p>
        </w:tc>
        <w:tc>
          <w:tcPr>
            <w:tcW w:w="566" w:type="dxa"/>
            <w:tcBorders>
              <w:top w:val="single" w:sz="4" w:space="0" w:color="auto"/>
              <w:left w:val="nil"/>
              <w:bottom w:val="single" w:sz="4" w:space="0" w:color="auto"/>
            </w:tcBorders>
            <w:shd w:val="clear" w:color="auto" w:fill="FABF8F" w:themeFill="accent6" w:themeFillTint="99"/>
            <w:vAlign w:val="center"/>
            <w:hideMark/>
          </w:tcPr>
          <w:p w14:paraId="157E19D3" w14:textId="77777777" w:rsidR="00807992" w:rsidRDefault="00807992" w:rsidP="00807992">
            <w:pPr>
              <w:spacing w:after="0"/>
              <w:ind w:firstLine="0"/>
              <w:jc w:val="center"/>
              <w:rPr>
                <w:rFonts w:ascii="Arial" w:hAnsi="Arial" w:cs="Arial"/>
                <w:sz w:val="18"/>
                <w:szCs w:val="18"/>
                <w:lang w:eastAsia="es-ES"/>
              </w:rPr>
            </w:pPr>
            <w:r>
              <w:rPr>
                <w:rFonts w:ascii="Arial" w:hAnsi="Arial" w:cs="Arial"/>
                <w:sz w:val="18"/>
                <w:szCs w:val="18"/>
                <w:lang w:eastAsia="es-ES"/>
              </w:rPr>
              <w:t>%</w:t>
            </w:r>
          </w:p>
          <w:p w14:paraId="21B17A50" w14:textId="77777777" w:rsidR="00807992" w:rsidRPr="00667DFF" w:rsidRDefault="00807992" w:rsidP="00807992">
            <w:pPr>
              <w:spacing w:after="0"/>
              <w:ind w:firstLine="0"/>
              <w:jc w:val="center"/>
              <w:rPr>
                <w:rFonts w:ascii="Arial" w:hAnsi="Arial" w:cs="Arial"/>
                <w:sz w:val="18"/>
                <w:szCs w:val="18"/>
                <w:lang w:val="es-ES" w:eastAsia="es-ES"/>
              </w:rPr>
            </w:pPr>
            <w:r>
              <w:rPr>
                <w:rFonts w:ascii="Arial" w:hAnsi="Arial" w:cs="Arial"/>
                <w:sz w:val="18"/>
                <w:szCs w:val="18"/>
                <w:lang w:eastAsia="es-ES"/>
              </w:rPr>
              <w:t>2021</w:t>
            </w:r>
          </w:p>
        </w:tc>
        <w:tc>
          <w:tcPr>
            <w:tcW w:w="3765" w:type="dxa"/>
            <w:tcBorders>
              <w:top w:val="single" w:sz="4" w:space="0" w:color="auto"/>
              <w:left w:val="nil"/>
              <w:bottom w:val="single" w:sz="4" w:space="0" w:color="auto"/>
              <w:right w:val="nil"/>
            </w:tcBorders>
            <w:shd w:val="clear" w:color="auto" w:fill="FABF8F" w:themeFill="accent6" w:themeFillTint="99"/>
            <w:vAlign w:val="center"/>
            <w:hideMark/>
          </w:tcPr>
          <w:p w14:paraId="30AE0D8E" w14:textId="77777777" w:rsidR="00807992" w:rsidRPr="00667DFF" w:rsidRDefault="00807992" w:rsidP="00807992">
            <w:pPr>
              <w:spacing w:after="0"/>
              <w:ind w:firstLineChars="100" w:firstLine="180"/>
              <w:jc w:val="left"/>
              <w:rPr>
                <w:rFonts w:ascii="Arial" w:hAnsi="Arial" w:cs="Arial"/>
                <w:sz w:val="18"/>
                <w:szCs w:val="18"/>
                <w:lang w:val="es-ES" w:eastAsia="es-ES"/>
              </w:rPr>
            </w:pPr>
            <w:r w:rsidRPr="00667DFF">
              <w:rPr>
                <w:rFonts w:ascii="Arial" w:hAnsi="Arial" w:cs="Arial"/>
                <w:sz w:val="18"/>
                <w:szCs w:val="18"/>
                <w:lang w:eastAsia="es-ES"/>
              </w:rPr>
              <w:t>Fuente de financiación</w:t>
            </w:r>
          </w:p>
        </w:tc>
        <w:tc>
          <w:tcPr>
            <w:tcW w:w="705" w:type="dxa"/>
            <w:tcBorders>
              <w:top w:val="single" w:sz="4" w:space="0" w:color="auto"/>
              <w:left w:val="nil"/>
              <w:bottom w:val="single" w:sz="4" w:space="0" w:color="auto"/>
              <w:right w:val="nil"/>
            </w:tcBorders>
            <w:shd w:val="clear" w:color="auto" w:fill="FABF8F" w:themeFill="accent6" w:themeFillTint="99"/>
            <w:vAlign w:val="center"/>
          </w:tcPr>
          <w:p w14:paraId="204AC6CC" w14:textId="77777777" w:rsidR="00807992" w:rsidRDefault="00807992" w:rsidP="00F60014">
            <w:pPr>
              <w:spacing w:after="0"/>
              <w:ind w:firstLine="0"/>
              <w:jc w:val="right"/>
              <w:rPr>
                <w:rFonts w:ascii="Arial" w:hAnsi="Arial" w:cs="Arial"/>
                <w:sz w:val="18"/>
                <w:szCs w:val="18"/>
                <w:lang w:eastAsia="es-ES"/>
              </w:rPr>
            </w:pPr>
            <w:r>
              <w:rPr>
                <w:rFonts w:ascii="Arial" w:hAnsi="Arial" w:cs="Arial"/>
                <w:sz w:val="18"/>
                <w:szCs w:val="18"/>
                <w:lang w:eastAsia="es-ES"/>
              </w:rPr>
              <w:t>%</w:t>
            </w:r>
          </w:p>
          <w:p w14:paraId="6FB93B26" w14:textId="77777777" w:rsidR="00807992" w:rsidRPr="00667DFF" w:rsidRDefault="00807992" w:rsidP="00F60014">
            <w:pPr>
              <w:spacing w:after="0"/>
              <w:ind w:firstLine="0"/>
              <w:jc w:val="right"/>
              <w:rPr>
                <w:rFonts w:ascii="Arial" w:hAnsi="Arial" w:cs="Arial"/>
                <w:sz w:val="18"/>
                <w:szCs w:val="18"/>
                <w:lang w:val="es-ES" w:eastAsia="es-ES"/>
              </w:rPr>
            </w:pPr>
            <w:r>
              <w:rPr>
                <w:rFonts w:ascii="Arial" w:hAnsi="Arial" w:cs="Arial"/>
                <w:sz w:val="18"/>
                <w:szCs w:val="18"/>
                <w:lang w:eastAsia="es-ES"/>
              </w:rPr>
              <w:t>2020</w:t>
            </w:r>
          </w:p>
        </w:tc>
        <w:tc>
          <w:tcPr>
            <w:tcW w:w="541" w:type="dxa"/>
            <w:tcBorders>
              <w:top w:val="single" w:sz="4" w:space="0" w:color="auto"/>
              <w:left w:val="nil"/>
              <w:bottom w:val="single" w:sz="4" w:space="0" w:color="auto"/>
              <w:right w:val="nil"/>
            </w:tcBorders>
            <w:shd w:val="clear" w:color="auto" w:fill="FABF8F" w:themeFill="accent6" w:themeFillTint="99"/>
            <w:vAlign w:val="center"/>
          </w:tcPr>
          <w:p w14:paraId="301F261A" w14:textId="77777777" w:rsidR="00807992" w:rsidRDefault="00807992" w:rsidP="00F60014">
            <w:pPr>
              <w:spacing w:after="0"/>
              <w:ind w:firstLine="0"/>
              <w:jc w:val="right"/>
              <w:rPr>
                <w:rFonts w:ascii="Arial" w:hAnsi="Arial" w:cs="Arial"/>
                <w:sz w:val="18"/>
                <w:szCs w:val="18"/>
                <w:lang w:eastAsia="es-ES"/>
              </w:rPr>
            </w:pPr>
            <w:r>
              <w:rPr>
                <w:rFonts w:ascii="Arial" w:hAnsi="Arial" w:cs="Arial"/>
                <w:sz w:val="18"/>
                <w:szCs w:val="18"/>
                <w:lang w:eastAsia="es-ES"/>
              </w:rPr>
              <w:t>%</w:t>
            </w:r>
          </w:p>
          <w:p w14:paraId="360592AE" w14:textId="77777777" w:rsidR="00807992" w:rsidRPr="00667DFF" w:rsidRDefault="00807992" w:rsidP="00F60014">
            <w:pPr>
              <w:spacing w:after="0"/>
              <w:ind w:firstLine="0"/>
              <w:jc w:val="right"/>
              <w:rPr>
                <w:rFonts w:ascii="Arial" w:hAnsi="Arial" w:cs="Arial"/>
                <w:sz w:val="18"/>
                <w:szCs w:val="18"/>
                <w:lang w:val="es-ES" w:eastAsia="es-ES"/>
              </w:rPr>
            </w:pPr>
            <w:r>
              <w:rPr>
                <w:rFonts w:ascii="Arial" w:hAnsi="Arial" w:cs="Arial"/>
                <w:sz w:val="18"/>
                <w:szCs w:val="18"/>
                <w:lang w:eastAsia="es-ES"/>
              </w:rPr>
              <w:t>2021</w:t>
            </w:r>
          </w:p>
        </w:tc>
      </w:tr>
      <w:tr w:rsidR="00807992" w:rsidRPr="00667DFF" w14:paraId="42CCAC8F" w14:textId="77777777" w:rsidTr="00D25103">
        <w:trPr>
          <w:trHeight w:val="198"/>
          <w:jc w:val="center"/>
        </w:trPr>
        <w:tc>
          <w:tcPr>
            <w:tcW w:w="2479" w:type="dxa"/>
            <w:tcBorders>
              <w:top w:val="single" w:sz="4" w:space="0" w:color="auto"/>
              <w:left w:val="nil"/>
              <w:bottom w:val="single" w:sz="2" w:space="0" w:color="auto"/>
            </w:tcBorders>
            <w:shd w:val="clear" w:color="auto" w:fill="auto"/>
            <w:vAlign w:val="center"/>
            <w:hideMark/>
          </w:tcPr>
          <w:p w14:paraId="33C42852" w14:textId="77777777" w:rsidR="00807992" w:rsidRPr="00667DFF" w:rsidRDefault="00807992" w:rsidP="00807992">
            <w:pPr>
              <w:spacing w:after="0"/>
              <w:ind w:firstLine="0"/>
              <w:jc w:val="left"/>
              <w:rPr>
                <w:rFonts w:ascii="Arial Narrow" w:hAnsi="Arial Narrow"/>
                <w:lang w:val="es-ES" w:eastAsia="es-ES"/>
              </w:rPr>
            </w:pPr>
            <w:r w:rsidRPr="00667DFF">
              <w:rPr>
                <w:rFonts w:ascii="Arial Narrow" w:hAnsi="Arial Narrow"/>
                <w:lang w:eastAsia="es-ES"/>
              </w:rPr>
              <w:t>Personal</w:t>
            </w:r>
          </w:p>
        </w:tc>
        <w:tc>
          <w:tcPr>
            <w:tcW w:w="1016" w:type="dxa"/>
            <w:tcBorders>
              <w:top w:val="single" w:sz="4" w:space="0" w:color="auto"/>
              <w:bottom w:val="single" w:sz="2" w:space="0" w:color="auto"/>
            </w:tcBorders>
            <w:vAlign w:val="center"/>
          </w:tcPr>
          <w:p w14:paraId="074B94A1"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50</w:t>
            </w:r>
          </w:p>
        </w:tc>
        <w:tc>
          <w:tcPr>
            <w:tcW w:w="566" w:type="dxa"/>
            <w:tcBorders>
              <w:top w:val="single" w:sz="4" w:space="0" w:color="auto"/>
              <w:bottom w:val="single" w:sz="2" w:space="0" w:color="auto"/>
            </w:tcBorders>
            <w:shd w:val="clear" w:color="auto" w:fill="auto"/>
            <w:vAlign w:val="center"/>
          </w:tcPr>
          <w:p w14:paraId="799198DC"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41</w:t>
            </w:r>
          </w:p>
        </w:tc>
        <w:tc>
          <w:tcPr>
            <w:tcW w:w="3765" w:type="dxa"/>
            <w:tcBorders>
              <w:top w:val="single" w:sz="4" w:space="0" w:color="auto"/>
              <w:bottom w:val="single" w:sz="2" w:space="0" w:color="auto"/>
            </w:tcBorders>
            <w:shd w:val="clear" w:color="auto" w:fill="auto"/>
            <w:vAlign w:val="center"/>
            <w:hideMark/>
          </w:tcPr>
          <w:p w14:paraId="61A22ED9" w14:textId="77777777" w:rsidR="00807992" w:rsidRPr="00667DFF" w:rsidRDefault="00807992" w:rsidP="00807992">
            <w:pPr>
              <w:spacing w:after="0"/>
              <w:ind w:firstLineChars="80" w:firstLine="160"/>
              <w:jc w:val="left"/>
              <w:rPr>
                <w:rFonts w:ascii="Arial Narrow" w:hAnsi="Arial Narrow"/>
                <w:lang w:val="es-ES" w:eastAsia="es-ES"/>
              </w:rPr>
            </w:pPr>
            <w:r w:rsidRPr="00667DFF">
              <w:rPr>
                <w:rFonts w:ascii="Arial Narrow" w:hAnsi="Arial Narrow"/>
                <w:lang w:eastAsia="es-ES"/>
              </w:rPr>
              <w:t>Ingresos tributarios</w:t>
            </w:r>
          </w:p>
        </w:tc>
        <w:tc>
          <w:tcPr>
            <w:tcW w:w="705" w:type="dxa"/>
            <w:tcBorders>
              <w:top w:val="single" w:sz="4" w:space="0" w:color="auto"/>
              <w:bottom w:val="single" w:sz="2" w:space="0" w:color="auto"/>
            </w:tcBorders>
            <w:vAlign w:val="center"/>
          </w:tcPr>
          <w:p w14:paraId="25EC2FA6"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37</w:t>
            </w:r>
          </w:p>
        </w:tc>
        <w:tc>
          <w:tcPr>
            <w:tcW w:w="541" w:type="dxa"/>
            <w:tcBorders>
              <w:top w:val="single" w:sz="4" w:space="0" w:color="auto"/>
              <w:bottom w:val="single" w:sz="2" w:space="0" w:color="auto"/>
              <w:right w:val="nil"/>
            </w:tcBorders>
            <w:vAlign w:val="center"/>
          </w:tcPr>
          <w:p w14:paraId="70ECAD99"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39</w:t>
            </w:r>
          </w:p>
        </w:tc>
      </w:tr>
      <w:tr w:rsidR="00807992" w:rsidRPr="00667DFF" w14:paraId="7A872829" w14:textId="77777777" w:rsidTr="00011983">
        <w:trPr>
          <w:trHeight w:val="198"/>
          <w:jc w:val="center"/>
        </w:trPr>
        <w:tc>
          <w:tcPr>
            <w:tcW w:w="2479" w:type="dxa"/>
            <w:tcBorders>
              <w:top w:val="single" w:sz="2" w:space="0" w:color="auto"/>
              <w:left w:val="nil"/>
              <w:bottom w:val="single" w:sz="2" w:space="0" w:color="auto"/>
            </w:tcBorders>
            <w:shd w:val="clear" w:color="auto" w:fill="auto"/>
            <w:vAlign w:val="center"/>
            <w:hideMark/>
          </w:tcPr>
          <w:p w14:paraId="4104CC08" w14:textId="77777777" w:rsidR="00807992" w:rsidRPr="00667DFF" w:rsidRDefault="00807992" w:rsidP="00807992">
            <w:pPr>
              <w:spacing w:after="0"/>
              <w:ind w:firstLine="0"/>
              <w:jc w:val="left"/>
              <w:rPr>
                <w:rFonts w:ascii="Arial Narrow" w:hAnsi="Arial Narrow"/>
                <w:lang w:val="es-ES" w:eastAsia="es-ES"/>
              </w:rPr>
            </w:pPr>
            <w:r>
              <w:rPr>
                <w:rFonts w:ascii="Arial Narrow" w:hAnsi="Arial Narrow"/>
                <w:lang w:eastAsia="es-ES"/>
              </w:rPr>
              <w:t>Bienes corrientes y servicios</w:t>
            </w:r>
          </w:p>
        </w:tc>
        <w:tc>
          <w:tcPr>
            <w:tcW w:w="1016" w:type="dxa"/>
            <w:tcBorders>
              <w:top w:val="single" w:sz="2" w:space="0" w:color="auto"/>
              <w:bottom w:val="single" w:sz="2" w:space="0" w:color="auto"/>
            </w:tcBorders>
            <w:vAlign w:val="center"/>
          </w:tcPr>
          <w:p w14:paraId="70141FD4"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33</w:t>
            </w:r>
          </w:p>
        </w:tc>
        <w:tc>
          <w:tcPr>
            <w:tcW w:w="566" w:type="dxa"/>
            <w:tcBorders>
              <w:top w:val="single" w:sz="2" w:space="0" w:color="auto"/>
              <w:bottom w:val="single" w:sz="2" w:space="0" w:color="auto"/>
            </w:tcBorders>
            <w:shd w:val="clear" w:color="auto" w:fill="auto"/>
            <w:vAlign w:val="center"/>
          </w:tcPr>
          <w:p w14:paraId="4F15E873"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29</w:t>
            </w:r>
          </w:p>
        </w:tc>
        <w:tc>
          <w:tcPr>
            <w:tcW w:w="3765" w:type="dxa"/>
            <w:tcBorders>
              <w:top w:val="single" w:sz="2" w:space="0" w:color="auto"/>
              <w:bottom w:val="single" w:sz="2" w:space="0" w:color="auto"/>
            </w:tcBorders>
            <w:shd w:val="clear" w:color="auto" w:fill="auto"/>
            <w:vAlign w:val="center"/>
            <w:hideMark/>
          </w:tcPr>
          <w:p w14:paraId="168354ED" w14:textId="77777777" w:rsidR="00807992" w:rsidRPr="00667DFF" w:rsidRDefault="00807992" w:rsidP="00807992">
            <w:pPr>
              <w:spacing w:after="0"/>
              <w:ind w:firstLineChars="80" w:firstLine="160"/>
              <w:jc w:val="left"/>
              <w:rPr>
                <w:rFonts w:ascii="Arial Narrow" w:hAnsi="Arial Narrow"/>
                <w:lang w:val="es-ES" w:eastAsia="es-ES"/>
              </w:rPr>
            </w:pPr>
            <w:r w:rsidRPr="00667DFF">
              <w:rPr>
                <w:rFonts w:ascii="Arial Narrow" w:hAnsi="Arial Narrow"/>
                <w:lang w:eastAsia="es-ES"/>
              </w:rPr>
              <w:t>Transferencias</w:t>
            </w:r>
          </w:p>
        </w:tc>
        <w:tc>
          <w:tcPr>
            <w:tcW w:w="705" w:type="dxa"/>
            <w:tcBorders>
              <w:top w:val="single" w:sz="2" w:space="0" w:color="auto"/>
              <w:bottom w:val="single" w:sz="2" w:space="0" w:color="auto"/>
            </w:tcBorders>
            <w:vAlign w:val="center"/>
          </w:tcPr>
          <w:p w14:paraId="475DD712"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54</w:t>
            </w:r>
          </w:p>
        </w:tc>
        <w:tc>
          <w:tcPr>
            <w:tcW w:w="541" w:type="dxa"/>
            <w:tcBorders>
              <w:top w:val="single" w:sz="2" w:space="0" w:color="auto"/>
              <w:bottom w:val="single" w:sz="2" w:space="0" w:color="auto"/>
              <w:right w:val="nil"/>
            </w:tcBorders>
            <w:vAlign w:val="center"/>
          </w:tcPr>
          <w:p w14:paraId="7610B89C"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51</w:t>
            </w:r>
          </w:p>
        </w:tc>
      </w:tr>
      <w:tr w:rsidR="00807992" w:rsidRPr="00667DFF" w14:paraId="575398D6" w14:textId="77777777" w:rsidTr="00011983">
        <w:trPr>
          <w:trHeight w:val="198"/>
          <w:jc w:val="center"/>
        </w:trPr>
        <w:tc>
          <w:tcPr>
            <w:tcW w:w="2479" w:type="dxa"/>
            <w:tcBorders>
              <w:top w:val="single" w:sz="2" w:space="0" w:color="auto"/>
              <w:left w:val="nil"/>
              <w:bottom w:val="single" w:sz="2" w:space="0" w:color="auto"/>
            </w:tcBorders>
            <w:shd w:val="clear" w:color="auto" w:fill="auto"/>
            <w:vAlign w:val="center"/>
            <w:hideMark/>
          </w:tcPr>
          <w:p w14:paraId="2E1CB7E3" w14:textId="77777777" w:rsidR="00807992" w:rsidRPr="00667DFF" w:rsidRDefault="00807992" w:rsidP="00807992">
            <w:pPr>
              <w:spacing w:after="0"/>
              <w:ind w:firstLine="0"/>
              <w:jc w:val="left"/>
              <w:rPr>
                <w:rFonts w:ascii="Arial Narrow" w:hAnsi="Arial Narrow"/>
                <w:lang w:val="es-ES" w:eastAsia="es-ES"/>
              </w:rPr>
            </w:pPr>
            <w:r>
              <w:rPr>
                <w:rFonts w:ascii="Arial Narrow" w:hAnsi="Arial Narrow"/>
                <w:lang w:eastAsia="es-ES"/>
              </w:rPr>
              <w:t>Gastos transferencias</w:t>
            </w:r>
          </w:p>
        </w:tc>
        <w:tc>
          <w:tcPr>
            <w:tcW w:w="1016" w:type="dxa"/>
            <w:tcBorders>
              <w:top w:val="single" w:sz="2" w:space="0" w:color="auto"/>
              <w:bottom w:val="single" w:sz="2" w:space="0" w:color="auto"/>
            </w:tcBorders>
            <w:vAlign w:val="center"/>
          </w:tcPr>
          <w:p w14:paraId="1EC75735"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7</w:t>
            </w:r>
          </w:p>
        </w:tc>
        <w:tc>
          <w:tcPr>
            <w:tcW w:w="566" w:type="dxa"/>
            <w:tcBorders>
              <w:top w:val="single" w:sz="2" w:space="0" w:color="auto"/>
              <w:bottom w:val="single" w:sz="2" w:space="0" w:color="auto"/>
            </w:tcBorders>
            <w:shd w:val="clear" w:color="auto" w:fill="auto"/>
            <w:vAlign w:val="center"/>
          </w:tcPr>
          <w:p w14:paraId="60695AA1"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8</w:t>
            </w:r>
          </w:p>
        </w:tc>
        <w:tc>
          <w:tcPr>
            <w:tcW w:w="3765" w:type="dxa"/>
            <w:tcBorders>
              <w:top w:val="single" w:sz="2" w:space="0" w:color="auto"/>
              <w:bottom w:val="single" w:sz="2" w:space="0" w:color="auto"/>
            </w:tcBorders>
            <w:shd w:val="clear" w:color="auto" w:fill="auto"/>
            <w:vAlign w:val="center"/>
            <w:hideMark/>
          </w:tcPr>
          <w:p w14:paraId="44C6AC2D" w14:textId="77777777" w:rsidR="00807992" w:rsidRPr="00667DFF" w:rsidRDefault="00807992" w:rsidP="00807992">
            <w:pPr>
              <w:spacing w:after="0"/>
              <w:ind w:left="160" w:firstLine="0"/>
              <w:jc w:val="left"/>
              <w:rPr>
                <w:rFonts w:ascii="Arial Narrow" w:hAnsi="Arial Narrow"/>
                <w:lang w:val="es-ES" w:eastAsia="es-ES"/>
              </w:rPr>
            </w:pPr>
            <w:r w:rsidRPr="00667DFF">
              <w:rPr>
                <w:rFonts w:ascii="Arial Narrow" w:hAnsi="Arial Narrow"/>
                <w:lang w:eastAsia="es-ES"/>
              </w:rPr>
              <w:t>Ingresos patrimoniales y otros ingresos</w:t>
            </w:r>
          </w:p>
        </w:tc>
        <w:tc>
          <w:tcPr>
            <w:tcW w:w="705" w:type="dxa"/>
            <w:tcBorders>
              <w:top w:val="single" w:sz="2" w:space="0" w:color="auto"/>
              <w:bottom w:val="single" w:sz="2" w:space="0" w:color="auto"/>
            </w:tcBorders>
            <w:vAlign w:val="center"/>
          </w:tcPr>
          <w:p w14:paraId="14C82473"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9</w:t>
            </w:r>
          </w:p>
        </w:tc>
        <w:tc>
          <w:tcPr>
            <w:tcW w:w="541" w:type="dxa"/>
            <w:tcBorders>
              <w:top w:val="single" w:sz="2" w:space="0" w:color="auto"/>
              <w:bottom w:val="single" w:sz="2" w:space="0" w:color="auto"/>
              <w:right w:val="nil"/>
            </w:tcBorders>
            <w:vAlign w:val="center"/>
          </w:tcPr>
          <w:p w14:paraId="5D2B0B0B"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10</w:t>
            </w:r>
          </w:p>
        </w:tc>
      </w:tr>
      <w:tr w:rsidR="00807992" w:rsidRPr="00667DFF" w14:paraId="372D0347" w14:textId="77777777" w:rsidTr="00011983">
        <w:trPr>
          <w:trHeight w:val="198"/>
          <w:jc w:val="center"/>
        </w:trPr>
        <w:tc>
          <w:tcPr>
            <w:tcW w:w="2479" w:type="dxa"/>
            <w:tcBorders>
              <w:top w:val="single" w:sz="2" w:space="0" w:color="auto"/>
              <w:left w:val="nil"/>
              <w:bottom w:val="single" w:sz="2" w:space="0" w:color="auto"/>
            </w:tcBorders>
            <w:shd w:val="clear" w:color="auto" w:fill="auto"/>
            <w:vAlign w:val="center"/>
          </w:tcPr>
          <w:p w14:paraId="3D1B1C8A" w14:textId="77777777" w:rsidR="00807992" w:rsidRPr="00667DFF" w:rsidRDefault="00807992" w:rsidP="00807992">
            <w:pPr>
              <w:spacing w:after="0"/>
              <w:ind w:firstLine="0"/>
              <w:jc w:val="left"/>
              <w:rPr>
                <w:rFonts w:ascii="Arial Narrow" w:hAnsi="Arial Narrow"/>
                <w:lang w:eastAsia="es-ES"/>
              </w:rPr>
            </w:pPr>
            <w:r>
              <w:rPr>
                <w:rFonts w:ascii="Arial Narrow" w:hAnsi="Arial Narrow"/>
                <w:lang w:eastAsia="es-ES"/>
              </w:rPr>
              <w:t>Inversiones reales</w:t>
            </w:r>
          </w:p>
        </w:tc>
        <w:tc>
          <w:tcPr>
            <w:tcW w:w="1016" w:type="dxa"/>
            <w:tcBorders>
              <w:top w:val="single" w:sz="2" w:space="0" w:color="auto"/>
              <w:bottom w:val="single" w:sz="2" w:space="0" w:color="auto"/>
            </w:tcBorders>
            <w:vAlign w:val="center"/>
          </w:tcPr>
          <w:p w14:paraId="5422A8F5"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6</w:t>
            </w:r>
          </w:p>
        </w:tc>
        <w:tc>
          <w:tcPr>
            <w:tcW w:w="566" w:type="dxa"/>
            <w:tcBorders>
              <w:top w:val="single" w:sz="2" w:space="0" w:color="auto"/>
              <w:bottom w:val="single" w:sz="2" w:space="0" w:color="auto"/>
            </w:tcBorders>
            <w:shd w:val="clear" w:color="auto" w:fill="auto"/>
            <w:vAlign w:val="center"/>
          </w:tcPr>
          <w:p w14:paraId="50B89C24"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18</w:t>
            </w:r>
          </w:p>
        </w:tc>
        <w:tc>
          <w:tcPr>
            <w:tcW w:w="3765" w:type="dxa"/>
            <w:tcBorders>
              <w:top w:val="single" w:sz="2" w:space="0" w:color="auto"/>
              <w:bottom w:val="single" w:sz="2" w:space="0" w:color="auto"/>
            </w:tcBorders>
            <w:shd w:val="clear" w:color="auto" w:fill="auto"/>
            <w:vAlign w:val="center"/>
          </w:tcPr>
          <w:p w14:paraId="554AE273" w14:textId="77777777" w:rsidR="00807992" w:rsidRPr="00667DFF" w:rsidRDefault="00807992" w:rsidP="00807992">
            <w:pPr>
              <w:spacing w:after="0"/>
              <w:ind w:left="160" w:firstLine="0"/>
              <w:jc w:val="left"/>
              <w:rPr>
                <w:rFonts w:ascii="Arial Narrow" w:hAnsi="Arial Narrow"/>
                <w:lang w:eastAsia="es-ES"/>
              </w:rPr>
            </w:pPr>
          </w:p>
        </w:tc>
        <w:tc>
          <w:tcPr>
            <w:tcW w:w="705" w:type="dxa"/>
            <w:tcBorders>
              <w:top w:val="single" w:sz="2" w:space="0" w:color="auto"/>
              <w:bottom w:val="single" w:sz="2" w:space="0" w:color="auto"/>
            </w:tcBorders>
            <w:vAlign w:val="center"/>
          </w:tcPr>
          <w:p w14:paraId="34DE39A8" w14:textId="77777777" w:rsidR="00807992" w:rsidRPr="00667DFF" w:rsidRDefault="00807992" w:rsidP="00807992">
            <w:pPr>
              <w:spacing w:after="0"/>
              <w:ind w:firstLine="0"/>
              <w:jc w:val="right"/>
              <w:rPr>
                <w:rFonts w:ascii="Arial Narrow" w:hAnsi="Arial Narrow"/>
                <w:lang w:val="es-ES" w:eastAsia="es-ES"/>
              </w:rPr>
            </w:pPr>
          </w:p>
        </w:tc>
        <w:tc>
          <w:tcPr>
            <w:tcW w:w="541" w:type="dxa"/>
            <w:tcBorders>
              <w:top w:val="single" w:sz="2" w:space="0" w:color="auto"/>
              <w:bottom w:val="single" w:sz="2" w:space="0" w:color="auto"/>
              <w:right w:val="nil"/>
            </w:tcBorders>
            <w:vAlign w:val="center"/>
          </w:tcPr>
          <w:p w14:paraId="4C56C0BD" w14:textId="77777777" w:rsidR="00807992" w:rsidRPr="00667DFF" w:rsidRDefault="00807992" w:rsidP="00807992">
            <w:pPr>
              <w:spacing w:after="0"/>
              <w:ind w:firstLine="0"/>
              <w:jc w:val="right"/>
              <w:rPr>
                <w:rFonts w:ascii="Arial Narrow" w:hAnsi="Arial Narrow"/>
                <w:lang w:val="es-ES" w:eastAsia="es-ES"/>
              </w:rPr>
            </w:pPr>
          </w:p>
        </w:tc>
      </w:tr>
      <w:tr w:rsidR="00807992" w:rsidRPr="00667DFF" w14:paraId="203E2C46" w14:textId="77777777" w:rsidTr="004845DB">
        <w:trPr>
          <w:trHeight w:val="198"/>
          <w:jc w:val="center"/>
        </w:trPr>
        <w:tc>
          <w:tcPr>
            <w:tcW w:w="2479" w:type="dxa"/>
            <w:tcBorders>
              <w:top w:val="single" w:sz="2" w:space="0" w:color="auto"/>
              <w:left w:val="nil"/>
              <w:bottom w:val="single" w:sz="4" w:space="0" w:color="auto"/>
            </w:tcBorders>
            <w:shd w:val="clear" w:color="auto" w:fill="auto"/>
            <w:vAlign w:val="center"/>
            <w:hideMark/>
          </w:tcPr>
          <w:p w14:paraId="54E394DB" w14:textId="77777777" w:rsidR="00807992" w:rsidRPr="00667DFF" w:rsidRDefault="00807992" w:rsidP="00807992">
            <w:pPr>
              <w:spacing w:after="0"/>
              <w:ind w:firstLine="0"/>
              <w:jc w:val="left"/>
              <w:rPr>
                <w:rFonts w:ascii="Arial Narrow" w:hAnsi="Arial Narrow"/>
                <w:lang w:val="es-ES" w:eastAsia="es-ES"/>
              </w:rPr>
            </w:pPr>
            <w:r>
              <w:rPr>
                <w:rFonts w:ascii="Arial Narrow" w:hAnsi="Arial Narrow"/>
                <w:lang w:eastAsia="es-ES"/>
              </w:rPr>
              <w:t>Carga financiera</w:t>
            </w:r>
            <w:r>
              <w:rPr>
                <w:rStyle w:val="Refdenotaalpie"/>
                <w:rFonts w:ascii="Arial Narrow" w:hAnsi="Arial Narrow"/>
                <w:lang w:eastAsia="es-ES"/>
              </w:rPr>
              <w:footnoteReference w:id="4"/>
            </w:r>
          </w:p>
        </w:tc>
        <w:tc>
          <w:tcPr>
            <w:tcW w:w="1016" w:type="dxa"/>
            <w:tcBorders>
              <w:top w:val="single" w:sz="2" w:space="0" w:color="auto"/>
              <w:bottom w:val="single" w:sz="4" w:space="0" w:color="auto"/>
            </w:tcBorders>
            <w:vAlign w:val="center"/>
          </w:tcPr>
          <w:p w14:paraId="39D27C23"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4</w:t>
            </w:r>
          </w:p>
        </w:tc>
        <w:tc>
          <w:tcPr>
            <w:tcW w:w="566" w:type="dxa"/>
            <w:tcBorders>
              <w:top w:val="single" w:sz="2" w:space="0" w:color="auto"/>
              <w:bottom w:val="single" w:sz="4" w:space="0" w:color="auto"/>
            </w:tcBorders>
            <w:shd w:val="clear" w:color="auto" w:fill="auto"/>
            <w:vAlign w:val="center"/>
          </w:tcPr>
          <w:p w14:paraId="5AF117BD"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4</w:t>
            </w:r>
          </w:p>
        </w:tc>
        <w:tc>
          <w:tcPr>
            <w:tcW w:w="3765" w:type="dxa"/>
            <w:tcBorders>
              <w:top w:val="single" w:sz="2" w:space="0" w:color="auto"/>
              <w:bottom w:val="single" w:sz="4" w:space="0" w:color="auto"/>
            </w:tcBorders>
            <w:shd w:val="clear" w:color="auto" w:fill="auto"/>
            <w:vAlign w:val="center"/>
            <w:hideMark/>
          </w:tcPr>
          <w:p w14:paraId="6E28A35F" w14:textId="77777777" w:rsidR="00807992" w:rsidRPr="00667DFF" w:rsidRDefault="00807992" w:rsidP="00807992">
            <w:pPr>
              <w:spacing w:after="0"/>
              <w:ind w:firstLineChars="100" w:firstLine="200"/>
              <w:jc w:val="left"/>
              <w:rPr>
                <w:rFonts w:ascii="Arial Narrow" w:hAnsi="Arial Narrow"/>
                <w:lang w:val="es-ES" w:eastAsia="es-ES"/>
              </w:rPr>
            </w:pPr>
            <w:r w:rsidRPr="00667DFF">
              <w:rPr>
                <w:rFonts w:ascii="Arial Narrow" w:hAnsi="Arial Narrow"/>
                <w:lang w:eastAsia="es-ES"/>
              </w:rPr>
              <w:t> </w:t>
            </w:r>
          </w:p>
        </w:tc>
        <w:tc>
          <w:tcPr>
            <w:tcW w:w="705" w:type="dxa"/>
            <w:tcBorders>
              <w:top w:val="single" w:sz="2" w:space="0" w:color="auto"/>
              <w:bottom w:val="single" w:sz="4" w:space="0" w:color="auto"/>
            </w:tcBorders>
            <w:vAlign w:val="center"/>
          </w:tcPr>
          <w:p w14:paraId="28105B10" w14:textId="77777777" w:rsidR="00807992" w:rsidRPr="00667DFF" w:rsidRDefault="00807992" w:rsidP="00807992">
            <w:pPr>
              <w:spacing w:after="0"/>
              <w:ind w:firstLine="0"/>
              <w:jc w:val="right"/>
              <w:rPr>
                <w:rFonts w:ascii="Arial Narrow" w:hAnsi="Arial Narrow"/>
                <w:lang w:val="es-ES" w:eastAsia="es-ES"/>
              </w:rPr>
            </w:pPr>
          </w:p>
        </w:tc>
        <w:tc>
          <w:tcPr>
            <w:tcW w:w="541" w:type="dxa"/>
            <w:tcBorders>
              <w:top w:val="single" w:sz="2" w:space="0" w:color="auto"/>
              <w:bottom w:val="single" w:sz="4" w:space="0" w:color="auto"/>
              <w:right w:val="nil"/>
            </w:tcBorders>
            <w:vAlign w:val="center"/>
          </w:tcPr>
          <w:p w14:paraId="16824FDA" w14:textId="77777777" w:rsidR="00807992" w:rsidRPr="00667DFF" w:rsidRDefault="00807992" w:rsidP="00807992">
            <w:pPr>
              <w:spacing w:after="0"/>
              <w:ind w:firstLine="0"/>
              <w:jc w:val="right"/>
              <w:rPr>
                <w:rFonts w:ascii="Arial Narrow" w:hAnsi="Arial Narrow"/>
                <w:lang w:val="es-ES" w:eastAsia="es-ES"/>
              </w:rPr>
            </w:pPr>
          </w:p>
        </w:tc>
      </w:tr>
      <w:tr w:rsidR="00807992" w:rsidRPr="00667DFF" w14:paraId="2284D06C" w14:textId="77777777" w:rsidTr="004845DB">
        <w:trPr>
          <w:trHeight w:val="255"/>
          <w:jc w:val="center"/>
        </w:trPr>
        <w:tc>
          <w:tcPr>
            <w:tcW w:w="2479" w:type="dxa"/>
            <w:tcBorders>
              <w:top w:val="single" w:sz="4" w:space="0" w:color="auto"/>
              <w:left w:val="nil"/>
              <w:bottom w:val="single" w:sz="4" w:space="0" w:color="auto"/>
            </w:tcBorders>
            <w:shd w:val="clear" w:color="auto" w:fill="FABF8F" w:themeFill="accent6" w:themeFillTint="99"/>
            <w:vAlign w:val="center"/>
          </w:tcPr>
          <w:p w14:paraId="0C353740" w14:textId="77777777" w:rsidR="00807992" w:rsidRDefault="00807992" w:rsidP="00807992">
            <w:pPr>
              <w:spacing w:after="0"/>
              <w:ind w:firstLine="0"/>
              <w:jc w:val="left"/>
              <w:rPr>
                <w:rFonts w:ascii="Arial Narrow" w:hAnsi="Arial Narrow"/>
                <w:lang w:eastAsia="es-ES"/>
              </w:rPr>
            </w:pPr>
            <w:r>
              <w:rPr>
                <w:rFonts w:ascii="Arial Narrow" w:hAnsi="Arial Narrow"/>
                <w:lang w:eastAsia="es-ES"/>
              </w:rPr>
              <w:t>Total</w:t>
            </w:r>
          </w:p>
        </w:tc>
        <w:tc>
          <w:tcPr>
            <w:tcW w:w="1016" w:type="dxa"/>
            <w:tcBorders>
              <w:top w:val="single" w:sz="4" w:space="0" w:color="auto"/>
              <w:bottom w:val="single" w:sz="4" w:space="0" w:color="auto"/>
            </w:tcBorders>
            <w:shd w:val="clear" w:color="auto" w:fill="FABF8F" w:themeFill="accent6" w:themeFillTint="99"/>
            <w:vAlign w:val="center"/>
          </w:tcPr>
          <w:p w14:paraId="7095401A" w14:textId="77777777" w:rsidR="00807992" w:rsidRDefault="00807992" w:rsidP="00807992">
            <w:pPr>
              <w:spacing w:after="0"/>
              <w:ind w:firstLine="0"/>
              <w:jc w:val="right"/>
              <w:rPr>
                <w:rFonts w:ascii="Arial Narrow" w:hAnsi="Arial Narrow"/>
                <w:lang w:val="es-ES" w:eastAsia="es-ES"/>
              </w:rPr>
            </w:pPr>
            <w:r>
              <w:rPr>
                <w:rFonts w:ascii="Arial Narrow" w:hAnsi="Arial Narrow"/>
                <w:lang w:val="es-ES" w:eastAsia="es-ES"/>
              </w:rPr>
              <w:t>100</w:t>
            </w:r>
          </w:p>
        </w:tc>
        <w:tc>
          <w:tcPr>
            <w:tcW w:w="566" w:type="dxa"/>
            <w:tcBorders>
              <w:top w:val="single" w:sz="4" w:space="0" w:color="auto"/>
              <w:bottom w:val="single" w:sz="4" w:space="0" w:color="auto"/>
            </w:tcBorders>
            <w:shd w:val="clear" w:color="auto" w:fill="FABF8F" w:themeFill="accent6" w:themeFillTint="99"/>
            <w:vAlign w:val="center"/>
          </w:tcPr>
          <w:p w14:paraId="28C92BF1" w14:textId="77777777" w:rsidR="00807992" w:rsidRDefault="00807992" w:rsidP="00807992">
            <w:pPr>
              <w:spacing w:after="0"/>
              <w:ind w:firstLine="0"/>
              <w:jc w:val="right"/>
              <w:rPr>
                <w:rFonts w:ascii="Arial Narrow" w:hAnsi="Arial Narrow"/>
                <w:lang w:val="es-ES" w:eastAsia="es-ES"/>
              </w:rPr>
            </w:pPr>
            <w:r>
              <w:rPr>
                <w:rFonts w:ascii="Arial Narrow" w:hAnsi="Arial Narrow"/>
                <w:lang w:val="es-ES" w:eastAsia="es-ES"/>
              </w:rPr>
              <w:t>100</w:t>
            </w:r>
          </w:p>
        </w:tc>
        <w:tc>
          <w:tcPr>
            <w:tcW w:w="3765" w:type="dxa"/>
            <w:tcBorders>
              <w:top w:val="single" w:sz="4" w:space="0" w:color="auto"/>
              <w:bottom w:val="single" w:sz="4" w:space="0" w:color="auto"/>
            </w:tcBorders>
            <w:shd w:val="clear" w:color="auto" w:fill="FABF8F" w:themeFill="accent6" w:themeFillTint="99"/>
            <w:vAlign w:val="center"/>
          </w:tcPr>
          <w:p w14:paraId="48A79830" w14:textId="77777777" w:rsidR="00807992" w:rsidRPr="00667DFF" w:rsidRDefault="00807992" w:rsidP="00807992">
            <w:pPr>
              <w:spacing w:after="0"/>
              <w:ind w:firstLineChars="100" w:firstLine="200"/>
              <w:jc w:val="left"/>
              <w:rPr>
                <w:rFonts w:ascii="Arial Narrow" w:hAnsi="Arial Narrow"/>
                <w:lang w:eastAsia="es-ES"/>
              </w:rPr>
            </w:pPr>
          </w:p>
        </w:tc>
        <w:tc>
          <w:tcPr>
            <w:tcW w:w="705" w:type="dxa"/>
            <w:tcBorders>
              <w:top w:val="single" w:sz="4" w:space="0" w:color="auto"/>
              <w:bottom w:val="single" w:sz="4" w:space="0" w:color="auto"/>
            </w:tcBorders>
            <w:shd w:val="clear" w:color="auto" w:fill="FABF8F" w:themeFill="accent6" w:themeFillTint="99"/>
            <w:vAlign w:val="center"/>
          </w:tcPr>
          <w:p w14:paraId="608648E5"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100</w:t>
            </w:r>
          </w:p>
        </w:tc>
        <w:tc>
          <w:tcPr>
            <w:tcW w:w="541" w:type="dxa"/>
            <w:tcBorders>
              <w:top w:val="single" w:sz="4" w:space="0" w:color="auto"/>
              <w:bottom w:val="single" w:sz="4" w:space="0" w:color="auto"/>
              <w:right w:val="nil"/>
            </w:tcBorders>
            <w:shd w:val="clear" w:color="auto" w:fill="FABF8F" w:themeFill="accent6" w:themeFillTint="99"/>
            <w:vAlign w:val="center"/>
          </w:tcPr>
          <w:p w14:paraId="1AA762C5" w14:textId="77777777" w:rsidR="00807992" w:rsidRPr="00667DFF" w:rsidRDefault="00807992" w:rsidP="00807992">
            <w:pPr>
              <w:spacing w:after="0"/>
              <w:ind w:firstLine="0"/>
              <w:jc w:val="right"/>
              <w:rPr>
                <w:rFonts w:ascii="Arial Narrow" w:hAnsi="Arial Narrow"/>
                <w:lang w:val="es-ES" w:eastAsia="es-ES"/>
              </w:rPr>
            </w:pPr>
            <w:r>
              <w:rPr>
                <w:rFonts w:ascii="Arial Narrow" w:hAnsi="Arial Narrow"/>
                <w:lang w:val="es-ES" w:eastAsia="es-ES"/>
              </w:rPr>
              <w:t>100</w:t>
            </w:r>
          </w:p>
        </w:tc>
      </w:tr>
    </w:tbl>
    <w:p w14:paraId="5C3C8331" w14:textId="77777777" w:rsidR="00807992" w:rsidRDefault="00807992" w:rsidP="00807992">
      <w:pPr>
        <w:spacing w:before="160" w:after="240"/>
        <w:ind w:firstLine="284"/>
        <w:rPr>
          <w:spacing w:val="6"/>
          <w:sz w:val="26"/>
          <w:szCs w:val="24"/>
        </w:rPr>
      </w:pPr>
      <w:r>
        <w:rPr>
          <w:spacing w:val="6"/>
          <w:sz w:val="26"/>
          <w:szCs w:val="24"/>
        </w:rPr>
        <w:t>La estructura del presupuesto de gastos e ingresos no difiere sustancialmente entre los dos ejercicios, si bien destacamos los aspectos más significativos:</w:t>
      </w:r>
    </w:p>
    <w:p w14:paraId="1881E557" w14:textId="77777777" w:rsidR="00807992" w:rsidRPr="00F20E58" w:rsidRDefault="00F20E58" w:rsidP="00807992">
      <w:pPr>
        <w:numPr>
          <w:ilvl w:val="0"/>
          <w:numId w:val="2"/>
        </w:numPr>
        <w:tabs>
          <w:tab w:val="clear" w:pos="502"/>
          <w:tab w:val="left" w:pos="480"/>
          <w:tab w:val="num" w:pos="720"/>
          <w:tab w:val="num" w:pos="6597"/>
        </w:tabs>
        <w:ind w:left="0" w:firstLine="289"/>
        <w:rPr>
          <w:spacing w:val="6"/>
          <w:sz w:val="26"/>
          <w:szCs w:val="26"/>
        </w:rPr>
      </w:pPr>
      <w:r w:rsidRPr="00F20E58">
        <w:rPr>
          <w:spacing w:val="6"/>
          <w:sz w:val="26"/>
          <w:szCs w:val="26"/>
        </w:rPr>
        <w:t xml:space="preserve">El aumento en 12 puntos porcentuales </w:t>
      </w:r>
      <w:r w:rsidR="00807992" w:rsidRPr="00F20E58">
        <w:rPr>
          <w:spacing w:val="6"/>
          <w:sz w:val="26"/>
          <w:szCs w:val="26"/>
        </w:rPr>
        <w:t xml:space="preserve">de las inversiones </w:t>
      </w:r>
      <w:r w:rsidR="006435CB" w:rsidRPr="00F20E58">
        <w:rPr>
          <w:spacing w:val="6"/>
          <w:sz w:val="26"/>
          <w:szCs w:val="26"/>
        </w:rPr>
        <w:t>como consecuencia de contar con un presu</w:t>
      </w:r>
      <w:r w:rsidRPr="00F20E58">
        <w:rPr>
          <w:spacing w:val="6"/>
          <w:sz w:val="26"/>
          <w:szCs w:val="26"/>
        </w:rPr>
        <w:t>puesto aprobado y no prorrogado.</w:t>
      </w:r>
    </w:p>
    <w:p w14:paraId="4A47FBB8" w14:textId="77777777" w:rsidR="00807992" w:rsidRPr="00275AC4" w:rsidRDefault="00807992" w:rsidP="00807992">
      <w:pPr>
        <w:numPr>
          <w:ilvl w:val="0"/>
          <w:numId w:val="2"/>
        </w:numPr>
        <w:tabs>
          <w:tab w:val="clear" w:pos="502"/>
          <w:tab w:val="left" w:pos="480"/>
          <w:tab w:val="num" w:pos="720"/>
          <w:tab w:val="num" w:pos="6597"/>
        </w:tabs>
        <w:ind w:left="0" w:firstLine="289"/>
        <w:rPr>
          <w:color w:val="000000" w:themeColor="text1"/>
          <w:spacing w:val="6"/>
          <w:sz w:val="26"/>
          <w:szCs w:val="26"/>
        </w:rPr>
      </w:pPr>
      <w:r>
        <w:rPr>
          <w:spacing w:val="6"/>
          <w:sz w:val="26"/>
          <w:szCs w:val="26"/>
        </w:rPr>
        <w:t xml:space="preserve">Este aumento se ve compensado con la disminución en nueve puntos de los gastos de personal y en tres de los gastos corrientes. No obstante, debe indicarse que, aunque en valor absoluto los gastos de personal no difieren sustancialmente de los realizados en el ejercicio 2020, </w:t>
      </w:r>
      <w:r w:rsidR="000023DA">
        <w:rPr>
          <w:spacing w:val="6"/>
          <w:sz w:val="26"/>
          <w:szCs w:val="26"/>
        </w:rPr>
        <w:t xml:space="preserve">su </w:t>
      </w:r>
      <w:r>
        <w:rPr>
          <w:spacing w:val="6"/>
          <w:sz w:val="26"/>
          <w:szCs w:val="26"/>
        </w:rPr>
        <w:t>peso sobre el gasto total realmente disminuye como consecuencia del incremento del presupuesto de gastos en 2021 en un 21 por ciento</w:t>
      </w:r>
      <w:r w:rsidR="000023DA">
        <w:rPr>
          <w:spacing w:val="6"/>
          <w:sz w:val="26"/>
          <w:szCs w:val="26"/>
        </w:rPr>
        <w:t xml:space="preserve">, tal y como señalamos posteriormente. </w:t>
      </w:r>
    </w:p>
    <w:p w14:paraId="469095C3" w14:textId="77777777" w:rsidR="00807992" w:rsidRPr="00315B01" w:rsidRDefault="00807992" w:rsidP="00807992">
      <w:pPr>
        <w:numPr>
          <w:ilvl w:val="0"/>
          <w:numId w:val="2"/>
        </w:numPr>
        <w:tabs>
          <w:tab w:val="clear" w:pos="502"/>
          <w:tab w:val="left" w:pos="480"/>
          <w:tab w:val="num" w:pos="720"/>
          <w:tab w:val="num" w:pos="6597"/>
        </w:tabs>
        <w:spacing w:before="160" w:after="240"/>
        <w:ind w:left="0" w:firstLine="284"/>
        <w:rPr>
          <w:spacing w:val="6"/>
          <w:sz w:val="26"/>
          <w:szCs w:val="24"/>
        </w:rPr>
      </w:pPr>
      <w:r w:rsidRPr="00315B01">
        <w:rPr>
          <w:spacing w:val="6"/>
          <w:sz w:val="26"/>
          <w:szCs w:val="26"/>
        </w:rPr>
        <w:t xml:space="preserve">En cuanto a los ingresos, las transferencias </w:t>
      </w:r>
      <w:r>
        <w:rPr>
          <w:spacing w:val="6"/>
          <w:sz w:val="26"/>
          <w:szCs w:val="26"/>
        </w:rPr>
        <w:t xml:space="preserve">(corrientes y de capital) </w:t>
      </w:r>
      <w:r w:rsidRPr="00315B01">
        <w:rPr>
          <w:spacing w:val="6"/>
          <w:sz w:val="26"/>
          <w:szCs w:val="26"/>
        </w:rPr>
        <w:t>siguen siendo los capítulos con mayor peso como fuente de financiación del presupuesto</w:t>
      </w:r>
      <w:r>
        <w:rPr>
          <w:spacing w:val="6"/>
          <w:sz w:val="26"/>
          <w:szCs w:val="26"/>
        </w:rPr>
        <w:t xml:space="preserve">. </w:t>
      </w:r>
      <w:r w:rsidRPr="00315B01">
        <w:rPr>
          <w:spacing w:val="6"/>
          <w:sz w:val="26"/>
          <w:szCs w:val="26"/>
        </w:rPr>
        <w:t>Finalmente, en ninguno de los dos ejercicios se ha contratado nueva deuda para financiar los gastos realizados.</w:t>
      </w:r>
    </w:p>
    <w:p w14:paraId="33CE4477" w14:textId="77777777" w:rsidR="008374FF" w:rsidRDefault="008374FF" w:rsidP="00807992">
      <w:pPr>
        <w:spacing w:before="200"/>
        <w:ind w:firstLine="0"/>
        <w:jc w:val="left"/>
        <w:rPr>
          <w:rFonts w:ascii="Arial" w:hAnsi="Arial"/>
          <w:i/>
          <w:iCs/>
          <w:color w:val="000000"/>
          <w:spacing w:val="10"/>
          <w:kern w:val="28"/>
          <w:sz w:val="24"/>
          <w:szCs w:val="24"/>
          <w:lang w:val="es-ES"/>
        </w:rPr>
      </w:pPr>
    </w:p>
    <w:p w14:paraId="0B254EEB" w14:textId="77777777" w:rsidR="008374FF" w:rsidRDefault="008374FF" w:rsidP="00807992">
      <w:pPr>
        <w:spacing w:before="200"/>
        <w:ind w:firstLine="0"/>
        <w:jc w:val="left"/>
        <w:rPr>
          <w:rFonts w:ascii="Arial" w:hAnsi="Arial"/>
          <w:i/>
          <w:iCs/>
          <w:color w:val="000000"/>
          <w:spacing w:val="10"/>
          <w:kern w:val="28"/>
          <w:sz w:val="24"/>
          <w:szCs w:val="24"/>
          <w:lang w:val="es-ES"/>
        </w:rPr>
      </w:pPr>
    </w:p>
    <w:p w14:paraId="31513E00" w14:textId="77777777" w:rsidR="008374FF" w:rsidRDefault="008374FF" w:rsidP="00807992">
      <w:pPr>
        <w:spacing w:before="200"/>
        <w:ind w:firstLine="0"/>
        <w:jc w:val="left"/>
        <w:rPr>
          <w:rFonts w:ascii="Arial" w:hAnsi="Arial"/>
          <w:i/>
          <w:iCs/>
          <w:color w:val="000000"/>
          <w:spacing w:val="10"/>
          <w:kern w:val="28"/>
          <w:sz w:val="24"/>
          <w:szCs w:val="24"/>
          <w:lang w:val="es-ES"/>
        </w:rPr>
      </w:pPr>
    </w:p>
    <w:p w14:paraId="14C45B6C" w14:textId="77777777" w:rsidR="008374FF" w:rsidRDefault="008374FF" w:rsidP="00807992">
      <w:pPr>
        <w:spacing w:before="200"/>
        <w:ind w:firstLine="0"/>
        <w:jc w:val="left"/>
        <w:rPr>
          <w:rFonts w:ascii="Arial" w:hAnsi="Arial"/>
          <w:i/>
          <w:iCs/>
          <w:color w:val="000000"/>
          <w:spacing w:val="10"/>
          <w:kern w:val="28"/>
          <w:sz w:val="24"/>
          <w:szCs w:val="24"/>
          <w:lang w:val="es-ES"/>
        </w:rPr>
      </w:pPr>
    </w:p>
    <w:p w14:paraId="4BF3F468" w14:textId="77777777" w:rsidR="00807992" w:rsidRPr="00275AC4" w:rsidRDefault="00807992" w:rsidP="00807992">
      <w:pPr>
        <w:spacing w:before="200"/>
        <w:ind w:firstLine="0"/>
        <w:jc w:val="left"/>
        <w:rPr>
          <w:spacing w:val="6"/>
          <w:sz w:val="26"/>
          <w:szCs w:val="24"/>
        </w:rPr>
      </w:pPr>
      <w:r>
        <w:rPr>
          <w:rFonts w:ascii="Arial" w:hAnsi="Arial"/>
          <w:i/>
          <w:iCs/>
          <w:color w:val="000000"/>
          <w:spacing w:val="10"/>
          <w:kern w:val="28"/>
          <w:sz w:val="24"/>
          <w:szCs w:val="24"/>
          <w:lang w:val="es-ES"/>
        </w:rPr>
        <w:lastRenderedPageBreak/>
        <w:t>Indicadores liquidación presupuestaria</w:t>
      </w:r>
    </w:p>
    <w:p w14:paraId="68F42022" w14:textId="77777777" w:rsidR="00807992" w:rsidRDefault="00807992" w:rsidP="00807992">
      <w:pPr>
        <w:spacing w:before="160" w:after="240"/>
        <w:ind w:firstLine="284"/>
        <w:rPr>
          <w:i/>
          <w:spacing w:val="6"/>
          <w:sz w:val="26"/>
          <w:szCs w:val="24"/>
        </w:rPr>
      </w:pPr>
      <w:r w:rsidRPr="00667DFF">
        <w:rPr>
          <w:spacing w:val="6"/>
          <w:sz w:val="26"/>
          <w:szCs w:val="24"/>
        </w:rPr>
        <w:t>Mostramos a continuación la comparativa de un conjunto de indicadores relacionados con la liquidación pres</w:t>
      </w:r>
      <w:r>
        <w:rPr>
          <w:spacing w:val="6"/>
          <w:sz w:val="26"/>
          <w:szCs w:val="24"/>
        </w:rPr>
        <w:t>upuestaria de los ejercicios 2020 y 2021</w:t>
      </w:r>
      <w:r w:rsidRPr="00667DFF">
        <w:rPr>
          <w:spacing w:val="6"/>
          <w:sz w:val="26"/>
          <w:szCs w:val="24"/>
        </w:rPr>
        <w:t>:</w:t>
      </w:r>
      <w:r w:rsidRPr="00667DFF">
        <w:rPr>
          <w:i/>
          <w:spacing w:val="6"/>
          <w:sz w:val="26"/>
          <w:szCs w:val="24"/>
        </w:rPr>
        <w:t xml:space="preserve"> </w:t>
      </w:r>
    </w:p>
    <w:tbl>
      <w:tblPr>
        <w:tblW w:w="8789" w:type="dxa"/>
        <w:tblCellMar>
          <w:left w:w="70" w:type="dxa"/>
          <w:right w:w="70" w:type="dxa"/>
        </w:tblCellMar>
        <w:tblLook w:val="04A0" w:firstRow="1" w:lastRow="0" w:firstColumn="1" w:lastColumn="0" w:noHBand="0" w:noVBand="1"/>
      </w:tblPr>
      <w:tblGrid>
        <w:gridCol w:w="4678"/>
        <w:gridCol w:w="1559"/>
        <w:gridCol w:w="1418"/>
        <w:gridCol w:w="1134"/>
      </w:tblGrid>
      <w:tr w:rsidR="00807992" w:rsidRPr="00174462" w14:paraId="35828895" w14:textId="77777777" w:rsidTr="0046298C">
        <w:trPr>
          <w:trHeight w:val="255"/>
        </w:trPr>
        <w:tc>
          <w:tcPr>
            <w:tcW w:w="4678" w:type="dxa"/>
            <w:tcBorders>
              <w:top w:val="single" w:sz="4" w:space="0" w:color="auto"/>
              <w:left w:val="nil"/>
              <w:bottom w:val="single" w:sz="2" w:space="0" w:color="auto"/>
              <w:right w:val="nil"/>
            </w:tcBorders>
            <w:shd w:val="clear" w:color="000000" w:fill="FABF8F"/>
            <w:vAlign w:val="center"/>
            <w:hideMark/>
          </w:tcPr>
          <w:p w14:paraId="788196D5" w14:textId="77777777" w:rsidR="00807992" w:rsidRPr="00174462" w:rsidRDefault="00807992" w:rsidP="00807992">
            <w:pPr>
              <w:spacing w:after="0"/>
              <w:ind w:firstLine="0"/>
              <w:jc w:val="left"/>
              <w:rPr>
                <w:rFonts w:ascii="Arial" w:hAnsi="Arial" w:cs="Arial"/>
                <w:color w:val="000000"/>
                <w:sz w:val="18"/>
                <w:szCs w:val="18"/>
                <w:lang w:val="es-ES" w:eastAsia="es-ES"/>
              </w:rPr>
            </w:pPr>
            <w:r w:rsidRPr="00174462">
              <w:rPr>
                <w:rFonts w:ascii="Arial" w:hAnsi="Arial" w:cs="Arial"/>
                <w:color w:val="000000"/>
                <w:sz w:val="18"/>
                <w:szCs w:val="18"/>
                <w:lang w:val="es-ES" w:eastAsia="es-ES"/>
              </w:rPr>
              <w:t>Indicadores</w:t>
            </w:r>
          </w:p>
        </w:tc>
        <w:tc>
          <w:tcPr>
            <w:tcW w:w="1559" w:type="dxa"/>
            <w:tcBorders>
              <w:top w:val="single" w:sz="4" w:space="0" w:color="auto"/>
              <w:left w:val="nil"/>
              <w:bottom w:val="single" w:sz="2" w:space="0" w:color="auto"/>
              <w:right w:val="nil"/>
            </w:tcBorders>
            <w:shd w:val="clear" w:color="000000" w:fill="FABF8F"/>
            <w:vAlign w:val="center"/>
            <w:hideMark/>
          </w:tcPr>
          <w:p w14:paraId="1E846B75" w14:textId="77777777" w:rsidR="00807992" w:rsidRPr="00174462" w:rsidRDefault="00807992" w:rsidP="00190001">
            <w:pPr>
              <w:spacing w:after="0"/>
              <w:ind w:firstLine="0"/>
              <w:jc w:val="right"/>
              <w:rPr>
                <w:rFonts w:ascii="Arial" w:hAnsi="Arial" w:cs="Arial"/>
                <w:color w:val="000000"/>
                <w:sz w:val="18"/>
                <w:szCs w:val="18"/>
                <w:lang w:val="es-ES" w:eastAsia="es-ES"/>
              </w:rPr>
            </w:pPr>
            <w:r w:rsidRPr="00174462">
              <w:rPr>
                <w:rFonts w:ascii="Arial" w:hAnsi="Arial" w:cs="Arial"/>
                <w:color w:val="000000"/>
                <w:sz w:val="18"/>
                <w:szCs w:val="18"/>
                <w:lang w:val="es-ES" w:eastAsia="es-ES"/>
              </w:rPr>
              <w:t>2020</w:t>
            </w:r>
          </w:p>
        </w:tc>
        <w:tc>
          <w:tcPr>
            <w:tcW w:w="1418" w:type="dxa"/>
            <w:tcBorders>
              <w:top w:val="single" w:sz="4" w:space="0" w:color="auto"/>
              <w:left w:val="nil"/>
              <w:bottom w:val="single" w:sz="2" w:space="0" w:color="auto"/>
              <w:right w:val="nil"/>
            </w:tcBorders>
            <w:shd w:val="clear" w:color="000000" w:fill="FABF8F"/>
            <w:vAlign w:val="center"/>
            <w:hideMark/>
          </w:tcPr>
          <w:p w14:paraId="591B2791" w14:textId="77777777" w:rsidR="00807992" w:rsidRPr="00174462" w:rsidRDefault="00807992" w:rsidP="00190001">
            <w:pPr>
              <w:spacing w:after="0"/>
              <w:ind w:firstLine="0"/>
              <w:jc w:val="right"/>
              <w:rPr>
                <w:rFonts w:ascii="Arial" w:hAnsi="Arial" w:cs="Arial"/>
                <w:color w:val="000000"/>
                <w:sz w:val="18"/>
                <w:szCs w:val="18"/>
                <w:lang w:val="es-ES" w:eastAsia="es-ES"/>
              </w:rPr>
            </w:pPr>
            <w:r w:rsidRPr="00174462">
              <w:rPr>
                <w:rFonts w:ascii="Arial" w:hAnsi="Arial" w:cs="Arial"/>
                <w:color w:val="000000"/>
                <w:sz w:val="18"/>
                <w:szCs w:val="18"/>
                <w:lang w:val="es-ES" w:eastAsia="es-ES"/>
              </w:rPr>
              <w:t>2021</w:t>
            </w:r>
          </w:p>
        </w:tc>
        <w:tc>
          <w:tcPr>
            <w:tcW w:w="1134" w:type="dxa"/>
            <w:tcBorders>
              <w:top w:val="single" w:sz="4" w:space="0" w:color="auto"/>
              <w:left w:val="nil"/>
              <w:bottom w:val="single" w:sz="2" w:space="0" w:color="auto"/>
              <w:right w:val="nil"/>
            </w:tcBorders>
            <w:shd w:val="clear" w:color="000000" w:fill="FABF8F"/>
            <w:vAlign w:val="center"/>
            <w:hideMark/>
          </w:tcPr>
          <w:p w14:paraId="01C9CB22" w14:textId="77777777" w:rsidR="00807992" w:rsidRPr="00174462" w:rsidRDefault="00807992" w:rsidP="00190001">
            <w:pPr>
              <w:spacing w:after="0"/>
              <w:ind w:firstLine="0"/>
              <w:jc w:val="right"/>
              <w:rPr>
                <w:rFonts w:ascii="Arial" w:hAnsi="Arial" w:cs="Arial"/>
                <w:color w:val="000000"/>
                <w:sz w:val="18"/>
                <w:szCs w:val="18"/>
                <w:lang w:val="es-ES" w:eastAsia="es-ES"/>
              </w:rPr>
            </w:pPr>
            <w:r w:rsidRPr="00174462">
              <w:rPr>
                <w:rFonts w:ascii="Arial" w:hAnsi="Arial" w:cs="Arial"/>
                <w:color w:val="000000"/>
                <w:sz w:val="18"/>
                <w:szCs w:val="18"/>
                <w:lang w:val="es-ES" w:eastAsia="es-ES"/>
              </w:rPr>
              <w:t>%Variación</w:t>
            </w:r>
          </w:p>
        </w:tc>
      </w:tr>
      <w:tr w:rsidR="00807992" w:rsidRPr="00174462" w14:paraId="4A57561B" w14:textId="77777777" w:rsidTr="00011983">
        <w:trPr>
          <w:trHeight w:val="198"/>
        </w:trPr>
        <w:tc>
          <w:tcPr>
            <w:tcW w:w="4678" w:type="dxa"/>
            <w:tcBorders>
              <w:top w:val="single" w:sz="2" w:space="0" w:color="auto"/>
              <w:left w:val="nil"/>
              <w:bottom w:val="single" w:sz="2" w:space="0" w:color="auto"/>
              <w:right w:val="nil"/>
            </w:tcBorders>
            <w:shd w:val="clear" w:color="auto" w:fill="auto"/>
            <w:vAlign w:val="center"/>
            <w:hideMark/>
          </w:tcPr>
          <w:p w14:paraId="6BBE7C91" w14:textId="77777777" w:rsidR="00807992" w:rsidRPr="00174462" w:rsidRDefault="000023DA" w:rsidP="00807992">
            <w:pPr>
              <w:spacing w:after="0"/>
              <w:ind w:firstLine="0"/>
              <w:rPr>
                <w:rFonts w:ascii="Arial Narrow" w:hAnsi="Arial Narrow" w:cs="Calibri"/>
                <w:color w:val="000000"/>
                <w:lang w:val="es-ES" w:eastAsia="es-ES"/>
              </w:rPr>
            </w:pPr>
            <w:r>
              <w:rPr>
                <w:rFonts w:ascii="Arial Narrow" w:hAnsi="Arial Narrow" w:cs="Calibri"/>
                <w:color w:val="000000"/>
                <w:lang w:val="es-ES" w:eastAsia="es-ES"/>
              </w:rPr>
              <w:t>D</w:t>
            </w:r>
            <w:r w:rsidR="00807992" w:rsidRPr="00174462">
              <w:rPr>
                <w:rFonts w:ascii="Arial Narrow" w:hAnsi="Arial Narrow" w:cs="Calibri"/>
                <w:color w:val="000000"/>
                <w:lang w:val="es-ES" w:eastAsia="es-ES"/>
              </w:rPr>
              <w:t>erechos reconocidos</w:t>
            </w:r>
          </w:p>
        </w:tc>
        <w:tc>
          <w:tcPr>
            <w:tcW w:w="1559" w:type="dxa"/>
            <w:tcBorders>
              <w:top w:val="single" w:sz="2" w:space="0" w:color="auto"/>
              <w:left w:val="nil"/>
              <w:bottom w:val="single" w:sz="2" w:space="0" w:color="auto"/>
              <w:right w:val="nil"/>
            </w:tcBorders>
            <w:shd w:val="clear" w:color="auto" w:fill="auto"/>
            <w:vAlign w:val="center"/>
            <w:hideMark/>
          </w:tcPr>
          <w:p w14:paraId="05BDBF9D"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226.772.039</w:t>
            </w:r>
          </w:p>
        </w:tc>
        <w:tc>
          <w:tcPr>
            <w:tcW w:w="1418" w:type="dxa"/>
            <w:tcBorders>
              <w:top w:val="single" w:sz="2" w:space="0" w:color="auto"/>
              <w:left w:val="nil"/>
              <w:bottom w:val="single" w:sz="2" w:space="0" w:color="auto"/>
              <w:right w:val="nil"/>
            </w:tcBorders>
            <w:shd w:val="clear" w:color="auto" w:fill="auto"/>
            <w:vAlign w:val="center"/>
            <w:hideMark/>
          </w:tcPr>
          <w:p w14:paraId="5B6CA41A"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241.660.051</w:t>
            </w:r>
          </w:p>
        </w:tc>
        <w:tc>
          <w:tcPr>
            <w:tcW w:w="1134" w:type="dxa"/>
            <w:tcBorders>
              <w:top w:val="single" w:sz="2" w:space="0" w:color="auto"/>
              <w:left w:val="nil"/>
              <w:bottom w:val="single" w:sz="2" w:space="0" w:color="auto"/>
              <w:right w:val="nil"/>
            </w:tcBorders>
            <w:shd w:val="clear" w:color="auto" w:fill="auto"/>
            <w:vAlign w:val="center"/>
            <w:hideMark/>
          </w:tcPr>
          <w:p w14:paraId="71E070E1"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7</w:t>
            </w:r>
          </w:p>
        </w:tc>
      </w:tr>
      <w:tr w:rsidR="00807992" w:rsidRPr="00174462" w14:paraId="6EFBAE9F" w14:textId="77777777" w:rsidTr="00D751D4">
        <w:trPr>
          <w:trHeight w:val="198"/>
        </w:trPr>
        <w:tc>
          <w:tcPr>
            <w:tcW w:w="4678" w:type="dxa"/>
            <w:tcBorders>
              <w:top w:val="single" w:sz="2" w:space="0" w:color="auto"/>
              <w:left w:val="nil"/>
              <w:bottom w:val="single" w:sz="2" w:space="0" w:color="auto"/>
              <w:right w:val="nil"/>
            </w:tcBorders>
            <w:shd w:val="clear" w:color="auto" w:fill="auto"/>
            <w:vAlign w:val="center"/>
            <w:hideMark/>
          </w:tcPr>
          <w:p w14:paraId="138F3915" w14:textId="77777777" w:rsidR="00807992" w:rsidRPr="00174462" w:rsidRDefault="000023DA" w:rsidP="00807992">
            <w:pPr>
              <w:spacing w:after="0"/>
              <w:ind w:firstLine="0"/>
              <w:rPr>
                <w:rFonts w:ascii="Arial Narrow" w:hAnsi="Arial Narrow" w:cs="Calibri"/>
                <w:color w:val="000000"/>
                <w:lang w:val="es-ES" w:eastAsia="es-ES"/>
              </w:rPr>
            </w:pPr>
            <w:r>
              <w:rPr>
                <w:rFonts w:ascii="Arial Narrow" w:hAnsi="Arial Narrow" w:cs="Calibri"/>
                <w:color w:val="000000"/>
                <w:lang w:val="es-ES" w:eastAsia="es-ES"/>
              </w:rPr>
              <w:t>O</w:t>
            </w:r>
            <w:r w:rsidR="00807992" w:rsidRPr="00174462">
              <w:rPr>
                <w:rFonts w:ascii="Arial Narrow" w:hAnsi="Arial Narrow" w:cs="Calibri"/>
                <w:color w:val="000000"/>
                <w:lang w:val="es-ES" w:eastAsia="es-ES"/>
              </w:rPr>
              <w:t>bligaciones reconocidas</w:t>
            </w:r>
          </w:p>
        </w:tc>
        <w:tc>
          <w:tcPr>
            <w:tcW w:w="1559" w:type="dxa"/>
            <w:tcBorders>
              <w:top w:val="single" w:sz="2" w:space="0" w:color="auto"/>
              <w:left w:val="nil"/>
              <w:bottom w:val="single" w:sz="2" w:space="0" w:color="auto"/>
              <w:right w:val="nil"/>
            </w:tcBorders>
            <w:shd w:val="clear" w:color="auto" w:fill="auto"/>
            <w:vAlign w:val="center"/>
            <w:hideMark/>
          </w:tcPr>
          <w:p w14:paraId="788D83FC"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210.384.118</w:t>
            </w:r>
          </w:p>
        </w:tc>
        <w:tc>
          <w:tcPr>
            <w:tcW w:w="1418" w:type="dxa"/>
            <w:tcBorders>
              <w:top w:val="single" w:sz="2" w:space="0" w:color="auto"/>
              <w:left w:val="nil"/>
              <w:bottom w:val="single" w:sz="2" w:space="0" w:color="auto"/>
              <w:right w:val="nil"/>
            </w:tcBorders>
            <w:shd w:val="clear" w:color="auto" w:fill="auto"/>
            <w:vAlign w:val="center"/>
            <w:hideMark/>
          </w:tcPr>
          <w:p w14:paraId="680D64F0"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255.110.762</w:t>
            </w:r>
          </w:p>
        </w:tc>
        <w:tc>
          <w:tcPr>
            <w:tcW w:w="1134" w:type="dxa"/>
            <w:tcBorders>
              <w:top w:val="single" w:sz="2" w:space="0" w:color="auto"/>
              <w:left w:val="nil"/>
              <w:bottom w:val="single" w:sz="2" w:space="0" w:color="auto"/>
              <w:right w:val="nil"/>
            </w:tcBorders>
            <w:shd w:val="clear" w:color="auto" w:fill="auto"/>
            <w:vAlign w:val="center"/>
            <w:hideMark/>
          </w:tcPr>
          <w:p w14:paraId="64E637E8"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21</w:t>
            </w:r>
          </w:p>
        </w:tc>
      </w:tr>
      <w:tr w:rsidR="00807992" w:rsidRPr="00174462" w14:paraId="00BECD22" w14:textId="77777777" w:rsidTr="00D751D4">
        <w:trPr>
          <w:trHeight w:val="198"/>
        </w:trPr>
        <w:tc>
          <w:tcPr>
            <w:tcW w:w="4678" w:type="dxa"/>
            <w:tcBorders>
              <w:top w:val="single" w:sz="2" w:space="0" w:color="auto"/>
              <w:left w:val="nil"/>
              <w:bottom w:val="single" w:sz="2" w:space="0" w:color="auto"/>
              <w:right w:val="nil"/>
            </w:tcBorders>
            <w:shd w:val="clear" w:color="auto" w:fill="auto"/>
            <w:vAlign w:val="center"/>
            <w:hideMark/>
          </w:tcPr>
          <w:p w14:paraId="486706D1" w14:textId="77777777" w:rsidR="00807992" w:rsidRPr="00174462" w:rsidRDefault="00807992" w:rsidP="00807992">
            <w:pPr>
              <w:spacing w:after="0"/>
              <w:ind w:firstLine="0"/>
              <w:rPr>
                <w:rFonts w:ascii="Arial Narrow" w:hAnsi="Arial Narrow" w:cs="Calibri"/>
                <w:color w:val="000000"/>
                <w:lang w:val="es-ES" w:eastAsia="es-ES"/>
              </w:rPr>
            </w:pPr>
            <w:r w:rsidRPr="00174462">
              <w:rPr>
                <w:rFonts w:ascii="Arial Narrow" w:hAnsi="Arial Narrow" w:cs="Calibri"/>
                <w:color w:val="000000"/>
                <w:lang w:val="es-ES" w:eastAsia="es-ES"/>
              </w:rPr>
              <w:t>Ingresos corrientes (1 a 5)</w:t>
            </w:r>
          </w:p>
        </w:tc>
        <w:tc>
          <w:tcPr>
            <w:tcW w:w="1559" w:type="dxa"/>
            <w:tcBorders>
              <w:top w:val="single" w:sz="2" w:space="0" w:color="auto"/>
              <w:left w:val="nil"/>
              <w:bottom w:val="single" w:sz="2" w:space="0" w:color="auto"/>
              <w:right w:val="nil"/>
            </w:tcBorders>
            <w:shd w:val="clear" w:color="auto" w:fill="auto"/>
            <w:vAlign w:val="center"/>
            <w:hideMark/>
          </w:tcPr>
          <w:p w14:paraId="337D5FE9"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217.111.429</w:t>
            </w:r>
          </w:p>
        </w:tc>
        <w:tc>
          <w:tcPr>
            <w:tcW w:w="1418" w:type="dxa"/>
            <w:tcBorders>
              <w:top w:val="single" w:sz="2" w:space="0" w:color="auto"/>
              <w:left w:val="nil"/>
              <w:bottom w:val="single" w:sz="2" w:space="0" w:color="auto"/>
              <w:right w:val="nil"/>
            </w:tcBorders>
            <w:shd w:val="clear" w:color="auto" w:fill="auto"/>
            <w:vAlign w:val="center"/>
            <w:hideMark/>
          </w:tcPr>
          <w:p w14:paraId="6BD53B45" w14:textId="77777777" w:rsidR="00807992" w:rsidRPr="00174462" w:rsidRDefault="000023DA" w:rsidP="00807992">
            <w:pPr>
              <w:spacing w:after="0"/>
              <w:ind w:firstLine="0"/>
              <w:jc w:val="right"/>
              <w:rPr>
                <w:rFonts w:ascii="Calibri" w:hAnsi="Calibri" w:cs="Calibri"/>
                <w:color w:val="000000"/>
                <w:lang w:val="es-ES" w:eastAsia="es-ES"/>
              </w:rPr>
            </w:pPr>
            <w:r>
              <w:rPr>
                <w:rFonts w:ascii="Calibri" w:hAnsi="Calibri" w:cs="Calibri"/>
                <w:color w:val="000000"/>
                <w:lang w:val="es-ES" w:eastAsia="es-ES"/>
              </w:rPr>
              <w:t>222.623.225</w:t>
            </w:r>
          </w:p>
        </w:tc>
        <w:tc>
          <w:tcPr>
            <w:tcW w:w="1134" w:type="dxa"/>
            <w:tcBorders>
              <w:top w:val="single" w:sz="2" w:space="0" w:color="auto"/>
              <w:left w:val="nil"/>
              <w:bottom w:val="single" w:sz="2" w:space="0" w:color="auto"/>
              <w:right w:val="nil"/>
            </w:tcBorders>
            <w:shd w:val="clear" w:color="auto" w:fill="auto"/>
            <w:vAlign w:val="center"/>
            <w:hideMark/>
          </w:tcPr>
          <w:p w14:paraId="6E4FA6CC"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3</w:t>
            </w:r>
          </w:p>
        </w:tc>
      </w:tr>
      <w:tr w:rsidR="00807992" w:rsidRPr="00174462" w14:paraId="40C71C69" w14:textId="77777777" w:rsidTr="00D751D4">
        <w:trPr>
          <w:trHeight w:val="198"/>
        </w:trPr>
        <w:tc>
          <w:tcPr>
            <w:tcW w:w="4678" w:type="dxa"/>
            <w:tcBorders>
              <w:top w:val="single" w:sz="2" w:space="0" w:color="auto"/>
              <w:left w:val="nil"/>
              <w:bottom w:val="single" w:sz="2" w:space="0" w:color="auto"/>
              <w:right w:val="nil"/>
            </w:tcBorders>
            <w:shd w:val="clear" w:color="auto" w:fill="auto"/>
            <w:vAlign w:val="center"/>
            <w:hideMark/>
          </w:tcPr>
          <w:p w14:paraId="32D04FEB" w14:textId="77777777" w:rsidR="00807992" w:rsidRPr="00174462" w:rsidRDefault="00807992" w:rsidP="00807992">
            <w:pPr>
              <w:spacing w:after="0"/>
              <w:ind w:firstLine="0"/>
              <w:rPr>
                <w:rFonts w:ascii="Arial Narrow" w:hAnsi="Arial Narrow" w:cs="Calibri"/>
                <w:color w:val="000000"/>
                <w:lang w:val="es-ES" w:eastAsia="es-ES"/>
              </w:rPr>
            </w:pPr>
            <w:r w:rsidRPr="00174462">
              <w:rPr>
                <w:rFonts w:ascii="Arial Narrow" w:hAnsi="Arial Narrow" w:cs="Calibri"/>
                <w:color w:val="000000"/>
                <w:lang w:val="es-ES" w:eastAsia="es-ES"/>
              </w:rPr>
              <w:t>Gastos de funcionamiento (1, 2 y 4)</w:t>
            </w:r>
          </w:p>
        </w:tc>
        <w:tc>
          <w:tcPr>
            <w:tcW w:w="1559" w:type="dxa"/>
            <w:tcBorders>
              <w:top w:val="single" w:sz="2" w:space="0" w:color="auto"/>
              <w:left w:val="nil"/>
              <w:bottom w:val="single" w:sz="2" w:space="0" w:color="auto"/>
              <w:right w:val="nil"/>
            </w:tcBorders>
            <w:shd w:val="clear" w:color="auto" w:fill="auto"/>
            <w:vAlign w:val="center"/>
            <w:hideMark/>
          </w:tcPr>
          <w:p w14:paraId="7C96B78C"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186.047.644</w:t>
            </w:r>
          </w:p>
        </w:tc>
        <w:tc>
          <w:tcPr>
            <w:tcW w:w="1418" w:type="dxa"/>
            <w:tcBorders>
              <w:top w:val="single" w:sz="2" w:space="0" w:color="auto"/>
              <w:left w:val="nil"/>
              <w:bottom w:val="single" w:sz="2" w:space="0" w:color="auto"/>
              <w:right w:val="nil"/>
            </w:tcBorders>
            <w:shd w:val="clear" w:color="auto" w:fill="auto"/>
            <w:vAlign w:val="center"/>
            <w:hideMark/>
          </w:tcPr>
          <w:p w14:paraId="3D0C5EA6"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193.424.046</w:t>
            </w:r>
          </w:p>
        </w:tc>
        <w:tc>
          <w:tcPr>
            <w:tcW w:w="1134" w:type="dxa"/>
            <w:tcBorders>
              <w:top w:val="single" w:sz="2" w:space="0" w:color="auto"/>
              <w:left w:val="nil"/>
              <w:bottom w:val="single" w:sz="2" w:space="0" w:color="auto"/>
              <w:right w:val="nil"/>
            </w:tcBorders>
            <w:shd w:val="clear" w:color="auto" w:fill="auto"/>
            <w:vAlign w:val="center"/>
            <w:hideMark/>
          </w:tcPr>
          <w:p w14:paraId="1E97CE03"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4</w:t>
            </w:r>
          </w:p>
        </w:tc>
      </w:tr>
      <w:tr w:rsidR="00807992" w:rsidRPr="00174462" w14:paraId="2464365B" w14:textId="77777777" w:rsidTr="00D751D4">
        <w:trPr>
          <w:trHeight w:val="198"/>
        </w:trPr>
        <w:tc>
          <w:tcPr>
            <w:tcW w:w="4678" w:type="dxa"/>
            <w:tcBorders>
              <w:top w:val="single" w:sz="2" w:space="0" w:color="auto"/>
              <w:left w:val="nil"/>
              <w:bottom w:val="single" w:sz="2" w:space="0" w:color="auto"/>
              <w:right w:val="nil"/>
            </w:tcBorders>
            <w:shd w:val="clear" w:color="auto" w:fill="auto"/>
            <w:vAlign w:val="center"/>
            <w:hideMark/>
          </w:tcPr>
          <w:p w14:paraId="3199C163" w14:textId="77777777" w:rsidR="00807992" w:rsidRPr="00174462" w:rsidRDefault="00807992" w:rsidP="00807992">
            <w:pPr>
              <w:spacing w:after="0"/>
              <w:ind w:firstLine="0"/>
              <w:rPr>
                <w:rFonts w:ascii="Arial Narrow" w:hAnsi="Arial Narrow" w:cs="Calibri"/>
                <w:color w:val="000000"/>
                <w:lang w:val="es-ES" w:eastAsia="es-ES"/>
              </w:rPr>
            </w:pPr>
            <w:r w:rsidRPr="00174462">
              <w:rPr>
                <w:rFonts w:ascii="Arial Narrow" w:hAnsi="Arial Narrow" w:cs="Calibri"/>
                <w:color w:val="000000"/>
                <w:lang w:val="es-ES" w:eastAsia="es-ES"/>
              </w:rPr>
              <w:t>Ingresos de capital</w:t>
            </w:r>
          </w:p>
        </w:tc>
        <w:tc>
          <w:tcPr>
            <w:tcW w:w="1559" w:type="dxa"/>
            <w:tcBorders>
              <w:top w:val="single" w:sz="2" w:space="0" w:color="auto"/>
              <w:left w:val="nil"/>
              <w:bottom w:val="single" w:sz="2" w:space="0" w:color="auto"/>
              <w:right w:val="nil"/>
            </w:tcBorders>
            <w:shd w:val="clear" w:color="auto" w:fill="auto"/>
            <w:vAlign w:val="center"/>
            <w:hideMark/>
          </w:tcPr>
          <w:p w14:paraId="729CB340"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9.481.528</w:t>
            </w:r>
          </w:p>
        </w:tc>
        <w:tc>
          <w:tcPr>
            <w:tcW w:w="1418" w:type="dxa"/>
            <w:tcBorders>
              <w:top w:val="single" w:sz="2" w:space="0" w:color="auto"/>
              <w:left w:val="nil"/>
              <w:bottom w:val="single" w:sz="2" w:space="0" w:color="auto"/>
              <w:right w:val="nil"/>
            </w:tcBorders>
            <w:shd w:val="clear" w:color="auto" w:fill="auto"/>
            <w:vAlign w:val="center"/>
            <w:hideMark/>
          </w:tcPr>
          <w:p w14:paraId="0095989D"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18.905.933</w:t>
            </w:r>
          </w:p>
        </w:tc>
        <w:tc>
          <w:tcPr>
            <w:tcW w:w="1134" w:type="dxa"/>
            <w:tcBorders>
              <w:top w:val="single" w:sz="2" w:space="0" w:color="auto"/>
              <w:left w:val="nil"/>
              <w:bottom w:val="single" w:sz="2" w:space="0" w:color="auto"/>
              <w:right w:val="nil"/>
            </w:tcBorders>
            <w:shd w:val="clear" w:color="auto" w:fill="auto"/>
            <w:vAlign w:val="center"/>
            <w:hideMark/>
          </w:tcPr>
          <w:p w14:paraId="060C63FB"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99</w:t>
            </w:r>
          </w:p>
        </w:tc>
      </w:tr>
      <w:tr w:rsidR="00807992" w:rsidRPr="00174462" w14:paraId="0CD43FCE" w14:textId="77777777" w:rsidTr="00D751D4">
        <w:trPr>
          <w:trHeight w:val="198"/>
        </w:trPr>
        <w:tc>
          <w:tcPr>
            <w:tcW w:w="4678" w:type="dxa"/>
            <w:tcBorders>
              <w:top w:val="single" w:sz="2" w:space="0" w:color="auto"/>
              <w:left w:val="nil"/>
              <w:bottom w:val="single" w:sz="2" w:space="0" w:color="auto"/>
              <w:right w:val="nil"/>
            </w:tcBorders>
            <w:shd w:val="clear" w:color="auto" w:fill="auto"/>
            <w:vAlign w:val="center"/>
            <w:hideMark/>
          </w:tcPr>
          <w:p w14:paraId="3385F970" w14:textId="77777777" w:rsidR="00807992" w:rsidRPr="00174462" w:rsidRDefault="00807992" w:rsidP="00807992">
            <w:pPr>
              <w:spacing w:after="0"/>
              <w:ind w:firstLine="0"/>
              <w:rPr>
                <w:rFonts w:ascii="Arial Narrow" w:hAnsi="Arial Narrow" w:cs="Calibri"/>
                <w:color w:val="000000"/>
                <w:lang w:val="es-ES" w:eastAsia="es-ES"/>
              </w:rPr>
            </w:pPr>
            <w:r w:rsidRPr="00174462">
              <w:rPr>
                <w:rFonts w:ascii="Arial Narrow" w:hAnsi="Arial Narrow" w:cs="Calibri"/>
                <w:color w:val="000000"/>
                <w:lang w:val="es-ES" w:eastAsia="es-ES"/>
              </w:rPr>
              <w:t>Gastos de capital</w:t>
            </w:r>
          </w:p>
        </w:tc>
        <w:tc>
          <w:tcPr>
            <w:tcW w:w="1559" w:type="dxa"/>
            <w:tcBorders>
              <w:top w:val="single" w:sz="2" w:space="0" w:color="auto"/>
              <w:left w:val="nil"/>
              <w:bottom w:val="single" w:sz="2" w:space="0" w:color="auto"/>
              <w:right w:val="nil"/>
            </w:tcBorders>
            <w:shd w:val="clear" w:color="auto" w:fill="auto"/>
            <w:vAlign w:val="center"/>
            <w:hideMark/>
          </w:tcPr>
          <w:p w14:paraId="35BF16F7"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14.804.823</w:t>
            </w:r>
          </w:p>
        </w:tc>
        <w:tc>
          <w:tcPr>
            <w:tcW w:w="1418" w:type="dxa"/>
            <w:tcBorders>
              <w:top w:val="single" w:sz="2" w:space="0" w:color="auto"/>
              <w:left w:val="nil"/>
              <w:bottom w:val="single" w:sz="2" w:space="0" w:color="auto"/>
              <w:right w:val="nil"/>
            </w:tcBorders>
            <w:shd w:val="clear" w:color="auto" w:fill="auto"/>
            <w:vAlign w:val="center"/>
            <w:hideMark/>
          </w:tcPr>
          <w:p w14:paraId="7EE0D8AE"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51.314.418</w:t>
            </w:r>
          </w:p>
        </w:tc>
        <w:tc>
          <w:tcPr>
            <w:tcW w:w="1134" w:type="dxa"/>
            <w:tcBorders>
              <w:top w:val="single" w:sz="2" w:space="0" w:color="auto"/>
              <w:left w:val="nil"/>
              <w:bottom w:val="single" w:sz="2" w:space="0" w:color="auto"/>
              <w:right w:val="nil"/>
            </w:tcBorders>
            <w:shd w:val="clear" w:color="auto" w:fill="auto"/>
            <w:vAlign w:val="center"/>
            <w:hideMark/>
          </w:tcPr>
          <w:p w14:paraId="12E596BB"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247</w:t>
            </w:r>
          </w:p>
        </w:tc>
      </w:tr>
      <w:tr w:rsidR="00807992" w:rsidRPr="00174462" w14:paraId="159FA2BC" w14:textId="77777777" w:rsidTr="004845DB">
        <w:trPr>
          <w:trHeight w:val="198"/>
        </w:trPr>
        <w:tc>
          <w:tcPr>
            <w:tcW w:w="4678" w:type="dxa"/>
            <w:tcBorders>
              <w:top w:val="single" w:sz="2" w:space="0" w:color="auto"/>
              <w:left w:val="nil"/>
              <w:bottom w:val="single" w:sz="4" w:space="0" w:color="auto"/>
              <w:right w:val="nil"/>
            </w:tcBorders>
            <w:shd w:val="clear" w:color="auto" w:fill="auto"/>
            <w:vAlign w:val="center"/>
            <w:hideMark/>
          </w:tcPr>
          <w:p w14:paraId="45A07A55" w14:textId="77777777" w:rsidR="00807992" w:rsidRPr="00174462" w:rsidRDefault="00807992" w:rsidP="00807992">
            <w:pPr>
              <w:spacing w:after="0"/>
              <w:ind w:firstLine="0"/>
              <w:rPr>
                <w:rFonts w:ascii="Arial Narrow" w:hAnsi="Arial Narrow" w:cs="Calibri"/>
                <w:color w:val="000000"/>
                <w:lang w:val="es-ES" w:eastAsia="es-ES"/>
              </w:rPr>
            </w:pPr>
            <w:r w:rsidRPr="00174462">
              <w:rPr>
                <w:rFonts w:ascii="Arial Narrow" w:hAnsi="Arial Narrow" w:cs="Calibri"/>
                <w:color w:val="000000"/>
                <w:lang w:val="es-ES" w:eastAsia="es-ES"/>
              </w:rPr>
              <w:t>Saldo no financiero</w:t>
            </w:r>
          </w:p>
        </w:tc>
        <w:tc>
          <w:tcPr>
            <w:tcW w:w="1559" w:type="dxa"/>
            <w:tcBorders>
              <w:top w:val="single" w:sz="2" w:space="0" w:color="auto"/>
              <w:left w:val="nil"/>
              <w:bottom w:val="single" w:sz="4" w:space="0" w:color="auto"/>
              <w:right w:val="nil"/>
            </w:tcBorders>
            <w:shd w:val="clear" w:color="auto" w:fill="auto"/>
            <w:vAlign w:val="center"/>
            <w:hideMark/>
          </w:tcPr>
          <w:p w14:paraId="3881E712"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25.216.858</w:t>
            </w:r>
          </w:p>
        </w:tc>
        <w:tc>
          <w:tcPr>
            <w:tcW w:w="1418" w:type="dxa"/>
            <w:tcBorders>
              <w:top w:val="single" w:sz="2" w:space="0" w:color="auto"/>
              <w:left w:val="nil"/>
              <w:bottom w:val="single" w:sz="4" w:space="0" w:color="auto"/>
              <w:right w:val="nil"/>
            </w:tcBorders>
            <w:shd w:val="clear" w:color="auto" w:fill="auto"/>
            <w:vAlign w:val="center"/>
            <w:hideMark/>
          </w:tcPr>
          <w:p w14:paraId="6A8A6F5C"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-3.646.258</w:t>
            </w:r>
          </w:p>
        </w:tc>
        <w:tc>
          <w:tcPr>
            <w:tcW w:w="1134" w:type="dxa"/>
            <w:tcBorders>
              <w:top w:val="single" w:sz="2" w:space="0" w:color="auto"/>
              <w:left w:val="nil"/>
              <w:bottom w:val="single" w:sz="4" w:space="0" w:color="auto"/>
              <w:right w:val="nil"/>
            </w:tcBorders>
            <w:shd w:val="clear" w:color="auto" w:fill="auto"/>
            <w:vAlign w:val="center"/>
            <w:hideMark/>
          </w:tcPr>
          <w:p w14:paraId="5BDF03BF"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-114</w:t>
            </w:r>
          </w:p>
        </w:tc>
      </w:tr>
      <w:tr w:rsidR="00807992" w:rsidRPr="00174462" w14:paraId="2C15A098" w14:textId="77777777" w:rsidTr="004845DB">
        <w:trPr>
          <w:trHeight w:val="198"/>
        </w:trPr>
        <w:tc>
          <w:tcPr>
            <w:tcW w:w="4678" w:type="dxa"/>
            <w:tcBorders>
              <w:top w:val="single" w:sz="4" w:space="0" w:color="auto"/>
              <w:left w:val="nil"/>
              <w:bottom w:val="single" w:sz="4" w:space="0" w:color="auto"/>
              <w:right w:val="nil"/>
            </w:tcBorders>
            <w:shd w:val="clear" w:color="auto" w:fill="auto"/>
            <w:vAlign w:val="center"/>
            <w:hideMark/>
          </w:tcPr>
          <w:p w14:paraId="2832D2CD" w14:textId="77777777" w:rsidR="00807992" w:rsidRPr="00174462" w:rsidRDefault="00807992" w:rsidP="00807992">
            <w:pPr>
              <w:spacing w:after="0"/>
              <w:ind w:firstLine="0"/>
              <w:rPr>
                <w:rFonts w:ascii="Arial Narrow" w:hAnsi="Arial Narrow" w:cs="Calibri"/>
                <w:color w:val="000000"/>
                <w:lang w:val="es-ES" w:eastAsia="es-ES"/>
              </w:rPr>
            </w:pPr>
            <w:r w:rsidRPr="00174462">
              <w:rPr>
                <w:rFonts w:ascii="Arial Narrow" w:hAnsi="Arial Narrow" w:cs="Calibri"/>
                <w:color w:val="000000"/>
                <w:lang w:val="es-ES" w:eastAsia="es-ES"/>
              </w:rPr>
              <w:t>Resultado presupuestario ajustado</w:t>
            </w:r>
          </w:p>
        </w:tc>
        <w:tc>
          <w:tcPr>
            <w:tcW w:w="1559" w:type="dxa"/>
            <w:tcBorders>
              <w:top w:val="single" w:sz="4" w:space="0" w:color="auto"/>
              <w:left w:val="nil"/>
              <w:bottom w:val="single" w:sz="4" w:space="0" w:color="auto"/>
              <w:right w:val="nil"/>
            </w:tcBorders>
            <w:shd w:val="clear" w:color="auto" w:fill="auto"/>
            <w:vAlign w:val="center"/>
            <w:hideMark/>
          </w:tcPr>
          <w:p w14:paraId="40CDC768"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19.073.637</w:t>
            </w:r>
          </w:p>
        </w:tc>
        <w:tc>
          <w:tcPr>
            <w:tcW w:w="1418" w:type="dxa"/>
            <w:tcBorders>
              <w:top w:val="single" w:sz="4" w:space="0" w:color="auto"/>
              <w:left w:val="nil"/>
              <w:bottom w:val="single" w:sz="4" w:space="0" w:color="auto"/>
              <w:right w:val="nil"/>
            </w:tcBorders>
            <w:shd w:val="clear" w:color="auto" w:fill="auto"/>
            <w:vAlign w:val="center"/>
            <w:hideMark/>
          </w:tcPr>
          <w:p w14:paraId="3167BED1"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3.859.435</w:t>
            </w:r>
          </w:p>
        </w:tc>
        <w:tc>
          <w:tcPr>
            <w:tcW w:w="1134" w:type="dxa"/>
            <w:tcBorders>
              <w:top w:val="single" w:sz="4" w:space="0" w:color="auto"/>
              <w:left w:val="nil"/>
              <w:bottom w:val="single" w:sz="4" w:space="0" w:color="auto"/>
              <w:right w:val="nil"/>
            </w:tcBorders>
            <w:shd w:val="clear" w:color="auto" w:fill="auto"/>
            <w:vAlign w:val="center"/>
            <w:hideMark/>
          </w:tcPr>
          <w:p w14:paraId="74103030" w14:textId="77777777" w:rsidR="00807992" w:rsidRPr="00174462" w:rsidRDefault="00807992" w:rsidP="00807992">
            <w:pPr>
              <w:spacing w:after="0"/>
              <w:ind w:firstLine="0"/>
              <w:jc w:val="right"/>
              <w:rPr>
                <w:rFonts w:ascii="Calibri" w:hAnsi="Calibri" w:cs="Calibri"/>
                <w:color w:val="000000"/>
                <w:lang w:val="es-ES" w:eastAsia="es-ES"/>
              </w:rPr>
            </w:pPr>
            <w:r w:rsidRPr="00174462">
              <w:rPr>
                <w:rFonts w:ascii="Calibri" w:hAnsi="Calibri" w:cs="Calibri"/>
                <w:color w:val="000000"/>
                <w:lang w:val="es-ES" w:eastAsia="es-ES"/>
              </w:rPr>
              <w:t>-80</w:t>
            </w:r>
          </w:p>
        </w:tc>
      </w:tr>
    </w:tbl>
    <w:p w14:paraId="54BEA422" w14:textId="77777777" w:rsidR="00807992" w:rsidRPr="00823774" w:rsidRDefault="00807992" w:rsidP="00807992">
      <w:pPr>
        <w:spacing w:before="200" w:after="120"/>
        <w:ind w:firstLine="284"/>
        <w:rPr>
          <w:spacing w:val="6"/>
          <w:sz w:val="26"/>
          <w:szCs w:val="24"/>
        </w:rPr>
      </w:pPr>
      <w:r w:rsidRPr="00823774">
        <w:rPr>
          <w:spacing w:val="6"/>
          <w:sz w:val="26"/>
          <w:szCs w:val="24"/>
        </w:rPr>
        <w:t>De la evolución anterior señalamos:</w:t>
      </w:r>
    </w:p>
    <w:p w14:paraId="30ABA00B" w14:textId="77777777" w:rsidR="00C4387E" w:rsidRPr="00F20E58" w:rsidRDefault="00807992" w:rsidP="00807992">
      <w:pPr>
        <w:numPr>
          <w:ilvl w:val="0"/>
          <w:numId w:val="2"/>
        </w:numPr>
        <w:tabs>
          <w:tab w:val="clear" w:pos="502"/>
          <w:tab w:val="left" w:pos="480"/>
          <w:tab w:val="num" w:pos="720"/>
          <w:tab w:val="num" w:pos="6597"/>
        </w:tabs>
        <w:ind w:left="0" w:firstLine="289"/>
        <w:rPr>
          <w:spacing w:val="6"/>
          <w:sz w:val="26"/>
          <w:szCs w:val="26"/>
        </w:rPr>
      </w:pPr>
      <w:r w:rsidRPr="00F20E58">
        <w:rPr>
          <w:spacing w:val="6"/>
          <w:sz w:val="26"/>
          <w:szCs w:val="26"/>
        </w:rPr>
        <w:t>La ejecución del presupuesto en 2021 en general ha sido superior al del ejercicio anterior, si bien el incremento ha sido mayor en los gastos que han aumentado en un 21 por ciento, frente al siete por cie</w:t>
      </w:r>
      <w:r w:rsidR="00C4387E" w:rsidRPr="00F20E58">
        <w:rPr>
          <w:spacing w:val="6"/>
          <w:sz w:val="26"/>
          <w:szCs w:val="26"/>
        </w:rPr>
        <w:t>nto de aumento de los ingresos.</w:t>
      </w:r>
    </w:p>
    <w:p w14:paraId="43278ADB" w14:textId="77777777" w:rsidR="00807992" w:rsidRPr="00F20E58" w:rsidRDefault="00C4387E" w:rsidP="00807992">
      <w:pPr>
        <w:numPr>
          <w:ilvl w:val="0"/>
          <w:numId w:val="2"/>
        </w:numPr>
        <w:tabs>
          <w:tab w:val="clear" w:pos="502"/>
          <w:tab w:val="left" w:pos="480"/>
          <w:tab w:val="num" w:pos="720"/>
          <w:tab w:val="num" w:pos="6597"/>
        </w:tabs>
        <w:ind w:left="0" w:firstLine="289"/>
        <w:rPr>
          <w:spacing w:val="6"/>
          <w:sz w:val="26"/>
          <w:szCs w:val="26"/>
        </w:rPr>
      </w:pPr>
      <w:r w:rsidRPr="00F20E58">
        <w:rPr>
          <w:spacing w:val="6"/>
          <w:sz w:val="26"/>
          <w:szCs w:val="26"/>
        </w:rPr>
        <w:t xml:space="preserve">Las </w:t>
      </w:r>
      <w:r w:rsidR="001959F2" w:rsidRPr="00F20E58">
        <w:rPr>
          <w:spacing w:val="6"/>
          <w:sz w:val="26"/>
          <w:szCs w:val="26"/>
        </w:rPr>
        <w:t xml:space="preserve">variaciones no </w:t>
      </w:r>
      <w:r w:rsidRPr="00F20E58">
        <w:rPr>
          <w:spacing w:val="6"/>
          <w:sz w:val="26"/>
          <w:szCs w:val="26"/>
        </w:rPr>
        <w:t xml:space="preserve">han sido </w:t>
      </w:r>
      <w:r w:rsidR="001959F2" w:rsidRPr="00F20E58">
        <w:rPr>
          <w:spacing w:val="6"/>
          <w:sz w:val="26"/>
          <w:szCs w:val="26"/>
        </w:rPr>
        <w:t>equivalentes en los ingresos y gastos, tanto en la estruc</w:t>
      </w:r>
      <w:r w:rsidR="00B65762" w:rsidRPr="00F20E58">
        <w:rPr>
          <w:spacing w:val="6"/>
          <w:sz w:val="26"/>
          <w:szCs w:val="26"/>
        </w:rPr>
        <w:t xml:space="preserve">tura corriente como de capital, siendo </w:t>
      </w:r>
      <w:r w:rsidR="00351E0D">
        <w:rPr>
          <w:spacing w:val="6"/>
          <w:sz w:val="26"/>
          <w:szCs w:val="26"/>
        </w:rPr>
        <w:t>e</w:t>
      </w:r>
      <w:r w:rsidR="00B65762" w:rsidRPr="00F20E58">
        <w:rPr>
          <w:spacing w:val="6"/>
          <w:sz w:val="26"/>
          <w:szCs w:val="26"/>
        </w:rPr>
        <w:t>sta últ</w:t>
      </w:r>
      <w:r w:rsidR="00455BAC" w:rsidRPr="00F20E58">
        <w:rPr>
          <w:spacing w:val="6"/>
          <w:sz w:val="26"/>
          <w:szCs w:val="26"/>
        </w:rPr>
        <w:t xml:space="preserve">ima </w:t>
      </w:r>
      <w:r w:rsidRPr="00F20E58">
        <w:rPr>
          <w:spacing w:val="6"/>
          <w:sz w:val="26"/>
          <w:szCs w:val="26"/>
        </w:rPr>
        <w:t xml:space="preserve">estructura la que recoge la variación más significativa, y en la que destacamos que el aumento en los ingresos de capital ha tenido origen en mayores ingresos por venta de terrenos y por mayor liquidación de cuotas de urbanización de </w:t>
      </w:r>
      <w:proofErr w:type="spellStart"/>
      <w:r w:rsidRPr="00F20E58">
        <w:rPr>
          <w:spacing w:val="6"/>
          <w:sz w:val="26"/>
          <w:szCs w:val="26"/>
        </w:rPr>
        <w:t>Lezkairu</w:t>
      </w:r>
      <w:proofErr w:type="spellEnd"/>
      <w:r w:rsidRPr="00F20E58">
        <w:rPr>
          <w:spacing w:val="6"/>
          <w:sz w:val="26"/>
          <w:szCs w:val="26"/>
        </w:rPr>
        <w:t xml:space="preserve">. </w:t>
      </w:r>
    </w:p>
    <w:p w14:paraId="5F06CAA0" w14:textId="77777777" w:rsidR="000023DA" w:rsidRDefault="009F755D" w:rsidP="00807992">
      <w:pPr>
        <w:numPr>
          <w:ilvl w:val="0"/>
          <w:numId w:val="2"/>
        </w:numPr>
        <w:tabs>
          <w:tab w:val="clear" w:pos="502"/>
          <w:tab w:val="left" w:pos="480"/>
          <w:tab w:val="num" w:pos="720"/>
          <w:tab w:val="num" w:pos="6597"/>
        </w:tabs>
        <w:ind w:left="0" w:firstLine="289"/>
        <w:rPr>
          <w:spacing w:val="6"/>
          <w:sz w:val="26"/>
          <w:szCs w:val="26"/>
        </w:rPr>
      </w:pPr>
      <w:r w:rsidRPr="009F755D">
        <w:rPr>
          <w:spacing w:val="6"/>
          <w:sz w:val="26"/>
          <w:szCs w:val="26"/>
        </w:rPr>
        <w:t xml:space="preserve">Las variaciones </w:t>
      </w:r>
      <w:r w:rsidR="000023DA" w:rsidRPr="009F755D">
        <w:rPr>
          <w:spacing w:val="6"/>
          <w:sz w:val="26"/>
          <w:szCs w:val="26"/>
        </w:rPr>
        <w:t>no equivalentes en los ingresos y gastos</w:t>
      </w:r>
      <w:r w:rsidRPr="009F755D">
        <w:rPr>
          <w:spacing w:val="6"/>
          <w:sz w:val="26"/>
          <w:szCs w:val="26"/>
        </w:rPr>
        <w:t xml:space="preserve"> en la estructura corriente y de capital citada anteriormente, </w:t>
      </w:r>
      <w:r w:rsidR="000023DA" w:rsidRPr="009F755D">
        <w:rPr>
          <w:spacing w:val="6"/>
          <w:sz w:val="26"/>
          <w:szCs w:val="26"/>
        </w:rPr>
        <w:t xml:space="preserve">justifica principalmente la disminución en 2021 del </w:t>
      </w:r>
      <w:r w:rsidR="00AE6D0A" w:rsidRPr="009F755D">
        <w:rPr>
          <w:spacing w:val="6"/>
          <w:sz w:val="26"/>
          <w:szCs w:val="26"/>
        </w:rPr>
        <w:t xml:space="preserve">saldo no financiero y del </w:t>
      </w:r>
      <w:r w:rsidR="004530EA">
        <w:rPr>
          <w:spacing w:val="6"/>
          <w:sz w:val="26"/>
          <w:szCs w:val="26"/>
        </w:rPr>
        <w:t>Resultado P</w:t>
      </w:r>
      <w:r w:rsidR="000023DA" w:rsidRPr="009F755D">
        <w:rPr>
          <w:spacing w:val="6"/>
          <w:sz w:val="26"/>
          <w:szCs w:val="26"/>
        </w:rPr>
        <w:t xml:space="preserve">resupuestario ajustado. </w:t>
      </w:r>
    </w:p>
    <w:p w14:paraId="22983884" w14:textId="77777777" w:rsidR="00807992" w:rsidRPr="00667DFF" w:rsidRDefault="00807992" w:rsidP="00807992">
      <w:pPr>
        <w:pStyle w:val="atitulo2"/>
      </w:pPr>
      <w:bookmarkStart w:id="125" w:name="_Toc22495442"/>
      <w:bookmarkStart w:id="126" w:name="_Toc55460327"/>
      <w:bookmarkStart w:id="127" w:name="_Toc118266029"/>
      <w:bookmarkStart w:id="128" w:name="_Toc129243489"/>
      <w:r>
        <w:t>5</w:t>
      </w:r>
      <w:r w:rsidRPr="00667DFF">
        <w:t>.2. Situación económico-financiera del ayuntamiento a 31-12-20</w:t>
      </w:r>
      <w:bookmarkEnd w:id="125"/>
      <w:bookmarkEnd w:id="126"/>
      <w:r>
        <w:t>21</w:t>
      </w:r>
      <w:bookmarkEnd w:id="127"/>
      <w:bookmarkEnd w:id="128"/>
    </w:p>
    <w:p w14:paraId="44BCD201" w14:textId="77777777" w:rsidR="00807992" w:rsidRDefault="00807992" w:rsidP="00807992">
      <w:pPr>
        <w:tabs>
          <w:tab w:val="center" w:pos="2835"/>
          <w:tab w:val="center" w:pos="3969"/>
          <w:tab w:val="center" w:pos="5103"/>
          <w:tab w:val="center" w:pos="6237"/>
          <w:tab w:val="center" w:pos="7371"/>
        </w:tabs>
        <w:spacing w:after="240"/>
        <w:ind w:firstLine="284"/>
        <w:rPr>
          <w:spacing w:val="6"/>
          <w:sz w:val="26"/>
          <w:szCs w:val="24"/>
        </w:rPr>
      </w:pPr>
      <w:r w:rsidRPr="00667DFF">
        <w:rPr>
          <w:color w:val="000000" w:themeColor="text1"/>
          <w:spacing w:val="6"/>
          <w:sz w:val="26"/>
          <w:szCs w:val="24"/>
        </w:rPr>
        <w:t>En el cuadro siguiente mostramos algunos indicadores económico-financieros del ejercicio 20</w:t>
      </w:r>
      <w:r>
        <w:rPr>
          <w:color w:val="000000" w:themeColor="text1"/>
          <w:spacing w:val="6"/>
          <w:sz w:val="26"/>
          <w:szCs w:val="24"/>
        </w:rPr>
        <w:t>21</w:t>
      </w:r>
      <w:r w:rsidRPr="00667DFF">
        <w:rPr>
          <w:color w:val="000000" w:themeColor="text1"/>
          <w:spacing w:val="6"/>
          <w:sz w:val="26"/>
          <w:szCs w:val="24"/>
        </w:rPr>
        <w:t xml:space="preserve"> y su </w:t>
      </w:r>
      <w:r w:rsidRPr="00667DFF">
        <w:rPr>
          <w:spacing w:val="6"/>
          <w:sz w:val="26"/>
          <w:szCs w:val="24"/>
        </w:rPr>
        <w:t>comparativa con los del ejercicio anterior:</w:t>
      </w:r>
    </w:p>
    <w:tbl>
      <w:tblPr>
        <w:tblW w:w="8789" w:type="dxa"/>
        <w:tblCellMar>
          <w:left w:w="70" w:type="dxa"/>
          <w:right w:w="70" w:type="dxa"/>
        </w:tblCellMar>
        <w:tblLook w:val="04A0" w:firstRow="1" w:lastRow="0" w:firstColumn="1" w:lastColumn="0" w:noHBand="0" w:noVBand="1"/>
      </w:tblPr>
      <w:tblGrid>
        <w:gridCol w:w="4820"/>
        <w:gridCol w:w="1417"/>
        <w:gridCol w:w="1276"/>
        <w:gridCol w:w="1276"/>
      </w:tblGrid>
      <w:tr w:rsidR="00807992" w:rsidRPr="00C6167A" w14:paraId="6EA0627D" w14:textId="77777777" w:rsidTr="00D25103">
        <w:trPr>
          <w:trHeight w:val="255"/>
        </w:trPr>
        <w:tc>
          <w:tcPr>
            <w:tcW w:w="4820" w:type="dxa"/>
            <w:tcBorders>
              <w:top w:val="single" w:sz="4" w:space="0" w:color="auto"/>
              <w:left w:val="nil"/>
              <w:bottom w:val="single" w:sz="4" w:space="0" w:color="auto"/>
              <w:right w:val="nil"/>
            </w:tcBorders>
            <w:shd w:val="clear" w:color="000000" w:fill="FABF8F"/>
            <w:vAlign w:val="center"/>
            <w:hideMark/>
          </w:tcPr>
          <w:p w14:paraId="1AD15718" w14:textId="77777777" w:rsidR="00807992" w:rsidRPr="00C6167A" w:rsidRDefault="00807992" w:rsidP="00807992">
            <w:pPr>
              <w:spacing w:after="0"/>
              <w:ind w:firstLine="0"/>
              <w:jc w:val="left"/>
              <w:rPr>
                <w:rFonts w:ascii="Arial" w:hAnsi="Arial" w:cs="Arial"/>
                <w:color w:val="000000"/>
                <w:sz w:val="18"/>
                <w:szCs w:val="18"/>
                <w:lang w:val="es-ES" w:eastAsia="es-ES"/>
              </w:rPr>
            </w:pPr>
            <w:r w:rsidRPr="00C6167A">
              <w:rPr>
                <w:rFonts w:ascii="Arial" w:hAnsi="Arial" w:cs="Arial"/>
                <w:color w:val="000000"/>
                <w:sz w:val="18"/>
                <w:szCs w:val="18"/>
                <w:lang w:val="es-ES" w:eastAsia="es-ES"/>
              </w:rPr>
              <w:t>Indicadores</w:t>
            </w:r>
          </w:p>
        </w:tc>
        <w:tc>
          <w:tcPr>
            <w:tcW w:w="1417" w:type="dxa"/>
            <w:tcBorders>
              <w:top w:val="single" w:sz="4" w:space="0" w:color="auto"/>
              <w:left w:val="nil"/>
              <w:bottom w:val="single" w:sz="4" w:space="0" w:color="auto"/>
              <w:right w:val="nil"/>
            </w:tcBorders>
            <w:shd w:val="clear" w:color="000000" w:fill="FABF8F"/>
            <w:vAlign w:val="center"/>
            <w:hideMark/>
          </w:tcPr>
          <w:p w14:paraId="6C06E851" w14:textId="77777777" w:rsidR="00807992" w:rsidRPr="00C6167A" w:rsidRDefault="00807992" w:rsidP="0046298C">
            <w:pPr>
              <w:spacing w:after="0"/>
              <w:ind w:firstLine="0"/>
              <w:jc w:val="right"/>
              <w:rPr>
                <w:rFonts w:ascii="Arial" w:hAnsi="Arial" w:cs="Arial"/>
                <w:color w:val="000000"/>
                <w:sz w:val="18"/>
                <w:szCs w:val="18"/>
                <w:lang w:val="es-ES" w:eastAsia="es-ES"/>
              </w:rPr>
            </w:pPr>
            <w:r w:rsidRPr="00C6167A">
              <w:rPr>
                <w:rFonts w:ascii="Arial" w:hAnsi="Arial" w:cs="Arial"/>
                <w:color w:val="000000"/>
                <w:sz w:val="18"/>
                <w:szCs w:val="18"/>
                <w:lang w:val="es-ES" w:eastAsia="es-ES"/>
              </w:rPr>
              <w:t>2020</w:t>
            </w:r>
          </w:p>
        </w:tc>
        <w:tc>
          <w:tcPr>
            <w:tcW w:w="1276" w:type="dxa"/>
            <w:tcBorders>
              <w:top w:val="single" w:sz="4" w:space="0" w:color="auto"/>
              <w:left w:val="nil"/>
              <w:bottom w:val="single" w:sz="4" w:space="0" w:color="auto"/>
              <w:right w:val="nil"/>
            </w:tcBorders>
            <w:shd w:val="clear" w:color="000000" w:fill="FABF8F"/>
            <w:vAlign w:val="center"/>
            <w:hideMark/>
          </w:tcPr>
          <w:p w14:paraId="600B58E5" w14:textId="77777777" w:rsidR="00807992" w:rsidRPr="00C6167A" w:rsidRDefault="00807992" w:rsidP="0046298C">
            <w:pPr>
              <w:spacing w:after="0"/>
              <w:ind w:firstLine="0"/>
              <w:jc w:val="right"/>
              <w:rPr>
                <w:rFonts w:ascii="Arial" w:hAnsi="Arial" w:cs="Arial"/>
                <w:color w:val="000000"/>
                <w:sz w:val="18"/>
                <w:szCs w:val="18"/>
                <w:lang w:val="es-ES" w:eastAsia="es-ES"/>
              </w:rPr>
            </w:pPr>
            <w:r w:rsidRPr="00C6167A">
              <w:rPr>
                <w:rFonts w:ascii="Arial" w:hAnsi="Arial" w:cs="Arial"/>
                <w:color w:val="000000"/>
                <w:sz w:val="18"/>
                <w:szCs w:val="18"/>
                <w:lang w:val="es-ES" w:eastAsia="es-ES"/>
              </w:rPr>
              <w:t>2021</w:t>
            </w:r>
          </w:p>
        </w:tc>
        <w:tc>
          <w:tcPr>
            <w:tcW w:w="1276" w:type="dxa"/>
            <w:tcBorders>
              <w:top w:val="single" w:sz="4" w:space="0" w:color="auto"/>
              <w:left w:val="nil"/>
              <w:bottom w:val="single" w:sz="4" w:space="0" w:color="auto"/>
              <w:right w:val="nil"/>
            </w:tcBorders>
            <w:shd w:val="clear" w:color="000000" w:fill="FABF8F"/>
            <w:vAlign w:val="center"/>
            <w:hideMark/>
          </w:tcPr>
          <w:p w14:paraId="2E5E3191" w14:textId="77777777" w:rsidR="00807992" w:rsidRPr="00C6167A" w:rsidRDefault="00807992" w:rsidP="0046298C">
            <w:pPr>
              <w:spacing w:after="0"/>
              <w:ind w:firstLine="0"/>
              <w:jc w:val="right"/>
              <w:rPr>
                <w:rFonts w:ascii="Arial" w:hAnsi="Arial" w:cs="Arial"/>
                <w:color w:val="000000"/>
                <w:sz w:val="18"/>
                <w:szCs w:val="18"/>
                <w:lang w:val="es-ES" w:eastAsia="es-ES"/>
              </w:rPr>
            </w:pPr>
            <w:r w:rsidRPr="00C6167A">
              <w:rPr>
                <w:rFonts w:ascii="Arial" w:hAnsi="Arial" w:cs="Arial"/>
                <w:color w:val="000000"/>
                <w:sz w:val="18"/>
                <w:szCs w:val="18"/>
                <w:lang w:val="es-ES" w:eastAsia="es-ES"/>
              </w:rPr>
              <w:t>%Variación</w:t>
            </w:r>
          </w:p>
        </w:tc>
      </w:tr>
      <w:tr w:rsidR="00807992" w:rsidRPr="00C6167A" w14:paraId="0BA8E233" w14:textId="77777777" w:rsidTr="00D25103">
        <w:trPr>
          <w:trHeight w:val="198"/>
        </w:trPr>
        <w:tc>
          <w:tcPr>
            <w:tcW w:w="4820" w:type="dxa"/>
            <w:tcBorders>
              <w:top w:val="single" w:sz="4" w:space="0" w:color="auto"/>
              <w:left w:val="nil"/>
              <w:bottom w:val="single" w:sz="2" w:space="0" w:color="auto"/>
              <w:right w:val="nil"/>
            </w:tcBorders>
            <w:shd w:val="clear" w:color="auto" w:fill="auto"/>
            <w:vAlign w:val="center"/>
            <w:hideMark/>
          </w:tcPr>
          <w:p w14:paraId="19EF34F2" w14:textId="77777777" w:rsidR="00807992" w:rsidRPr="00C6167A" w:rsidRDefault="00807992" w:rsidP="00807992">
            <w:pPr>
              <w:spacing w:after="0"/>
              <w:ind w:firstLine="0"/>
              <w:jc w:val="left"/>
              <w:rPr>
                <w:rFonts w:ascii="Arial Narrow" w:hAnsi="Arial Narrow" w:cs="Calibri"/>
                <w:color w:val="000000"/>
                <w:lang w:val="es-ES" w:eastAsia="es-ES"/>
              </w:rPr>
            </w:pPr>
            <w:r w:rsidRPr="00C6167A">
              <w:rPr>
                <w:rFonts w:ascii="Arial Narrow" w:hAnsi="Arial Narrow" w:cs="Calibri"/>
                <w:color w:val="000000"/>
                <w:lang w:val="es-ES" w:eastAsia="es-ES"/>
              </w:rPr>
              <w:t>Ahorro bruto</w:t>
            </w:r>
          </w:p>
        </w:tc>
        <w:tc>
          <w:tcPr>
            <w:tcW w:w="1417" w:type="dxa"/>
            <w:tcBorders>
              <w:top w:val="single" w:sz="4" w:space="0" w:color="auto"/>
              <w:left w:val="nil"/>
              <w:bottom w:val="single" w:sz="2" w:space="0" w:color="auto"/>
              <w:right w:val="nil"/>
            </w:tcBorders>
            <w:shd w:val="clear" w:color="auto" w:fill="auto"/>
            <w:vAlign w:val="center"/>
            <w:hideMark/>
          </w:tcPr>
          <w:p w14:paraId="08CEF22C"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31.063.785</w:t>
            </w:r>
          </w:p>
        </w:tc>
        <w:tc>
          <w:tcPr>
            <w:tcW w:w="1276" w:type="dxa"/>
            <w:tcBorders>
              <w:top w:val="single" w:sz="4" w:space="0" w:color="auto"/>
              <w:left w:val="nil"/>
              <w:bottom w:val="single" w:sz="2" w:space="0" w:color="auto"/>
              <w:right w:val="nil"/>
            </w:tcBorders>
            <w:shd w:val="clear" w:color="auto" w:fill="auto"/>
            <w:vAlign w:val="center"/>
            <w:hideMark/>
          </w:tcPr>
          <w:p w14:paraId="062D35B0"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29.199.178</w:t>
            </w:r>
          </w:p>
        </w:tc>
        <w:tc>
          <w:tcPr>
            <w:tcW w:w="1276" w:type="dxa"/>
            <w:tcBorders>
              <w:top w:val="single" w:sz="4" w:space="0" w:color="auto"/>
              <w:left w:val="nil"/>
              <w:bottom w:val="single" w:sz="2" w:space="0" w:color="auto"/>
              <w:right w:val="nil"/>
            </w:tcBorders>
            <w:shd w:val="clear" w:color="auto" w:fill="auto"/>
            <w:vAlign w:val="center"/>
            <w:hideMark/>
          </w:tcPr>
          <w:p w14:paraId="0F716128"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-6</w:t>
            </w:r>
          </w:p>
        </w:tc>
      </w:tr>
      <w:tr w:rsidR="00807992" w:rsidRPr="00C6167A" w14:paraId="515400DB" w14:textId="77777777" w:rsidTr="00D25103">
        <w:trPr>
          <w:trHeight w:val="198"/>
        </w:trPr>
        <w:tc>
          <w:tcPr>
            <w:tcW w:w="4820" w:type="dxa"/>
            <w:tcBorders>
              <w:top w:val="single" w:sz="2" w:space="0" w:color="auto"/>
              <w:left w:val="nil"/>
              <w:bottom w:val="single" w:sz="2" w:space="0" w:color="auto"/>
              <w:right w:val="nil"/>
            </w:tcBorders>
            <w:shd w:val="clear" w:color="auto" w:fill="auto"/>
            <w:vAlign w:val="center"/>
            <w:hideMark/>
          </w:tcPr>
          <w:p w14:paraId="68FA6783" w14:textId="77777777" w:rsidR="00807992" w:rsidRPr="00C6167A" w:rsidRDefault="00807992" w:rsidP="00807992">
            <w:pPr>
              <w:spacing w:after="0"/>
              <w:ind w:firstLine="0"/>
              <w:jc w:val="left"/>
              <w:rPr>
                <w:rFonts w:ascii="Arial Narrow" w:hAnsi="Arial Narrow" w:cs="Calibri"/>
                <w:color w:val="000000"/>
                <w:lang w:val="es-ES" w:eastAsia="es-ES"/>
              </w:rPr>
            </w:pPr>
            <w:r w:rsidRPr="00C6167A">
              <w:rPr>
                <w:rFonts w:ascii="Arial Narrow" w:hAnsi="Arial Narrow" w:cs="Calibri"/>
                <w:color w:val="000000"/>
                <w:lang w:val="es-ES" w:eastAsia="es-ES"/>
              </w:rPr>
              <w:t>Carga financiera</w:t>
            </w:r>
          </w:p>
        </w:tc>
        <w:tc>
          <w:tcPr>
            <w:tcW w:w="1417" w:type="dxa"/>
            <w:tcBorders>
              <w:top w:val="single" w:sz="2" w:space="0" w:color="auto"/>
              <w:left w:val="nil"/>
              <w:bottom w:val="single" w:sz="2" w:space="0" w:color="auto"/>
              <w:right w:val="nil"/>
            </w:tcBorders>
            <w:shd w:val="clear" w:color="auto" w:fill="auto"/>
            <w:vAlign w:val="center"/>
            <w:hideMark/>
          </w:tcPr>
          <w:p w14:paraId="6961F423"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9.327.339</w:t>
            </w:r>
          </w:p>
        </w:tc>
        <w:tc>
          <w:tcPr>
            <w:tcW w:w="1276" w:type="dxa"/>
            <w:tcBorders>
              <w:top w:val="single" w:sz="2" w:space="0" w:color="auto"/>
              <w:left w:val="nil"/>
              <w:bottom w:val="single" w:sz="2" w:space="0" w:color="auto"/>
              <w:right w:val="nil"/>
            </w:tcBorders>
            <w:shd w:val="clear" w:color="auto" w:fill="auto"/>
            <w:vAlign w:val="center"/>
            <w:hideMark/>
          </w:tcPr>
          <w:p w14:paraId="6DDFE3F7"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10.224.482</w:t>
            </w:r>
          </w:p>
        </w:tc>
        <w:tc>
          <w:tcPr>
            <w:tcW w:w="1276" w:type="dxa"/>
            <w:tcBorders>
              <w:top w:val="single" w:sz="2" w:space="0" w:color="auto"/>
              <w:left w:val="nil"/>
              <w:bottom w:val="single" w:sz="2" w:space="0" w:color="auto"/>
              <w:right w:val="nil"/>
            </w:tcBorders>
            <w:shd w:val="clear" w:color="auto" w:fill="auto"/>
            <w:vAlign w:val="center"/>
            <w:hideMark/>
          </w:tcPr>
          <w:p w14:paraId="4139613C"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10</w:t>
            </w:r>
          </w:p>
        </w:tc>
      </w:tr>
      <w:tr w:rsidR="00807992" w:rsidRPr="00C6167A" w14:paraId="27AFC49C" w14:textId="77777777" w:rsidTr="0046298C">
        <w:trPr>
          <w:trHeight w:val="198"/>
        </w:trPr>
        <w:tc>
          <w:tcPr>
            <w:tcW w:w="4820" w:type="dxa"/>
            <w:tcBorders>
              <w:top w:val="single" w:sz="2" w:space="0" w:color="auto"/>
              <w:left w:val="nil"/>
              <w:bottom w:val="single" w:sz="2" w:space="0" w:color="auto"/>
              <w:right w:val="nil"/>
            </w:tcBorders>
            <w:shd w:val="clear" w:color="auto" w:fill="auto"/>
            <w:vAlign w:val="center"/>
            <w:hideMark/>
          </w:tcPr>
          <w:p w14:paraId="1EB1A508" w14:textId="77777777" w:rsidR="00807992" w:rsidRPr="00C6167A" w:rsidRDefault="00807992" w:rsidP="00807992">
            <w:pPr>
              <w:spacing w:after="0"/>
              <w:ind w:firstLine="0"/>
              <w:jc w:val="left"/>
              <w:rPr>
                <w:rFonts w:ascii="Arial Narrow" w:hAnsi="Arial Narrow" w:cs="Calibri"/>
                <w:color w:val="000000"/>
                <w:lang w:val="es-ES" w:eastAsia="es-ES"/>
              </w:rPr>
            </w:pPr>
            <w:r w:rsidRPr="00C6167A">
              <w:rPr>
                <w:rFonts w:ascii="Arial Narrow" w:hAnsi="Arial Narrow" w:cs="Calibri"/>
                <w:color w:val="000000"/>
                <w:lang w:val="es-ES" w:eastAsia="es-ES"/>
              </w:rPr>
              <w:t>Ahorro neto</w:t>
            </w:r>
          </w:p>
        </w:tc>
        <w:tc>
          <w:tcPr>
            <w:tcW w:w="1417" w:type="dxa"/>
            <w:tcBorders>
              <w:top w:val="single" w:sz="2" w:space="0" w:color="auto"/>
              <w:left w:val="nil"/>
              <w:bottom w:val="single" w:sz="2" w:space="0" w:color="auto"/>
              <w:right w:val="nil"/>
            </w:tcBorders>
            <w:shd w:val="clear" w:color="auto" w:fill="auto"/>
            <w:vAlign w:val="center"/>
            <w:hideMark/>
          </w:tcPr>
          <w:p w14:paraId="2014E4B9"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21.736.446</w:t>
            </w:r>
          </w:p>
        </w:tc>
        <w:tc>
          <w:tcPr>
            <w:tcW w:w="1276" w:type="dxa"/>
            <w:tcBorders>
              <w:top w:val="single" w:sz="2" w:space="0" w:color="auto"/>
              <w:left w:val="nil"/>
              <w:bottom w:val="single" w:sz="2" w:space="0" w:color="auto"/>
              <w:right w:val="nil"/>
            </w:tcBorders>
            <w:shd w:val="clear" w:color="auto" w:fill="auto"/>
            <w:vAlign w:val="center"/>
            <w:hideMark/>
          </w:tcPr>
          <w:p w14:paraId="5C974541"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18.974.697</w:t>
            </w:r>
          </w:p>
        </w:tc>
        <w:tc>
          <w:tcPr>
            <w:tcW w:w="1276" w:type="dxa"/>
            <w:tcBorders>
              <w:top w:val="single" w:sz="2" w:space="0" w:color="auto"/>
              <w:left w:val="nil"/>
              <w:bottom w:val="single" w:sz="2" w:space="0" w:color="auto"/>
              <w:right w:val="nil"/>
            </w:tcBorders>
            <w:shd w:val="clear" w:color="auto" w:fill="auto"/>
            <w:vAlign w:val="center"/>
            <w:hideMark/>
          </w:tcPr>
          <w:p w14:paraId="3248A35C"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-13</w:t>
            </w:r>
          </w:p>
        </w:tc>
      </w:tr>
      <w:tr w:rsidR="00807992" w:rsidRPr="00C6167A" w14:paraId="608D90F1" w14:textId="77777777" w:rsidTr="0046298C">
        <w:trPr>
          <w:trHeight w:val="198"/>
        </w:trPr>
        <w:tc>
          <w:tcPr>
            <w:tcW w:w="4820" w:type="dxa"/>
            <w:tcBorders>
              <w:top w:val="single" w:sz="2" w:space="0" w:color="auto"/>
              <w:left w:val="nil"/>
              <w:bottom w:val="single" w:sz="2" w:space="0" w:color="auto"/>
              <w:right w:val="nil"/>
            </w:tcBorders>
            <w:shd w:val="clear" w:color="auto" w:fill="auto"/>
            <w:vAlign w:val="center"/>
            <w:hideMark/>
          </w:tcPr>
          <w:p w14:paraId="1D165364" w14:textId="77777777" w:rsidR="00807992" w:rsidRPr="00C6167A" w:rsidRDefault="00807992" w:rsidP="00807992">
            <w:pPr>
              <w:spacing w:after="0"/>
              <w:ind w:firstLine="0"/>
              <w:jc w:val="left"/>
              <w:rPr>
                <w:rFonts w:ascii="Arial Narrow" w:hAnsi="Arial Narrow" w:cs="Calibri"/>
                <w:color w:val="000000"/>
                <w:lang w:val="es-ES" w:eastAsia="es-ES"/>
              </w:rPr>
            </w:pPr>
            <w:proofErr w:type="spellStart"/>
            <w:r w:rsidRPr="00C6167A">
              <w:rPr>
                <w:rFonts w:ascii="Arial Narrow" w:hAnsi="Arial Narrow" w:cs="Calibri"/>
                <w:color w:val="000000"/>
                <w:lang w:val="es-ES" w:eastAsia="es-ES"/>
              </w:rPr>
              <w:t>Indice</w:t>
            </w:r>
            <w:proofErr w:type="spellEnd"/>
            <w:r w:rsidRPr="00C6167A">
              <w:rPr>
                <w:rFonts w:ascii="Arial Narrow" w:hAnsi="Arial Narrow" w:cs="Calibri"/>
                <w:color w:val="000000"/>
                <w:lang w:val="es-ES" w:eastAsia="es-ES"/>
              </w:rPr>
              <w:t xml:space="preserve"> de carga financiera</w:t>
            </w:r>
          </w:p>
        </w:tc>
        <w:tc>
          <w:tcPr>
            <w:tcW w:w="1417" w:type="dxa"/>
            <w:tcBorders>
              <w:top w:val="single" w:sz="2" w:space="0" w:color="auto"/>
              <w:left w:val="nil"/>
              <w:bottom w:val="single" w:sz="2" w:space="0" w:color="auto"/>
              <w:right w:val="nil"/>
            </w:tcBorders>
            <w:shd w:val="clear" w:color="auto" w:fill="auto"/>
            <w:vAlign w:val="center"/>
            <w:hideMark/>
          </w:tcPr>
          <w:p w14:paraId="7C89D813"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4,3%</w:t>
            </w:r>
          </w:p>
        </w:tc>
        <w:tc>
          <w:tcPr>
            <w:tcW w:w="1276" w:type="dxa"/>
            <w:tcBorders>
              <w:top w:val="single" w:sz="2" w:space="0" w:color="auto"/>
              <w:left w:val="nil"/>
              <w:bottom w:val="single" w:sz="2" w:space="0" w:color="auto"/>
              <w:right w:val="nil"/>
            </w:tcBorders>
            <w:shd w:val="clear" w:color="auto" w:fill="auto"/>
            <w:vAlign w:val="center"/>
            <w:hideMark/>
          </w:tcPr>
          <w:p w14:paraId="4F334C4F" w14:textId="77777777" w:rsidR="00807992" w:rsidRPr="00C6167A" w:rsidRDefault="00807992" w:rsidP="000023DA">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4</w:t>
            </w:r>
            <w:r w:rsidR="000023DA">
              <w:rPr>
                <w:rFonts w:ascii="Calibri" w:hAnsi="Calibri" w:cs="Calibri"/>
                <w:color w:val="000000"/>
                <w:lang w:val="es-ES" w:eastAsia="es-ES"/>
              </w:rPr>
              <w:t>,6</w:t>
            </w:r>
            <w:r w:rsidRPr="00C6167A">
              <w:rPr>
                <w:rFonts w:ascii="Calibri" w:hAnsi="Calibri" w:cs="Calibri"/>
                <w:color w:val="000000"/>
                <w:lang w:val="es-ES" w:eastAsia="es-ES"/>
              </w:rPr>
              <w:t>%</w:t>
            </w:r>
          </w:p>
        </w:tc>
        <w:tc>
          <w:tcPr>
            <w:tcW w:w="1276" w:type="dxa"/>
            <w:tcBorders>
              <w:top w:val="single" w:sz="2" w:space="0" w:color="auto"/>
              <w:left w:val="nil"/>
              <w:bottom w:val="single" w:sz="2" w:space="0" w:color="auto"/>
              <w:right w:val="nil"/>
            </w:tcBorders>
            <w:shd w:val="clear" w:color="auto" w:fill="auto"/>
            <w:vAlign w:val="center"/>
            <w:hideMark/>
          </w:tcPr>
          <w:p w14:paraId="7E0352D4" w14:textId="77777777" w:rsidR="00807992" w:rsidRPr="00C6167A" w:rsidRDefault="00F340FE" w:rsidP="00807992">
            <w:pPr>
              <w:spacing w:after="0"/>
              <w:ind w:firstLine="0"/>
              <w:jc w:val="right"/>
              <w:rPr>
                <w:rFonts w:ascii="Calibri" w:hAnsi="Calibri" w:cs="Calibri"/>
                <w:color w:val="000000"/>
                <w:lang w:val="es-ES" w:eastAsia="es-ES"/>
              </w:rPr>
            </w:pPr>
            <w:r>
              <w:rPr>
                <w:rFonts w:ascii="Calibri" w:hAnsi="Calibri" w:cs="Calibri"/>
                <w:color w:val="000000"/>
                <w:lang w:val="es-ES" w:eastAsia="es-ES"/>
              </w:rPr>
              <w:t>7</w:t>
            </w:r>
          </w:p>
        </w:tc>
      </w:tr>
      <w:tr w:rsidR="00807992" w:rsidRPr="00C6167A" w14:paraId="54187470" w14:textId="77777777" w:rsidTr="0046298C">
        <w:trPr>
          <w:trHeight w:val="198"/>
        </w:trPr>
        <w:tc>
          <w:tcPr>
            <w:tcW w:w="4820" w:type="dxa"/>
            <w:tcBorders>
              <w:top w:val="single" w:sz="2" w:space="0" w:color="auto"/>
              <w:left w:val="nil"/>
              <w:bottom w:val="single" w:sz="2" w:space="0" w:color="auto"/>
              <w:right w:val="nil"/>
            </w:tcBorders>
            <w:shd w:val="clear" w:color="auto" w:fill="auto"/>
            <w:vAlign w:val="center"/>
            <w:hideMark/>
          </w:tcPr>
          <w:p w14:paraId="31FE4631" w14:textId="77777777" w:rsidR="00807992" w:rsidRPr="00C6167A" w:rsidRDefault="00807992" w:rsidP="00807992">
            <w:pPr>
              <w:spacing w:after="0"/>
              <w:ind w:firstLine="0"/>
              <w:jc w:val="left"/>
              <w:rPr>
                <w:rFonts w:ascii="Arial Narrow" w:hAnsi="Arial Narrow" w:cs="Calibri"/>
                <w:color w:val="000000"/>
                <w:lang w:val="es-ES" w:eastAsia="es-ES"/>
              </w:rPr>
            </w:pPr>
            <w:r w:rsidRPr="00C6167A">
              <w:rPr>
                <w:rFonts w:ascii="Arial Narrow" w:hAnsi="Arial Narrow" w:cs="Calibri"/>
                <w:color w:val="000000"/>
                <w:lang w:val="es-ES" w:eastAsia="es-ES"/>
              </w:rPr>
              <w:t>% de ahorro bruto sobre ingresos corrientes</w:t>
            </w:r>
          </w:p>
        </w:tc>
        <w:tc>
          <w:tcPr>
            <w:tcW w:w="1417" w:type="dxa"/>
            <w:tcBorders>
              <w:top w:val="single" w:sz="2" w:space="0" w:color="auto"/>
              <w:left w:val="nil"/>
              <w:bottom w:val="single" w:sz="2" w:space="0" w:color="auto"/>
              <w:right w:val="nil"/>
            </w:tcBorders>
            <w:shd w:val="clear" w:color="auto" w:fill="auto"/>
            <w:vAlign w:val="center"/>
            <w:hideMark/>
          </w:tcPr>
          <w:p w14:paraId="02D79B13"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14</w:t>
            </w:r>
          </w:p>
        </w:tc>
        <w:tc>
          <w:tcPr>
            <w:tcW w:w="1276" w:type="dxa"/>
            <w:tcBorders>
              <w:top w:val="single" w:sz="2" w:space="0" w:color="auto"/>
              <w:left w:val="nil"/>
              <w:bottom w:val="single" w:sz="2" w:space="0" w:color="auto"/>
              <w:right w:val="nil"/>
            </w:tcBorders>
            <w:shd w:val="clear" w:color="auto" w:fill="auto"/>
            <w:vAlign w:val="center"/>
            <w:hideMark/>
          </w:tcPr>
          <w:p w14:paraId="2464D024" w14:textId="77777777" w:rsidR="00807992" w:rsidRPr="00C6167A" w:rsidRDefault="00807992" w:rsidP="000023DA">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1</w:t>
            </w:r>
            <w:r w:rsidR="000023DA">
              <w:rPr>
                <w:rFonts w:ascii="Calibri" w:hAnsi="Calibri" w:cs="Calibri"/>
                <w:color w:val="000000"/>
                <w:lang w:val="es-ES" w:eastAsia="es-ES"/>
              </w:rPr>
              <w:t>3</w:t>
            </w:r>
          </w:p>
        </w:tc>
        <w:tc>
          <w:tcPr>
            <w:tcW w:w="1276" w:type="dxa"/>
            <w:tcBorders>
              <w:top w:val="single" w:sz="2" w:space="0" w:color="auto"/>
              <w:left w:val="nil"/>
              <w:bottom w:val="single" w:sz="2" w:space="0" w:color="auto"/>
              <w:right w:val="nil"/>
            </w:tcBorders>
            <w:shd w:val="clear" w:color="auto" w:fill="auto"/>
            <w:vAlign w:val="center"/>
            <w:hideMark/>
          </w:tcPr>
          <w:p w14:paraId="4A91BD50" w14:textId="77777777" w:rsidR="00807992" w:rsidRPr="00C6167A" w:rsidRDefault="00F340FE" w:rsidP="00807992">
            <w:pPr>
              <w:spacing w:after="0"/>
              <w:ind w:firstLine="0"/>
              <w:jc w:val="right"/>
              <w:rPr>
                <w:rFonts w:ascii="Calibri" w:hAnsi="Calibri" w:cs="Calibri"/>
                <w:color w:val="000000"/>
                <w:lang w:val="es-ES" w:eastAsia="es-ES"/>
              </w:rPr>
            </w:pPr>
            <w:r>
              <w:rPr>
                <w:rFonts w:ascii="Calibri" w:hAnsi="Calibri" w:cs="Calibri"/>
                <w:color w:val="000000"/>
                <w:lang w:val="es-ES" w:eastAsia="es-ES"/>
              </w:rPr>
              <w:t>-7</w:t>
            </w:r>
          </w:p>
        </w:tc>
      </w:tr>
      <w:tr w:rsidR="00807992" w:rsidRPr="00C6167A" w14:paraId="06DEE50D" w14:textId="77777777" w:rsidTr="0046298C">
        <w:trPr>
          <w:trHeight w:val="198"/>
        </w:trPr>
        <w:tc>
          <w:tcPr>
            <w:tcW w:w="4820" w:type="dxa"/>
            <w:tcBorders>
              <w:top w:val="single" w:sz="2" w:space="0" w:color="auto"/>
              <w:left w:val="nil"/>
              <w:bottom w:val="single" w:sz="2" w:space="0" w:color="auto"/>
              <w:right w:val="nil"/>
            </w:tcBorders>
            <w:shd w:val="clear" w:color="auto" w:fill="auto"/>
            <w:vAlign w:val="center"/>
            <w:hideMark/>
          </w:tcPr>
          <w:p w14:paraId="4937C660" w14:textId="77777777" w:rsidR="00807992" w:rsidRPr="00C6167A" w:rsidRDefault="00807992" w:rsidP="00807992">
            <w:pPr>
              <w:spacing w:after="0"/>
              <w:ind w:firstLine="0"/>
              <w:jc w:val="left"/>
              <w:rPr>
                <w:rFonts w:ascii="Arial Narrow" w:hAnsi="Arial Narrow" w:cs="Calibri"/>
                <w:color w:val="000000"/>
                <w:lang w:val="es-ES" w:eastAsia="es-ES"/>
              </w:rPr>
            </w:pPr>
            <w:r w:rsidRPr="00C6167A">
              <w:rPr>
                <w:rFonts w:ascii="Arial Narrow" w:hAnsi="Arial Narrow" w:cs="Calibri"/>
                <w:color w:val="000000"/>
                <w:lang w:val="es-ES" w:eastAsia="es-ES"/>
              </w:rPr>
              <w:t>Deuda viva</w:t>
            </w:r>
          </w:p>
        </w:tc>
        <w:tc>
          <w:tcPr>
            <w:tcW w:w="1417" w:type="dxa"/>
            <w:tcBorders>
              <w:top w:val="single" w:sz="2" w:space="0" w:color="auto"/>
              <w:left w:val="nil"/>
              <w:bottom w:val="single" w:sz="2" w:space="0" w:color="auto"/>
              <w:right w:val="nil"/>
            </w:tcBorders>
            <w:shd w:val="clear" w:color="auto" w:fill="auto"/>
            <w:vAlign w:val="center"/>
            <w:hideMark/>
          </w:tcPr>
          <w:p w14:paraId="7BC23AF8"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45.952.561</w:t>
            </w:r>
          </w:p>
        </w:tc>
        <w:tc>
          <w:tcPr>
            <w:tcW w:w="1276" w:type="dxa"/>
            <w:tcBorders>
              <w:top w:val="single" w:sz="2" w:space="0" w:color="auto"/>
              <w:left w:val="nil"/>
              <w:bottom w:val="single" w:sz="2" w:space="0" w:color="auto"/>
              <w:right w:val="nil"/>
            </w:tcBorders>
            <w:shd w:val="clear" w:color="auto" w:fill="auto"/>
            <w:vAlign w:val="center"/>
            <w:hideMark/>
          </w:tcPr>
          <w:p w14:paraId="655D4416"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36.171.121</w:t>
            </w:r>
          </w:p>
        </w:tc>
        <w:tc>
          <w:tcPr>
            <w:tcW w:w="1276" w:type="dxa"/>
            <w:tcBorders>
              <w:top w:val="single" w:sz="2" w:space="0" w:color="auto"/>
              <w:left w:val="nil"/>
              <w:bottom w:val="single" w:sz="2" w:space="0" w:color="auto"/>
              <w:right w:val="nil"/>
            </w:tcBorders>
            <w:shd w:val="clear" w:color="auto" w:fill="auto"/>
            <w:vAlign w:val="center"/>
            <w:hideMark/>
          </w:tcPr>
          <w:p w14:paraId="4609F3E8"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-21</w:t>
            </w:r>
          </w:p>
        </w:tc>
      </w:tr>
      <w:tr w:rsidR="00807992" w:rsidRPr="00C6167A" w14:paraId="3BA493CC" w14:textId="77777777" w:rsidTr="0046298C">
        <w:trPr>
          <w:trHeight w:val="198"/>
        </w:trPr>
        <w:tc>
          <w:tcPr>
            <w:tcW w:w="4820" w:type="dxa"/>
            <w:tcBorders>
              <w:top w:val="single" w:sz="2" w:space="0" w:color="auto"/>
              <w:left w:val="nil"/>
              <w:bottom w:val="single" w:sz="2" w:space="0" w:color="auto"/>
              <w:right w:val="nil"/>
            </w:tcBorders>
            <w:shd w:val="clear" w:color="auto" w:fill="auto"/>
            <w:vAlign w:val="center"/>
            <w:hideMark/>
          </w:tcPr>
          <w:p w14:paraId="3005C810" w14:textId="77777777" w:rsidR="00807992" w:rsidRPr="00C6167A" w:rsidRDefault="00807992" w:rsidP="00807992">
            <w:pPr>
              <w:spacing w:after="0"/>
              <w:ind w:firstLine="0"/>
              <w:jc w:val="left"/>
              <w:rPr>
                <w:rFonts w:ascii="Arial Narrow" w:hAnsi="Arial Narrow" w:cs="Calibri"/>
                <w:color w:val="000000"/>
                <w:lang w:val="es-ES" w:eastAsia="es-ES"/>
              </w:rPr>
            </w:pPr>
            <w:r w:rsidRPr="00C6167A">
              <w:rPr>
                <w:rFonts w:ascii="Arial Narrow" w:hAnsi="Arial Narrow" w:cs="Calibri"/>
                <w:color w:val="000000"/>
                <w:lang w:val="es-ES" w:eastAsia="es-ES"/>
              </w:rPr>
              <w:t>Nivel de endeudamiento (deuda viva/ingresos corrientes)</w:t>
            </w:r>
          </w:p>
        </w:tc>
        <w:tc>
          <w:tcPr>
            <w:tcW w:w="1417" w:type="dxa"/>
            <w:tcBorders>
              <w:top w:val="single" w:sz="2" w:space="0" w:color="auto"/>
              <w:left w:val="nil"/>
              <w:bottom w:val="single" w:sz="2" w:space="0" w:color="auto"/>
              <w:right w:val="nil"/>
            </w:tcBorders>
            <w:shd w:val="clear" w:color="auto" w:fill="auto"/>
            <w:vAlign w:val="center"/>
            <w:hideMark/>
          </w:tcPr>
          <w:p w14:paraId="68D8EB52"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21%</w:t>
            </w:r>
          </w:p>
        </w:tc>
        <w:tc>
          <w:tcPr>
            <w:tcW w:w="1276" w:type="dxa"/>
            <w:tcBorders>
              <w:top w:val="single" w:sz="2" w:space="0" w:color="auto"/>
              <w:left w:val="nil"/>
              <w:bottom w:val="single" w:sz="2" w:space="0" w:color="auto"/>
              <w:right w:val="nil"/>
            </w:tcBorders>
            <w:shd w:val="clear" w:color="auto" w:fill="auto"/>
            <w:vAlign w:val="center"/>
            <w:hideMark/>
          </w:tcPr>
          <w:p w14:paraId="64C89D00" w14:textId="77777777" w:rsidR="00807992" w:rsidRPr="00C6167A" w:rsidRDefault="00807992" w:rsidP="000023DA">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1</w:t>
            </w:r>
            <w:r w:rsidR="000023DA">
              <w:rPr>
                <w:rFonts w:ascii="Calibri" w:hAnsi="Calibri" w:cs="Calibri"/>
                <w:color w:val="000000"/>
                <w:lang w:val="es-ES" w:eastAsia="es-ES"/>
              </w:rPr>
              <w:t>6</w:t>
            </w:r>
            <w:r w:rsidRPr="00C6167A">
              <w:rPr>
                <w:rFonts w:ascii="Calibri" w:hAnsi="Calibri" w:cs="Calibri"/>
                <w:color w:val="000000"/>
                <w:lang w:val="es-ES" w:eastAsia="es-ES"/>
              </w:rPr>
              <w:t>%</w:t>
            </w:r>
          </w:p>
        </w:tc>
        <w:tc>
          <w:tcPr>
            <w:tcW w:w="1276" w:type="dxa"/>
            <w:tcBorders>
              <w:top w:val="single" w:sz="2" w:space="0" w:color="auto"/>
              <w:left w:val="nil"/>
              <w:bottom w:val="single" w:sz="2" w:space="0" w:color="auto"/>
              <w:right w:val="nil"/>
            </w:tcBorders>
            <w:shd w:val="clear" w:color="auto" w:fill="auto"/>
            <w:vAlign w:val="center"/>
            <w:hideMark/>
          </w:tcPr>
          <w:p w14:paraId="7F3BFEA2"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w:t>
            </w:r>
            <w:r w:rsidR="000023DA">
              <w:rPr>
                <w:rFonts w:ascii="Calibri" w:hAnsi="Calibri" w:cs="Calibri"/>
                <w:color w:val="000000"/>
                <w:lang w:val="es-ES" w:eastAsia="es-ES"/>
              </w:rPr>
              <w:t>23</w:t>
            </w:r>
          </w:p>
        </w:tc>
      </w:tr>
      <w:tr w:rsidR="00807992" w:rsidRPr="00C6167A" w14:paraId="54640FC9" w14:textId="77777777" w:rsidTr="0046298C">
        <w:trPr>
          <w:trHeight w:val="198"/>
        </w:trPr>
        <w:tc>
          <w:tcPr>
            <w:tcW w:w="4820" w:type="dxa"/>
            <w:tcBorders>
              <w:top w:val="single" w:sz="2" w:space="0" w:color="auto"/>
              <w:left w:val="nil"/>
              <w:bottom w:val="single" w:sz="2" w:space="0" w:color="auto"/>
              <w:right w:val="nil"/>
            </w:tcBorders>
            <w:shd w:val="clear" w:color="auto" w:fill="auto"/>
            <w:vAlign w:val="center"/>
            <w:hideMark/>
          </w:tcPr>
          <w:p w14:paraId="33C6D832" w14:textId="77777777" w:rsidR="00807992" w:rsidRPr="00C6167A" w:rsidRDefault="00807992" w:rsidP="00807992">
            <w:pPr>
              <w:spacing w:after="0"/>
              <w:ind w:firstLine="0"/>
              <w:jc w:val="left"/>
              <w:rPr>
                <w:rFonts w:ascii="Arial Narrow" w:hAnsi="Arial Narrow" w:cs="Calibri"/>
                <w:color w:val="000000"/>
                <w:lang w:val="es-ES" w:eastAsia="es-ES"/>
              </w:rPr>
            </w:pPr>
            <w:r w:rsidRPr="00C6167A">
              <w:rPr>
                <w:rFonts w:ascii="Arial Narrow" w:hAnsi="Arial Narrow" w:cs="Calibri"/>
                <w:color w:val="000000"/>
                <w:lang w:val="es-ES" w:eastAsia="es-ES"/>
              </w:rPr>
              <w:t>Remanente tesorería para gastos generales</w:t>
            </w:r>
          </w:p>
        </w:tc>
        <w:tc>
          <w:tcPr>
            <w:tcW w:w="1417" w:type="dxa"/>
            <w:tcBorders>
              <w:top w:val="single" w:sz="2" w:space="0" w:color="auto"/>
              <w:left w:val="nil"/>
              <w:bottom w:val="single" w:sz="2" w:space="0" w:color="auto"/>
              <w:right w:val="nil"/>
            </w:tcBorders>
            <w:shd w:val="clear" w:color="auto" w:fill="auto"/>
            <w:vAlign w:val="center"/>
            <w:hideMark/>
          </w:tcPr>
          <w:p w14:paraId="6E60BCE5"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35.583.808</w:t>
            </w:r>
          </w:p>
        </w:tc>
        <w:tc>
          <w:tcPr>
            <w:tcW w:w="1276" w:type="dxa"/>
            <w:tcBorders>
              <w:top w:val="single" w:sz="2" w:space="0" w:color="auto"/>
              <w:left w:val="nil"/>
              <w:bottom w:val="single" w:sz="2" w:space="0" w:color="auto"/>
              <w:right w:val="nil"/>
            </w:tcBorders>
            <w:shd w:val="clear" w:color="auto" w:fill="auto"/>
            <w:vAlign w:val="center"/>
            <w:hideMark/>
          </w:tcPr>
          <w:p w14:paraId="103B8904"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28.561.297</w:t>
            </w:r>
          </w:p>
        </w:tc>
        <w:tc>
          <w:tcPr>
            <w:tcW w:w="1276" w:type="dxa"/>
            <w:tcBorders>
              <w:top w:val="single" w:sz="2" w:space="0" w:color="auto"/>
              <w:left w:val="nil"/>
              <w:bottom w:val="single" w:sz="2" w:space="0" w:color="auto"/>
              <w:right w:val="nil"/>
            </w:tcBorders>
            <w:shd w:val="clear" w:color="auto" w:fill="auto"/>
            <w:vAlign w:val="center"/>
            <w:hideMark/>
          </w:tcPr>
          <w:p w14:paraId="5704209D"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-20</w:t>
            </w:r>
          </w:p>
        </w:tc>
      </w:tr>
      <w:tr w:rsidR="00807992" w:rsidRPr="00C6167A" w14:paraId="2E5346C3" w14:textId="77777777" w:rsidTr="004845DB">
        <w:trPr>
          <w:trHeight w:val="198"/>
        </w:trPr>
        <w:tc>
          <w:tcPr>
            <w:tcW w:w="4820" w:type="dxa"/>
            <w:tcBorders>
              <w:top w:val="single" w:sz="2" w:space="0" w:color="auto"/>
              <w:left w:val="nil"/>
              <w:bottom w:val="single" w:sz="4" w:space="0" w:color="auto"/>
              <w:right w:val="nil"/>
            </w:tcBorders>
            <w:shd w:val="clear" w:color="auto" w:fill="auto"/>
            <w:vAlign w:val="center"/>
            <w:hideMark/>
          </w:tcPr>
          <w:p w14:paraId="1DBE6950" w14:textId="77777777" w:rsidR="00807992" w:rsidRPr="00C6167A" w:rsidRDefault="00807992" w:rsidP="00807992">
            <w:pPr>
              <w:spacing w:after="0"/>
              <w:ind w:firstLine="0"/>
              <w:jc w:val="left"/>
              <w:rPr>
                <w:rFonts w:ascii="Arial Narrow" w:hAnsi="Arial Narrow" w:cs="Calibri"/>
                <w:color w:val="000000"/>
                <w:lang w:val="es-ES" w:eastAsia="es-ES"/>
              </w:rPr>
            </w:pPr>
            <w:r w:rsidRPr="00C6167A">
              <w:rPr>
                <w:rFonts w:ascii="Arial Narrow" w:hAnsi="Arial Narrow" w:cs="Calibri"/>
                <w:color w:val="000000"/>
                <w:lang w:val="es-ES" w:eastAsia="es-ES"/>
              </w:rPr>
              <w:t>Autonomía fiscal (tributos/derechos reconocidos netos)</w:t>
            </w:r>
          </w:p>
        </w:tc>
        <w:tc>
          <w:tcPr>
            <w:tcW w:w="1417" w:type="dxa"/>
            <w:tcBorders>
              <w:top w:val="single" w:sz="2" w:space="0" w:color="auto"/>
              <w:left w:val="nil"/>
              <w:bottom w:val="single" w:sz="4" w:space="0" w:color="auto"/>
              <w:right w:val="nil"/>
            </w:tcBorders>
            <w:shd w:val="clear" w:color="auto" w:fill="auto"/>
            <w:vAlign w:val="center"/>
            <w:hideMark/>
          </w:tcPr>
          <w:p w14:paraId="2CDAECFE" w14:textId="77777777" w:rsidR="00807992" w:rsidRPr="00C6167A" w:rsidRDefault="00807992" w:rsidP="00807992">
            <w:pPr>
              <w:spacing w:after="0"/>
              <w:ind w:firstLine="0"/>
              <w:jc w:val="right"/>
              <w:rPr>
                <w:rFonts w:ascii="Calibri" w:hAnsi="Calibri" w:cs="Calibri"/>
                <w:color w:val="000000"/>
                <w:lang w:val="es-ES" w:eastAsia="es-ES"/>
              </w:rPr>
            </w:pPr>
            <w:r w:rsidRPr="00C6167A">
              <w:rPr>
                <w:rFonts w:ascii="Calibri" w:hAnsi="Calibri" w:cs="Calibri"/>
                <w:color w:val="000000"/>
                <w:lang w:val="es-ES" w:eastAsia="es-ES"/>
              </w:rPr>
              <w:t>37%</w:t>
            </w:r>
          </w:p>
        </w:tc>
        <w:tc>
          <w:tcPr>
            <w:tcW w:w="1276" w:type="dxa"/>
            <w:tcBorders>
              <w:top w:val="single" w:sz="2" w:space="0" w:color="auto"/>
              <w:left w:val="nil"/>
              <w:bottom w:val="single" w:sz="4" w:space="0" w:color="auto"/>
              <w:right w:val="nil"/>
            </w:tcBorders>
            <w:shd w:val="clear" w:color="auto" w:fill="auto"/>
            <w:vAlign w:val="center"/>
            <w:hideMark/>
          </w:tcPr>
          <w:p w14:paraId="65C29853" w14:textId="77777777" w:rsidR="00807992" w:rsidRPr="00C6167A" w:rsidRDefault="000023DA" w:rsidP="00807992">
            <w:pPr>
              <w:spacing w:after="0"/>
              <w:ind w:firstLine="0"/>
              <w:jc w:val="right"/>
              <w:rPr>
                <w:rFonts w:ascii="Calibri" w:hAnsi="Calibri" w:cs="Calibri"/>
                <w:color w:val="000000"/>
                <w:lang w:val="es-ES" w:eastAsia="es-ES"/>
              </w:rPr>
            </w:pPr>
            <w:r>
              <w:rPr>
                <w:rFonts w:ascii="Calibri" w:hAnsi="Calibri" w:cs="Calibri"/>
                <w:color w:val="000000"/>
                <w:lang w:val="es-ES" w:eastAsia="es-ES"/>
              </w:rPr>
              <w:t>38</w:t>
            </w:r>
            <w:r w:rsidR="00807992">
              <w:rPr>
                <w:rFonts w:ascii="Calibri" w:hAnsi="Calibri" w:cs="Calibri"/>
                <w:color w:val="000000"/>
                <w:lang w:val="es-ES" w:eastAsia="es-ES"/>
              </w:rPr>
              <w:t>%</w:t>
            </w:r>
            <w:r w:rsidR="00807992" w:rsidRPr="00C6167A">
              <w:rPr>
                <w:rFonts w:ascii="Calibri" w:hAnsi="Calibri" w:cs="Calibri"/>
                <w:color w:val="000000"/>
                <w:lang w:val="es-ES" w:eastAsia="es-ES"/>
              </w:rPr>
              <w:t> </w:t>
            </w:r>
          </w:p>
        </w:tc>
        <w:tc>
          <w:tcPr>
            <w:tcW w:w="1276" w:type="dxa"/>
            <w:tcBorders>
              <w:top w:val="single" w:sz="2" w:space="0" w:color="auto"/>
              <w:left w:val="nil"/>
              <w:bottom w:val="single" w:sz="4" w:space="0" w:color="auto"/>
              <w:right w:val="nil"/>
            </w:tcBorders>
            <w:shd w:val="clear" w:color="auto" w:fill="auto"/>
            <w:vAlign w:val="center"/>
            <w:hideMark/>
          </w:tcPr>
          <w:p w14:paraId="755A9000" w14:textId="77777777" w:rsidR="00807992" w:rsidRPr="00C6167A" w:rsidRDefault="000023DA" w:rsidP="00807992">
            <w:pPr>
              <w:spacing w:after="0"/>
              <w:ind w:firstLine="0"/>
              <w:jc w:val="right"/>
              <w:rPr>
                <w:rFonts w:ascii="Calibri" w:hAnsi="Calibri" w:cs="Calibri"/>
                <w:color w:val="000000"/>
                <w:lang w:val="es-ES" w:eastAsia="es-ES"/>
              </w:rPr>
            </w:pPr>
            <w:r>
              <w:rPr>
                <w:rFonts w:ascii="Calibri" w:hAnsi="Calibri" w:cs="Calibri"/>
                <w:color w:val="000000"/>
                <w:lang w:val="es-ES" w:eastAsia="es-ES"/>
              </w:rPr>
              <w:t>3</w:t>
            </w:r>
            <w:r w:rsidR="00807992" w:rsidRPr="00C6167A">
              <w:rPr>
                <w:rFonts w:ascii="Calibri" w:hAnsi="Calibri" w:cs="Calibri"/>
                <w:color w:val="000000"/>
                <w:lang w:val="es-ES" w:eastAsia="es-ES"/>
              </w:rPr>
              <w:t> </w:t>
            </w:r>
          </w:p>
        </w:tc>
      </w:tr>
      <w:tr w:rsidR="00807992" w:rsidRPr="003739CB" w14:paraId="0B074E4E" w14:textId="77777777" w:rsidTr="004845DB">
        <w:trPr>
          <w:trHeight w:val="198"/>
        </w:trPr>
        <w:tc>
          <w:tcPr>
            <w:tcW w:w="4820" w:type="dxa"/>
            <w:tcBorders>
              <w:top w:val="single" w:sz="4" w:space="0" w:color="auto"/>
              <w:left w:val="nil"/>
              <w:bottom w:val="single" w:sz="4" w:space="0" w:color="auto"/>
              <w:right w:val="nil"/>
            </w:tcBorders>
            <w:shd w:val="clear" w:color="auto" w:fill="auto"/>
            <w:vAlign w:val="center"/>
            <w:hideMark/>
          </w:tcPr>
          <w:p w14:paraId="4BCE7CEF" w14:textId="77777777" w:rsidR="00807992" w:rsidRPr="003739CB" w:rsidRDefault="00807992" w:rsidP="00807992">
            <w:pPr>
              <w:spacing w:after="0"/>
              <w:ind w:firstLine="0"/>
              <w:jc w:val="left"/>
              <w:rPr>
                <w:rFonts w:ascii="Arial Narrow" w:hAnsi="Arial Narrow" w:cs="Calibri"/>
                <w:lang w:val="es-ES" w:eastAsia="es-ES"/>
              </w:rPr>
            </w:pPr>
            <w:r w:rsidRPr="003739CB">
              <w:rPr>
                <w:rFonts w:ascii="Arial Narrow" w:hAnsi="Arial Narrow" w:cs="Calibri"/>
                <w:lang w:val="es-ES" w:eastAsia="es-ES"/>
              </w:rPr>
              <w:t xml:space="preserve">Índice deudores dudoso cobro (saldo DDC/deudores pendientes </w:t>
            </w:r>
            <w:proofErr w:type="gramStart"/>
            <w:r w:rsidRPr="003739CB">
              <w:rPr>
                <w:rFonts w:ascii="Arial Narrow" w:hAnsi="Arial Narrow" w:cs="Calibri"/>
                <w:lang w:val="es-ES" w:eastAsia="es-ES"/>
              </w:rPr>
              <w:t>cobro)*</w:t>
            </w:r>
            <w:proofErr w:type="gramEnd"/>
            <w:r w:rsidRPr="003739CB">
              <w:rPr>
                <w:rFonts w:ascii="Arial Narrow" w:hAnsi="Arial Narrow" w:cs="Calibri"/>
                <w:lang w:val="es-ES" w:eastAsia="es-ES"/>
              </w:rPr>
              <w:t>100</w:t>
            </w:r>
          </w:p>
        </w:tc>
        <w:tc>
          <w:tcPr>
            <w:tcW w:w="1417" w:type="dxa"/>
            <w:tcBorders>
              <w:top w:val="single" w:sz="4" w:space="0" w:color="auto"/>
              <w:left w:val="nil"/>
              <w:bottom w:val="single" w:sz="4" w:space="0" w:color="auto"/>
              <w:right w:val="nil"/>
            </w:tcBorders>
            <w:shd w:val="clear" w:color="auto" w:fill="auto"/>
            <w:vAlign w:val="center"/>
            <w:hideMark/>
          </w:tcPr>
          <w:p w14:paraId="4B9BAB59" w14:textId="77777777" w:rsidR="00807992" w:rsidRPr="003739CB" w:rsidRDefault="003739CB" w:rsidP="00807992">
            <w:pPr>
              <w:spacing w:after="0"/>
              <w:ind w:firstLine="0"/>
              <w:jc w:val="right"/>
              <w:rPr>
                <w:rFonts w:ascii="Calibri" w:hAnsi="Calibri" w:cs="Calibri"/>
                <w:lang w:val="es-ES" w:eastAsia="es-ES"/>
              </w:rPr>
            </w:pPr>
            <w:r>
              <w:rPr>
                <w:rFonts w:ascii="Calibri" w:hAnsi="Calibri" w:cs="Calibri"/>
                <w:lang w:val="es-ES" w:eastAsia="es-ES"/>
              </w:rPr>
              <w:t>46</w:t>
            </w:r>
            <w:r w:rsidR="00807992" w:rsidRPr="003739CB">
              <w:rPr>
                <w:rFonts w:ascii="Calibri" w:hAnsi="Calibri" w:cs="Calibri"/>
                <w:lang w:val="es-ES" w:eastAsia="es-ES"/>
              </w:rPr>
              <w:t>%</w:t>
            </w:r>
          </w:p>
        </w:tc>
        <w:tc>
          <w:tcPr>
            <w:tcW w:w="1276" w:type="dxa"/>
            <w:tcBorders>
              <w:top w:val="single" w:sz="4" w:space="0" w:color="auto"/>
              <w:left w:val="nil"/>
              <w:bottom w:val="single" w:sz="4" w:space="0" w:color="auto"/>
              <w:right w:val="nil"/>
            </w:tcBorders>
            <w:shd w:val="clear" w:color="auto" w:fill="auto"/>
            <w:vAlign w:val="center"/>
            <w:hideMark/>
          </w:tcPr>
          <w:p w14:paraId="2E095CF6" w14:textId="77777777" w:rsidR="00807992" w:rsidRPr="003739CB" w:rsidRDefault="003739CB" w:rsidP="00807992">
            <w:pPr>
              <w:spacing w:after="0"/>
              <w:ind w:firstLine="0"/>
              <w:jc w:val="right"/>
              <w:rPr>
                <w:rFonts w:ascii="Calibri" w:hAnsi="Calibri" w:cs="Calibri"/>
                <w:lang w:val="es-ES" w:eastAsia="es-ES"/>
              </w:rPr>
            </w:pPr>
            <w:r>
              <w:rPr>
                <w:rFonts w:ascii="Calibri" w:hAnsi="Calibri" w:cs="Calibri"/>
                <w:lang w:val="es-ES" w:eastAsia="es-ES"/>
              </w:rPr>
              <w:t>46%</w:t>
            </w:r>
          </w:p>
        </w:tc>
        <w:tc>
          <w:tcPr>
            <w:tcW w:w="1276" w:type="dxa"/>
            <w:tcBorders>
              <w:top w:val="single" w:sz="4" w:space="0" w:color="auto"/>
              <w:left w:val="nil"/>
              <w:bottom w:val="single" w:sz="4" w:space="0" w:color="auto"/>
              <w:right w:val="nil"/>
            </w:tcBorders>
            <w:shd w:val="clear" w:color="auto" w:fill="auto"/>
            <w:vAlign w:val="center"/>
            <w:hideMark/>
          </w:tcPr>
          <w:p w14:paraId="384004DC" w14:textId="77777777" w:rsidR="00807992" w:rsidRPr="003739CB" w:rsidRDefault="003739CB" w:rsidP="00807992">
            <w:pPr>
              <w:spacing w:after="0"/>
              <w:ind w:firstLine="0"/>
              <w:jc w:val="right"/>
              <w:rPr>
                <w:rFonts w:ascii="Calibri" w:hAnsi="Calibri" w:cs="Calibri"/>
                <w:lang w:val="es-ES" w:eastAsia="es-ES"/>
              </w:rPr>
            </w:pPr>
            <w:r>
              <w:rPr>
                <w:rFonts w:ascii="Calibri" w:hAnsi="Calibri" w:cs="Calibri"/>
                <w:lang w:val="es-ES" w:eastAsia="es-ES"/>
              </w:rPr>
              <w:t>-</w:t>
            </w:r>
            <w:r w:rsidR="00807992" w:rsidRPr="003739CB">
              <w:rPr>
                <w:rFonts w:ascii="Calibri" w:hAnsi="Calibri" w:cs="Calibri"/>
                <w:lang w:val="es-ES" w:eastAsia="es-ES"/>
              </w:rPr>
              <w:t> </w:t>
            </w:r>
          </w:p>
        </w:tc>
      </w:tr>
    </w:tbl>
    <w:p w14:paraId="3253CCC5" w14:textId="77777777" w:rsidR="00807992" w:rsidRDefault="00807992" w:rsidP="00807992">
      <w:pPr>
        <w:tabs>
          <w:tab w:val="center" w:pos="2835"/>
          <w:tab w:val="center" w:pos="3969"/>
          <w:tab w:val="center" w:pos="5103"/>
          <w:tab w:val="center" w:pos="6237"/>
          <w:tab w:val="center" w:pos="7371"/>
        </w:tabs>
        <w:ind w:firstLine="284"/>
        <w:rPr>
          <w:spacing w:val="6"/>
          <w:sz w:val="26"/>
          <w:szCs w:val="24"/>
        </w:rPr>
      </w:pPr>
    </w:p>
    <w:p w14:paraId="53E37184" w14:textId="77777777" w:rsidR="00C4387E" w:rsidRDefault="00C4387E" w:rsidP="00807992">
      <w:pPr>
        <w:tabs>
          <w:tab w:val="center" w:pos="2835"/>
          <w:tab w:val="center" w:pos="3969"/>
          <w:tab w:val="center" w:pos="5103"/>
          <w:tab w:val="center" w:pos="6237"/>
          <w:tab w:val="center" w:pos="7371"/>
        </w:tabs>
        <w:ind w:firstLine="284"/>
        <w:rPr>
          <w:spacing w:val="6"/>
          <w:sz w:val="26"/>
          <w:szCs w:val="24"/>
        </w:rPr>
      </w:pPr>
    </w:p>
    <w:p w14:paraId="5786A786" w14:textId="77777777" w:rsidR="00807992" w:rsidRPr="00667DFF" w:rsidRDefault="00807992" w:rsidP="00807992">
      <w:pPr>
        <w:tabs>
          <w:tab w:val="center" w:pos="2835"/>
          <w:tab w:val="center" w:pos="3969"/>
          <w:tab w:val="center" w:pos="5103"/>
          <w:tab w:val="center" w:pos="6237"/>
          <w:tab w:val="center" w:pos="7371"/>
        </w:tabs>
        <w:ind w:firstLine="284"/>
        <w:rPr>
          <w:spacing w:val="6"/>
          <w:sz w:val="26"/>
          <w:szCs w:val="24"/>
        </w:rPr>
      </w:pPr>
      <w:r w:rsidRPr="00667DFF">
        <w:rPr>
          <w:spacing w:val="6"/>
          <w:sz w:val="26"/>
          <w:szCs w:val="24"/>
        </w:rPr>
        <w:lastRenderedPageBreak/>
        <w:t>Del cuadro anterior, señalamos los siguientes aspectos:</w:t>
      </w:r>
    </w:p>
    <w:p w14:paraId="63D59FF6" w14:textId="77777777" w:rsidR="00807992" w:rsidRPr="0013706C" w:rsidRDefault="00807992" w:rsidP="00807992">
      <w:pPr>
        <w:numPr>
          <w:ilvl w:val="0"/>
          <w:numId w:val="2"/>
        </w:numPr>
        <w:tabs>
          <w:tab w:val="clear" w:pos="502"/>
          <w:tab w:val="left" w:pos="480"/>
          <w:tab w:val="num" w:pos="720"/>
          <w:tab w:val="num" w:pos="6597"/>
        </w:tabs>
        <w:ind w:left="0" w:firstLine="289"/>
        <w:rPr>
          <w:color w:val="000000" w:themeColor="text1"/>
          <w:spacing w:val="6"/>
          <w:sz w:val="26"/>
          <w:szCs w:val="26"/>
        </w:rPr>
      </w:pPr>
      <w:r w:rsidRPr="00B65762">
        <w:rPr>
          <w:spacing w:val="6"/>
          <w:sz w:val="26"/>
          <w:szCs w:val="26"/>
        </w:rPr>
        <w:t>Las cifras de ahorro bruto y neto son inferiores a las de ejercicio anterior</w:t>
      </w:r>
      <w:r w:rsidR="00351E0D">
        <w:rPr>
          <w:spacing w:val="6"/>
          <w:sz w:val="26"/>
          <w:szCs w:val="26"/>
        </w:rPr>
        <w:t>. S</w:t>
      </w:r>
      <w:r w:rsidRPr="00B65762">
        <w:rPr>
          <w:spacing w:val="6"/>
          <w:sz w:val="26"/>
          <w:szCs w:val="26"/>
        </w:rPr>
        <w:t>e deben a que el aumento en los gastos corrientes</w:t>
      </w:r>
      <w:r w:rsidR="00B65762" w:rsidRPr="00B65762">
        <w:rPr>
          <w:spacing w:val="6"/>
          <w:sz w:val="26"/>
          <w:szCs w:val="26"/>
        </w:rPr>
        <w:t xml:space="preserve"> en un cuatro por ciento</w:t>
      </w:r>
      <w:r w:rsidRPr="00B65762">
        <w:rPr>
          <w:spacing w:val="6"/>
          <w:sz w:val="26"/>
          <w:szCs w:val="26"/>
        </w:rPr>
        <w:t xml:space="preserve">, no se ha compensado con </w:t>
      </w:r>
      <w:r w:rsidR="00B65762" w:rsidRPr="00B65762">
        <w:rPr>
          <w:spacing w:val="6"/>
          <w:sz w:val="26"/>
          <w:szCs w:val="26"/>
        </w:rPr>
        <w:t xml:space="preserve">el incremento en un tres por ciento de </w:t>
      </w:r>
      <w:r w:rsidRPr="00B65762">
        <w:rPr>
          <w:spacing w:val="6"/>
          <w:sz w:val="26"/>
          <w:szCs w:val="26"/>
        </w:rPr>
        <w:t>los ingresos corrie</w:t>
      </w:r>
      <w:r w:rsidR="00B65762" w:rsidRPr="00B65762">
        <w:rPr>
          <w:spacing w:val="6"/>
          <w:sz w:val="26"/>
          <w:szCs w:val="26"/>
        </w:rPr>
        <w:t>ntes.</w:t>
      </w:r>
      <w:r w:rsidRPr="00B65762">
        <w:rPr>
          <w:spacing w:val="6"/>
          <w:sz w:val="26"/>
          <w:szCs w:val="26"/>
        </w:rPr>
        <w:t xml:space="preserve"> Por otro lado, la carga financiera ha aumentado en un diez por ciento como consecuencia de </w:t>
      </w:r>
      <w:r w:rsidR="00792974" w:rsidRPr="00B65762">
        <w:rPr>
          <w:spacing w:val="6"/>
          <w:sz w:val="26"/>
          <w:szCs w:val="26"/>
        </w:rPr>
        <w:t>aumentar la a</w:t>
      </w:r>
      <w:r w:rsidR="009F755D" w:rsidRPr="00B65762">
        <w:rPr>
          <w:spacing w:val="6"/>
          <w:sz w:val="26"/>
          <w:szCs w:val="26"/>
        </w:rPr>
        <w:t xml:space="preserve">mortización programada </w:t>
      </w:r>
      <w:r w:rsidR="0005127C" w:rsidRPr="00B65762">
        <w:rPr>
          <w:spacing w:val="6"/>
          <w:sz w:val="26"/>
          <w:szCs w:val="26"/>
        </w:rPr>
        <w:t xml:space="preserve">para </w:t>
      </w:r>
      <w:r w:rsidR="009F755D" w:rsidRPr="00B65762">
        <w:rPr>
          <w:spacing w:val="6"/>
          <w:sz w:val="26"/>
          <w:szCs w:val="26"/>
        </w:rPr>
        <w:t xml:space="preserve">2021 </w:t>
      </w:r>
      <w:r w:rsidR="0005127C" w:rsidRPr="00B65762">
        <w:rPr>
          <w:spacing w:val="6"/>
          <w:sz w:val="26"/>
          <w:szCs w:val="26"/>
        </w:rPr>
        <w:t xml:space="preserve">con </w:t>
      </w:r>
      <w:r w:rsidRPr="00B65762">
        <w:rPr>
          <w:spacing w:val="6"/>
          <w:sz w:val="26"/>
          <w:szCs w:val="26"/>
        </w:rPr>
        <w:t>la cance</w:t>
      </w:r>
      <w:r w:rsidRPr="0013706C">
        <w:rPr>
          <w:color w:val="000000" w:themeColor="text1"/>
          <w:spacing w:val="6"/>
          <w:sz w:val="26"/>
          <w:szCs w:val="26"/>
        </w:rPr>
        <w:t>la</w:t>
      </w:r>
      <w:r w:rsidR="00792974">
        <w:rPr>
          <w:color w:val="000000" w:themeColor="text1"/>
          <w:spacing w:val="6"/>
          <w:sz w:val="26"/>
          <w:szCs w:val="26"/>
        </w:rPr>
        <w:t xml:space="preserve">ción anticipada de un préstamo por un millón. </w:t>
      </w:r>
      <w:r w:rsidRPr="0013706C">
        <w:rPr>
          <w:color w:val="000000" w:themeColor="text1"/>
          <w:spacing w:val="6"/>
          <w:sz w:val="26"/>
          <w:szCs w:val="24"/>
        </w:rPr>
        <w:t>No obstante, destacamos que las magnitudes ahorro bruto y neto son supe</w:t>
      </w:r>
      <w:r w:rsidRPr="0013706C">
        <w:rPr>
          <w:color w:val="000000" w:themeColor="text1"/>
          <w:spacing w:val="6"/>
          <w:sz w:val="26"/>
          <w:szCs w:val="26"/>
        </w:rPr>
        <w:t>riores a las</w:t>
      </w:r>
      <w:r w:rsidR="00477FEC">
        <w:rPr>
          <w:color w:val="000000" w:themeColor="text1"/>
          <w:spacing w:val="6"/>
          <w:sz w:val="26"/>
          <w:szCs w:val="26"/>
        </w:rPr>
        <w:t xml:space="preserve"> de los ejercicios 2018 y 2019.</w:t>
      </w:r>
    </w:p>
    <w:p w14:paraId="156689DF" w14:textId="77777777" w:rsidR="00807992" w:rsidRPr="00BF243F" w:rsidRDefault="00807992" w:rsidP="00807992">
      <w:pPr>
        <w:tabs>
          <w:tab w:val="center" w:pos="2835"/>
          <w:tab w:val="center" w:pos="3969"/>
          <w:tab w:val="center" w:pos="5103"/>
          <w:tab w:val="center" w:pos="6237"/>
          <w:tab w:val="center" w:pos="7371"/>
        </w:tabs>
        <w:spacing w:after="240"/>
        <w:ind w:firstLine="284"/>
        <w:rPr>
          <w:color w:val="000000" w:themeColor="text1"/>
          <w:spacing w:val="6"/>
          <w:sz w:val="26"/>
          <w:szCs w:val="24"/>
        </w:rPr>
      </w:pPr>
      <w:r w:rsidRPr="00BF243F">
        <w:rPr>
          <w:color w:val="000000" w:themeColor="text1"/>
          <w:spacing w:val="6"/>
          <w:sz w:val="26"/>
          <w:szCs w:val="24"/>
        </w:rPr>
        <w:t xml:space="preserve">En cualquier caso, </w:t>
      </w:r>
      <w:r>
        <w:rPr>
          <w:color w:val="000000" w:themeColor="text1"/>
          <w:spacing w:val="6"/>
          <w:sz w:val="26"/>
          <w:szCs w:val="24"/>
        </w:rPr>
        <w:t xml:space="preserve">la magnitud ahorro neto de importe positivo, </w:t>
      </w:r>
      <w:r w:rsidRPr="00BF243F">
        <w:rPr>
          <w:color w:val="000000" w:themeColor="text1"/>
          <w:spacing w:val="6"/>
          <w:sz w:val="26"/>
          <w:szCs w:val="24"/>
        </w:rPr>
        <w:t>i</w:t>
      </w:r>
      <w:r>
        <w:rPr>
          <w:color w:val="000000" w:themeColor="text1"/>
          <w:spacing w:val="6"/>
          <w:sz w:val="26"/>
          <w:szCs w:val="24"/>
        </w:rPr>
        <w:t>ndica que el ayuntamiento genera</w:t>
      </w:r>
      <w:r w:rsidRPr="00BF243F">
        <w:rPr>
          <w:color w:val="000000" w:themeColor="text1"/>
          <w:spacing w:val="6"/>
          <w:sz w:val="26"/>
          <w:szCs w:val="24"/>
        </w:rPr>
        <w:t xml:space="preserve"> suficientes recursos para atender los gastos de funcio</w:t>
      </w:r>
      <w:r>
        <w:rPr>
          <w:color w:val="000000" w:themeColor="text1"/>
          <w:spacing w:val="6"/>
          <w:sz w:val="26"/>
          <w:szCs w:val="24"/>
        </w:rPr>
        <w:t xml:space="preserve">namiento y la carga financiera. </w:t>
      </w:r>
    </w:p>
    <w:p w14:paraId="19C3D9E6" w14:textId="77777777" w:rsidR="00807992" w:rsidRPr="00BE5E74" w:rsidRDefault="00807992" w:rsidP="00807992">
      <w:pPr>
        <w:numPr>
          <w:ilvl w:val="0"/>
          <w:numId w:val="2"/>
        </w:numPr>
        <w:tabs>
          <w:tab w:val="clear" w:pos="502"/>
          <w:tab w:val="left" w:pos="480"/>
          <w:tab w:val="num" w:pos="720"/>
          <w:tab w:val="num" w:pos="6597"/>
        </w:tabs>
        <w:ind w:left="0" w:firstLine="289"/>
        <w:rPr>
          <w:color w:val="000000" w:themeColor="text1"/>
          <w:spacing w:val="6"/>
          <w:sz w:val="26"/>
          <w:szCs w:val="26"/>
        </w:rPr>
      </w:pPr>
      <w:r w:rsidRPr="00BE5E74">
        <w:rPr>
          <w:color w:val="000000" w:themeColor="text1"/>
          <w:spacing w:val="6"/>
          <w:sz w:val="26"/>
          <w:szCs w:val="26"/>
        </w:rPr>
        <w:t>La deuda viva es de 36,17 millones habiendo disminuido un 21 por ciento respecto al ejercicio anterior</w:t>
      </w:r>
      <w:r>
        <w:rPr>
          <w:color w:val="000000" w:themeColor="text1"/>
          <w:spacing w:val="6"/>
          <w:sz w:val="26"/>
          <w:szCs w:val="26"/>
        </w:rPr>
        <w:t xml:space="preserve"> </w:t>
      </w:r>
      <w:r w:rsidRPr="00BE5E74">
        <w:rPr>
          <w:color w:val="000000" w:themeColor="text1"/>
          <w:spacing w:val="6"/>
          <w:sz w:val="26"/>
          <w:szCs w:val="26"/>
        </w:rPr>
        <w:t>al haber amortizado deuda por importe de 8,1 millones,</w:t>
      </w:r>
      <w:r w:rsidR="00792974">
        <w:rPr>
          <w:color w:val="000000" w:themeColor="text1"/>
          <w:spacing w:val="6"/>
          <w:sz w:val="26"/>
          <w:szCs w:val="26"/>
        </w:rPr>
        <w:t xml:space="preserve"> </w:t>
      </w:r>
      <w:r w:rsidRPr="00BE5E74">
        <w:rPr>
          <w:color w:val="000000" w:themeColor="text1"/>
          <w:spacing w:val="6"/>
          <w:sz w:val="26"/>
          <w:szCs w:val="26"/>
        </w:rPr>
        <w:t>por lo que el nivel de endeudamiento se sitúa en el 1</w:t>
      </w:r>
      <w:r w:rsidR="000023DA">
        <w:rPr>
          <w:color w:val="000000" w:themeColor="text1"/>
          <w:spacing w:val="6"/>
          <w:sz w:val="26"/>
          <w:szCs w:val="26"/>
        </w:rPr>
        <w:t>6</w:t>
      </w:r>
      <w:r w:rsidRPr="00BE5E74">
        <w:rPr>
          <w:color w:val="000000" w:themeColor="text1"/>
          <w:spacing w:val="6"/>
          <w:sz w:val="26"/>
          <w:szCs w:val="26"/>
        </w:rPr>
        <w:t xml:space="preserve"> por ciento de los ingresos corrientes</w:t>
      </w:r>
      <w:r>
        <w:rPr>
          <w:color w:val="000000" w:themeColor="text1"/>
          <w:spacing w:val="6"/>
          <w:sz w:val="26"/>
          <w:szCs w:val="26"/>
        </w:rPr>
        <w:t xml:space="preserve">. </w:t>
      </w:r>
      <w:r w:rsidR="00DE3CAC">
        <w:rPr>
          <w:color w:val="000000" w:themeColor="text1"/>
          <w:spacing w:val="6"/>
          <w:sz w:val="26"/>
          <w:szCs w:val="26"/>
        </w:rPr>
        <w:t>En 2021 el a</w:t>
      </w:r>
      <w:r w:rsidRPr="00BE5E74">
        <w:rPr>
          <w:color w:val="000000" w:themeColor="text1"/>
          <w:spacing w:val="6"/>
          <w:sz w:val="26"/>
          <w:szCs w:val="26"/>
        </w:rPr>
        <w:t>yuntamiento tampoco ha contratado nuevos préstamos para la financiación de inversiones</w:t>
      </w:r>
      <w:r w:rsidR="00B65762">
        <w:rPr>
          <w:color w:val="000000" w:themeColor="text1"/>
          <w:spacing w:val="6"/>
          <w:sz w:val="26"/>
          <w:szCs w:val="26"/>
        </w:rPr>
        <w:t>.</w:t>
      </w:r>
    </w:p>
    <w:p w14:paraId="098B14A4" w14:textId="77777777" w:rsidR="000023DA" w:rsidRPr="00F20E58" w:rsidRDefault="00B65762" w:rsidP="000023DA">
      <w:pPr>
        <w:numPr>
          <w:ilvl w:val="0"/>
          <w:numId w:val="2"/>
        </w:numPr>
        <w:tabs>
          <w:tab w:val="clear" w:pos="502"/>
          <w:tab w:val="left" w:pos="480"/>
          <w:tab w:val="num" w:pos="720"/>
          <w:tab w:val="num" w:pos="6597"/>
        </w:tabs>
        <w:ind w:left="0" w:firstLine="289"/>
        <w:rPr>
          <w:spacing w:val="6"/>
          <w:sz w:val="26"/>
          <w:szCs w:val="26"/>
        </w:rPr>
      </w:pPr>
      <w:r w:rsidRPr="00F20E58">
        <w:rPr>
          <w:spacing w:val="6"/>
          <w:sz w:val="26"/>
          <w:szCs w:val="26"/>
        </w:rPr>
        <w:t xml:space="preserve">Si bien la magnitud Remanente de Tesorería para Gastos Generales ha disminuido en un 20 por ciento, </w:t>
      </w:r>
      <w:r w:rsidR="00202D4C" w:rsidRPr="00F20E58">
        <w:rPr>
          <w:spacing w:val="6"/>
          <w:sz w:val="26"/>
          <w:szCs w:val="26"/>
        </w:rPr>
        <w:t xml:space="preserve">es superior a la obtenida en los ejercicios 2018 y 2019. </w:t>
      </w:r>
    </w:p>
    <w:p w14:paraId="37A38104" w14:textId="77777777" w:rsidR="00792974" w:rsidRPr="00792974" w:rsidRDefault="00792974" w:rsidP="000023DA">
      <w:pPr>
        <w:numPr>
          <w:ilvl w:val="0"/>
          <w:numId w:val="2"/>
        </w:numPr>
        <w:tabs>
          <w:tab w:val="clear" w:pos="502"/>
          <w:tab w:val="left" w:pos="480"/>
          <w:tab w:val="num" w:pos="720"/>
          <w:tab w:val="num" w:pos="6597"/>
        </w:tabs>
        <w:ind w:left="0" w:firstLine="289"/>
        <w:rPr>
          <w:spacing w:val="6"/>
          <w:sz w:val="26"/>
          <w:szCs w:val="26"/>
        </w:rPr>
      </w:pPr>
      <w:r w:rsidRPr="00792974">
        <w:rPr>
          <w:spacing w:val="6"/>
          <w:sz w:val="26"/>
          <w:szCs w:val="26"/>
        </w:rPr>
        <w:t xml:space="preserve">Una agencia de calificación crediticia ha elevado la calificación </w:t>
      </w:r>
      <w:r>
        <w:rPr>
          <w:spacing w:val="6"/>
          <w:sz w:val="26"/>
          <w:szCs w:val="26"/>
        </w:rPr>
        <w:t>“</w:t>
      </w:r>
      <w:r w:rsidRPr="00792974">
        <w:rPr>
          <w:spacing w:val="6"/>
          <w:sz w:val="26"/>
          <w:szCs w:val="26"/>
        </w:rPr>
        <w:t>A</w:t>
      </w:r>
      <w:r>
        <w:rPr>
          <w:spacing w:val="6"/>
          <w:sz w:val="26"/>
          <w:szCs w:val="26"/>
        </w:rPr>
        <w:t>-”</w:t>
      </w:r>
      <w:r w:rsidRPr="00792974">
        <w:rPr>
          <w:spacing w:val="6"/>
          <w:sz w:val="26"/>
          <w:szCs w:val="26"/>
        </w:rPr>
        <w:t xml:space="preserve"> perspectiva estable que otorgó en 2019 y 2020, a la calificación </w:t>
      </w:r>
      <w:r>
        <w:rPr>
          <w:spacing w:val="6"/>
          <w:sz w:val="26"/>
          <w:szCs w:val="26"/>
        </w:rPr>
        <w:t>“</w:t>
      </w:r>
      <w:r w:rsidRPr="00792974">
        <w:rPr>
          <w:spacing w:val="6"/>
          <w:sz w:val="26"/>
          <w:szCs w:val="26"/>
        </w:rPr>
        <w:t>A</w:t>
      </w:r>
      <w:r>
        <w:rPr>
          <w:spacing w:val="6"/>
          <w:sz w:val="26"/>
          <w:szCs w:val="26"/>
        </w:rPr>
        <w:t>”</w:t>
      </w:r>
      <w:r w:rsidRPr="00792974">
        <w:rPr>
          <w:spacing w:val="6"/>
          <w:sz w:val="26"/>
          <w:szCs w:val="26"/>
        </w:rPr>
        <w:t xml:space="preserve"> perspectiva estable. Esta </w:t>
      </w:r>
      <w:r>
        <w:rPr>
          <w:spacing w:val="6"/>
          <w:sz w:val="26"/>
          <w:szCs w:val="26"/>
        </w:rPr>
        <w:t xml:space="preserve">valoración </w:t>
      </w:r>
      <w:r w:rsidRPr="00792974">
        <w:rPr>
          <w:spacing w:val="6"/>
          <w:sz w:val="26"/>
          <w:szCs w:val="26"/>
        </w:rPr>
        <w:t xml:space="preserve">se realizó inicialmente en febrero de 2021 y se confirma posteriormente en septiembre de 2021. </w:t>
      </w:r>
    </w:p>
    <w:p w14:paraId="16993B17" w14:textId="77777777" w:rsidR="00807992" w:rsidRDefault="00807992" w:rsidP="00807992">
      <w:pPr>
        <w:tabs>
          <w:tab w:val="num" w:pos="6597"/>
        </w:tabs>
        <w:spacing w:after="180"/>
        <w:ind w:firstLine="284"/>
        <w:rPr>
          <w:spacing w:val="6"/>
          <w:sz w:val="26"/>
          <w:szCs w:val="26"/>
          <w:lang w:val="es-ES"/>
        </w:rPr>
      </w:pPr>
      <w:r w:rsidRPr="00667DFF">
        <w:rPr>
          <w:b/>
          <w:spacing w:val="6"/>
          <w:sz w:val="26"/>
          <w:szCs w:val="26"/>
        </w:rPr>
        <w:t>En definitiva,</w:t>
      </w:r>
      <w:r w:rsidRPr="00667DFF">
        <w:rPr>
          <w:spacing w:val="6"/>
          <w:sz w:val="26"/>
          <w:szCs w:val="26"/>
        </w:rPr>
        <w:t xml:space="preserve"> la situación financiera</w:t>
      </w:r>
      <w:r w:rsidRPr="00667DFF">
        <w:rPr>
          <w:spacing w:val="6"/>
          <w:sz w:val="26"/>
          <w:szCs w:val="26"/>
          <w:lang w:val="es-ES"/>
        </w:rPr>
        <w:t xml:space="preserve"> del ayuntamiento es saneada, con unos indicadores de ahorro bruto y neto </w:t>
      </w:r>
      <w:r>
        <w:rPr>
          <w:spacing w:val="6"/>
          <w:sz w:val="26"/>
          <w:szCs w:val="26"/>
          <w:lang w:val="es-ES"/>
        </w:rPr>
        <w:t xml:space="preserve">positivos </w:t>
      </w:r>
      <w:r w:rsidRPr="00667DFF">
        <w:rPr>
          <w:spacing w:val="6"/>
          <w:sz w:val="26"/>
          <w:szCs w:val="26"/>
          <w:lang w:val="es-ES"/>
        </w:rPr>
        <w:t xml:space="preserve">y un nivel de endeudamiento </w:t>
      </w:r>
      <w:r w:rsidR="000023DA">
        <w:rPr>
          <w:color w:val="000000" w:themeColor="text1"/>
          <w:spacing w:val="6"/>
          <w:sz w:val="26"/>
          <w:szCs w:val="26"/>
          <w:lang w:val="es-ES"/>
        </w:rPr>
        <w:t xml:space="preserve">del 16 </w:t>
      </w:r>
      <w:r>
        <w:rPr>
          <w:color w:val="000000" w:themeColor="text1"/>
          <w:spacing w:val="6"/>
          <w:sz w:val="26"/>
          <w:szCs w:val="26"/>
          <w:lang w:val="es-ES"/>
        </w:rPr>
        <w:t xml:space="preserve">por ciento; magnitud con tendencia descendente en los últimos ejercicios, al haber tenido capacidad en los últimos ejercicios de realizar cancelaciones anticipadas de préstamos. </w:t>
      </w:r>
    </w:p>
    <w:p w14:paraId="0F7CA385" w14:textId="77777777" w:rsidR="00807992" w:rsidRPr="00190001" w:rsidRDefault="00807992" w:rsidP="00190001">
      <w:pPr>
        <w:pStyle w:val="atitulo2"/>
      </w:pPr>
      <w:bookmarkStart w:id="129" w:name="_Toc22495443"/>
      <w:bookmarkStart w:id="130" w:name="_Toc55460328"/>
      <w:bookmarkStart w:id="131" w:name="_Toc118266030"/>
      <w:bookmarkStart w:id="132" w:name="_Toc129243490"/>
      <w:r w:rsidRPr="00190001">
        <w:t>5.3. Principios de estabilidad presupuestaria y sostenibilidad financiera</w:t>
      </w:r>
      <w:bookmarkEnd w:id="129"/>
      <w:bookmarkEnd w:id="130"/>
      <w:bookmarkEnd w:id="131"/>
      <w:bookmarkEnd w:id="132"/>
    </w:p>
    <w:p w14:paraId="3B99E7B4" w14:textId="77777777" w:rsidR="00B15A9E" w:rsidRPr="00265CF6" w:rsidRDefault="00B15A9E" w:rsidP="006C3898">
      <w:pPr>
        <w:tabs>
          <w:tab w:val="num" w:pos="6597"/>
        </w:tabs>
        <w:spacing w:after="180"/>
        <w:ind w:firstLine="284"/>
        <w:rPr>
          <w:spacing w:val="6"/>
          <w:sz w:val="26"/>
          <w:szCs w:val="26"/>
          <w:lang w:val="es-ES"/>
        </w:rPr>
      </w:pPr>
      <w:r w:rsidRPr="00B15A9E">
        <w:rPr>
          <w:spacing w:val="6"/>
          <w:sz w:val="26"/>
          <w:szCs w:val="26"/>
        </w:rPr>
        <w:t>A efectos de la aplicación de la Ley Orgánica 2/2012, de 27 de abril, de Esta-</w:t>
      </w:r>
      <w:r w:rsidRPr="00B15A9E">
        <w:rPr>
          <w:spacing w:val="6"/>
          <w:sz w:val="26"/>
          <w:szCs w:val="26"/>
        </w:rPr>
        <w:br/>
      </w:r>
      <w:proofErr w:type="spellStart"/>
      <w:r w:rsidRPr="00B15A9E">
        <w:rPr>
          <w:spacing w:val="6"/>
          <w:sz w:val="26"/>
          <w:szCs w:val="26"/>
        </w:rPr>
        <w:t>bilidad</w:t>
      </w:r>
      <w:proofErr w:type="spellEnd"/>
      <w:r w:rsidRPr="00B15A9E">
        <w:rPr>
          <w:spacing w:val="6"/>
          <w:sz w:val="26"/>
          <w:szCs w:val="26"/>
        </w:rPr>
        <w:t xml:space="preserve"> Presupuestaria y Sostenibilidad Financiera (en adelante </w:t>
      </w:r>
      <w:proofErr w:type="spellStart"/>
      <w:r w:rsidRPr="00B15A9E">
        <w:rPr>
          <w:spacing w:val="6"/>
          <w:sz w:val="26"/>
          <w:szCs w:val="26"/>
        </w:rPr>
        <w:t>LOEPySF</w:t>
      </w:r>
      <w:proofErr w:type="spellEnd"/>
      <w:r w:rsidRPr="00B15A9E">
        <w:rPr>
          <w:spacing w:val="6"/>
          <w:sz w:val="26"/>
          <w:szCs w:val="26"/>
        </w:rPr>
        <w:t>), si-</w:t>
      </w:r>
      <w:r w:rsidRPr="00B15A9E">
        <w:rPr>
          <w:spacing w:val="6"/>
          <w:sz w:val="26"/>
          <w:szCs w:val="26"/>
        </w:rPr>
        <w:br/>
      </w:r>
      <w:proofErr w:type="spellStart"/>
      <w:r w:rsidRPr="00B15A9E">
        <w:rPr>
          <w:spacing w:val="6"/>
          <w:sz w:val="26"/>
          <w:szCs w:val="26"/>
        </w:rPr>
        <w:t>guiendo</w:t>
      </w:r>
      <w:proofErr w:type="spellEnd"/>
      <w:r w:rsidRPr="00B15A9E">
        <w:rPr>
          <w:spacing w:val="6"/>
          <w:sz w:val="26"/>
          <w:szCs w:val="26"/>
        </w:rPr>
        <w:t xml:space="preserve"> los criterios de contabilidad nacional-SEC 2010, se consideran </w:t>
      </w:r>
      <w:proofErr w:type="spellStart"/>
      <w:r w:rsidRPr="00B15A9E">
        <w:rPr>
          <w:spacing w:val="6"/>
          <w:sz w:val="26"/>
          <w:szCs w:val="26"/>
        </w:rPr>
        <w:t>Admi</w:t>
      </w:r>
      <w:proofErr w:type="spellEnd"/>
      <w:r w:rsidRPr="00B15A9E">
        <w:rPr>
          <w:spacing w:val="6"/>
          <w:sz w:val="26"/>
          <w:szCs w:val="26"/>
        </w:rPr>
        <w:t>-</w:t>
      </w:r>
      <w:r w:rsidRPr="00B15A9E">
        <w:rPr>
          <w:spacing w:val="6"/>
          <w:sz w:val="26"/>
          <w:szCs w:val="26"/>
        </w:rPr>
        <w:br/>
      </w:r>
      <w:proofErr w:type="spellStart"/>
      <w:r w:rsidRPr="00B15A9E">
        <w:rPr>
          <w:spacing w:val="6"/>
          <w:sz w:val="26"/>
          <w:szCs w:val="26"/>
        </w:rPr>
        <w:t>nistración</w:t>
      </w:r>
      <w:proofErr w:type="spellEnd"/>
      <w:r w:rsidRPr="00B15A9E">
        <w:rPr>
          <w:spacing w:val="6"/>
          <w:sz w:val="26"/>
          <w:szCs w:val="26"/>
        </w:rPr>
        <w:t xml:space="preserve"> Pública Local los siguientes entes: el propio ayuntamiento, los OOAA,</w:t>
      </w:r>
      <w:r w:rsidRPr="00B15A9E">
        <w:rPr>
          <w:spacing w:val="6"/>
          <w:sz w:val="26"/>
          <w:szCs w:val="26"/>
        </w:rPr>
        <w:br/>
        <w:t>las socied</w:t>
      </w:r>
      <w:r w:rsidR="00826657">
        <w:rPr>
          <w:spacing w:val="6"/>
          <w:sz w:val="26"/>
          <w:szCs w:val="26"/>
        </w:rPr>
        <w:t>ades municipales no de mercado (</w:t>
      </w:r>
      <w:r w:rsidRPr="00B15A9E">
        <w:rPr>
          <w:spacing w:val="6"/>
          <w:sz w:val="26"/>
          <w:szCs w:val="26"/>
        </w:rPr>
        <w:t>Pamplona Centro Histórico, S.A.</w:t>
      </w:r>
      <w:r w:rsidR="006C3898">
        <w:rPr>
          <w:spacing w:val="6"/>
          <w:sz w:val="26"/>
          <w:szCs w:val="26"/>
        </w:rPr>
        <w:t xml:space="preserve">, </w:t>
      </w:r>
      <w:r w:rsidR="00AC0DE8">
        <w:rPr>
          <w:spacing w:val="6"/>
          <w:sz w:val="26"/>
          <w:szCs w:val="26"/>
        </w:rPr>
        <w:t>Servicio Atenc</w:t>
      </w:r>
      <w:r w:rsidR="009838F0">
        <w:rPr>
          <w:spacing w:val="6"/>
          <w:sz w:val="26"/>
          <w:szCs w:val="26"/>
        </w:rPr>
        <w:t xml:space="preserve">ión a Domicilio S.L.U. y </w:t>
      </w:r>
      <w:proofErr w:type="spellStart"/>
      <w:r w:rsidR="009838F0">
        <w:rPr>
          <w:spacing w:val="6"/>
          <w:sz w:val="26"/>
          <w:szCs w:val="26"/>
        </w:rPr>
        <w:t>Animsa</w:t>
      </w:r>
      <w:proofErr w:type="spellEnd"/>
      <w:r w:rsidR="00826657">
        <w:rPr>
          <w:spacing w:val="6"/>
          <w:sz w:val="26"/>
          <w:szCs w:val="26"/>
        </w:rPr>
        <w:t>)</w:t>
      </w:r>
      <w:r w:rsidR="009838F0">
        <w:rPr>
          <w:spacing w:val="6"/>
          <w:sz w:val="26"/>
          <w:szCs w:val="26"/>
        </w:rPr>
        <w:t xml:space="preserve">, así como la Fundación Teatro Gayarre. </w:t>
      </w:r>
      <w:r w:rsidR="00AC0DE8">
        <w:rPr>
          <w:spacing w:val="6"/>
          <w:sz w:val="26"/>
          <w:szCs w:val="26"/>
        </w:rPr>
        <w:t xml:space="preserve"> </w:t>
      </w:r>
    </w:p>
    <w:p w14:paraId="1A5ABBAF" w14:textId="77777777" w:rsidR="000656B1" w:rsidRDefault="000F531F" w:rsidP="000F531F">
      <w:pPr>
        <w:pStyle w:val="texto"/>
        <w:tabs>
          <w:tab w:val="clear" w:pos="2835"/>
          <w:tab w:val="clear" w:pos="3969"/>
          <w:tab w:val="clear" w:pos="5103"/>
          <w:tab w:val="clear" w:pos="6237"/>
          <w:tab w:val="clear" w:pos="7371"/>
          <w:tab w:val="left" w:pos="480"/>
          <w:tab w:val="num" w:pos="600"/>
        </w:tabs>
        <w:spacing w:before="120"/>
        <w:rPr>
          <w:lang w:val="es-ES"/>
        </w:rPr>
      </w:pPr>
      <w:r>
        <w:rPr>
          <w:lang w:val="es-ES"/>
        </w:rPr>
        <w:t xml:space="preserve">Tras la crisis sanitaria, social y económica </w:t>
      </w:r>
      <w:r w:rsidRPr="0061551C">
        <w:rPr>
          <w:lang w:val="es-ES"/>
        </w:rPr>
        <w:t xml:space="preserve">motivada por la COVID-19, la Comisión Europea y el Consejo de Europa aprobaron en marzo de 2020 activar la </w:t>
      </w:r>
      <w:r w:rsidRPr="0061551C">
        <w:rPr>
          <w:lang w:val="es-ES"/>
        </w:rPr>
        <w:lastRenderedPageBreak/>
        <w:t>cláusula de salvaguarda</w:t>
      </w:r>
      <w:r>
        <w:rPr>
          <w:lang w:val="es-ES"/>
        </w:rPr>
        <w:t xml:space="preserve"> del Pacto de Estabilidad y Crecimiento</w:t>
      </w:r>
      <w:r w:rsidRPr="0061551C">
        <w:rPr>
          <w:lang w:val="es-ES"/>
        </w:rPr>
        <w:t xml:space="preserve">. Dicha activación permite a los estados miembros de la Unión Europea posponer y dejar en suspenso la senda de consolidación fiscal fijada con anterioridad a la crisis. </w:t>
      </w:r>
    </w:p>
    <w:p w14:paraId="25DEF381" w14:textId="77777777" w:rsidR="000F531F" w:rsidRDefault="000F531F" w:rsidP="000F531F">
      <w:pPr>
        <w:pStyle w:val="texto"/>
        <w:tabs>
          <w:tab w:val="clear" w:pos="2835"/>
          <w:tab w:val="clear" w:pos="3969"/>
          <w:tab w:val="clear" w:pos="5103"/>
          <w:tab w:val="clear" w:pos="6237"/>
          <w:tab w:val="clear" w:pos="7371"/>
          <w:tab w:val="left" w:pos="480"/>
          <w:tab w:val="num" w:pos="600"/>
        </w:tabs>
        <w:spacing w:before="120"/>
        <w:rPr>
          <w:lang w:val="es-ES"/>
        </w:rPr>
      </w:pPr>
      <w:r w:rsidRPr="0061551C">
        <w:rPr>
          <w:lang w:val="es-ES"/>
        </w:rPr>
        <w:t xml:space="preserve">Como consecuencia de esta decisión, el </w:t>
      </w:r>
      <w:r>
        <w:rPr>
          <w:lang w:val="es-ES"/>
        </w:rPr>
        <w:t>Pleno del Congreso</w:t>
      </w:r>
      <w:r w:rsidRPr="0061551C">
        <w:rPr>
          <w:lang w:val="es-ES"/>
        </w:rPr>
        <w:t xml:space="preserve"> acordó</w:t>
      </w:r>
      <w:r>
        <w:rPr>
          <w:lang w:val="es-ES"/>
        </w:rPr>
        <w:t xml:space="preserve"> en octubre de 2020 </w:t>
      </w:r>
      <w:r w:rsidRPr="00C87F6F">
        <w:rPr>
          <w:lang w:val="es-ES"/>
        </w:rPr>
        <w:t>suspender la aplicación de las tres reglas fiscales, estabilidad, deuda pública y regla de gasto</w:t>
      </w:r>
      <w:r w:rsidRPr="0061551C">
        <w:rPr>
          <w:lang w:val="es-ES"/>
        </w:rPr>
        <w:t xml:space="preserve"> para los periodos 2020-2021</w:t>
      </w:r>
      <w:r>
        <w:rPr>
          <w:lang w:val="es-ES"/>
        </w:rPr>
        <w:t>, habiéndose extendido esta suspensión hasta 2023</w:t>
      </w:r>
      <w:r w:rsidRPr="0061551C">
        <w:rPr>
          <w:lang w:val="es-ES"/>
        </w:rPr>
        <w:t xml:space="preserve">. </w:t>
      </w:r>
    </w:p>
    <w:p w14:paraId="753067EA" w14:textId="77777777" w:rsidR="003D644A" w:rsidRDefault="003D644A" w:rsidP="000F531F">
      <w:pPr>
        <w:pStyle w:val="texto"/>
        <w:tabs>
          <w:tab w:val="clear" w:pos="2835"/>
          <w:tab w:val="clear" w:pos="3969"/>
          <w:tab w:val="clear" w:pos="5103"/>
          <w:tab w:val="clear" w:pos="6237"/>
          <w:tab w:val="clear" w:pos="7371"/>
          <w:tab w:val="left" w:pos="480"/>
          <w:tab w:val="num" w:pos="600"/>
        </w:tabs>
        <w:spacing w:before="120"/>
        <w:rPr>
          <w:lang w:val="es-ES"/>
        </w:rPr>
      </w:pPr>
      <w:r>
        <w:rPr>
          <w:lang w:val="es-ES"/>
        </w:rPr>
        <w:t xml:space="preserve">No obstante, se mantiene el procedimiento de autorización de operaciones de endeudamiento, así como las obligaciones relativas al cumplimiento de la sostenibilidad de la deuda comercial. </w:t>
      </w:r>
      <w:proofErr w:type="gramStart"/>
      <w:r>
        <w:rPr>
          <w:lang w:val="es-ES"/>
        </w:rPr>
        <w:t>En relación a</w:t>
      </w:r>
      <w:proofErr w:type="gramEnd"/>
      <w:r>
        <w:rPr>
          <w:lang w:val="es-ES"/>
        </w:rPr>
        <w:t xml:space="preserve"> estas dos cuestiones, en el ejercicio 2021:</w:t>
      </w:r>
    </w:p>
    <w:p w14:paraId="5D0F63DB" w14:textId="77777777" w:rsidR="003D644A" w:rsidRPr="003D644A" w:rsidRDefault="003D644A" w:rsidP="003D644A">
      <w:pPr>
        <w:numPr>
          <w:ilvl w:val="0"/>
          <w:numId w:val="10"/>
        </w:numPr>
        <w:tabs>
          <w:tab w:val="num" w:pos="284"/>
          <w:tab w:val="num" w:pos="600"/>
          <w:tab w:val="num" w:pos="720"/>
          <w:tab w:val="num" w:pos="1320"/>
        </w:tabs>
        <w:spacing w:after="120"/>
        <w:rPr>
          <w:rFonts w:cs="Arial"/>
          <w:spacing w:val="6"/>
          <w:sz w:val="26"/>
          <w:szCs w:val="24"/>
        </w:rPr>
      </w:pPr>
      <w:r w:rsidRPr="003D644A">
        <w:rPr>
          <w:rFonts w:cs="Arial"/>
          <w:spacing w:val="6"/>
          <w:sz w:val="26"/>
          <w:szCs w:val="24"/>
        </w:rPr>
        <w:t>E</w:t>
      </w:r>
      <w:r w:rsidR="00807992" w:rsidRPr="003D644A">
        <w:rPr>
          <w:rFonts w:cs="Arial"/>
          <w:spacing w:val="6"/>
          <w:sz w:val="26"/>
          <w:szCs w:val="24"/>
        </w:rPr>
        <w:t xml:space="preserve">l sector administración pública </w:t>
      </w:r>
      <w:r w:rsidR="006C3898" w:rsidRPr="003D644A">
        <w:rPr>
          <w:rFonts w:cs="Arial"/>
          <w:spacing w:val="6"/>
          <w:sz w:val="26"/>
          <w:szCs w:val="24"/>
        </w:rPr>
        <w:t xml:space="preserve">local </w:t>
      </w:r>
      <w:r w:rsidR="00807992" w:rsidRPr="003D644A">
        <w:rPr>
          <w:rFonts w:cs="Arial"/>
          <w:spacing w:val="6"/>
          <w:sz w:val="26"/>
          <w:szCs w:val="24"/>
        </w:rPr>
        <w:t>del ayuntamiento no ha concertado ninguna nueva operación de deuda.</w:t>
      </w:r>
    </w:p>
    <w:p w14:paraId="3276BF79" w14:textId="77777777" w:rsidR="003D644A" w:rsidRPr="003D644A" w:rsidRDefault="003D644A" w:rsidP="003D644A">
      <w:pPr>
        <w:numPr>
          <w:ilvl w:val="0"/>
          <w:numId w:val="10"/>
        </w:numPr>
        <w:tabs>
          <w:tab w:val="num" w:pos="284"/>
          <w:tab w:val="num" w:pos="600"/>
          <w:tab w:val="num" w:pos="720"/>
          <w:tab w:val="num" w:pos="1320"/>
        </w:tabs>
        <w:spacing w:after="120"/>
        <w:rPr>
          <w:rFonts w:cs="Arial"/>
          <w:spacing w:val="6"/>
          <w:sz w:val="26"/>
          <w:szCs w:val="24"/>
        </w:rPr>
      </w:pPr>
      <w:r w:rsidRPr="003D644A">
        <w:rPr>
          <w:rFonts w:cs="Arial"/>
          <w:spacing w:val="6"/>
          <w:sz w:val="26"/>
          <w:szCs w:val="24"/>
        </w:rPr>
        <w:t>No se ha superado el plazo máximo de 30 días previsto en la normativa sobre morosidad, tal y como se observa en el siguiente cuadro:</w:t>
      </w:r>
    </w:p>
    <w:tbl>
      <w:tblPr>
        <w:tblW w:w="4914" w:type="pct"/>
        <w:jc w:val="center"/>
        <w:tblLook w:val="01E0" w:firstRow="1" w:lastRow="1" w:firstColumn="1" w:lastColumn="1" w:noHBand="0" w:noVBand="0"/>
      </w:tblPr>
      <w:tblGrid>
        <w:gridCol w:w="2681"/>
        <w:gridCol w:w="5957"/>
      </w:tblGrid>
      <w:tr w:rsidR="00807992" w:rsidRPr="00C6167A" w14:paraId="2319A645" w14:textId="77777777" w:rsidTr="00995A09">
        <w:trPr>
          <w:trHeight w:val="255"/>
          <w:jc w:val="center"/>
        </w:trPr>
        <w:tc>
          <w:tcPr>
            <w:tcW w:w="1552" w:type="pct"/>
            <w:tcBorders>
              <w:top w:val="single" w:sz="4" w:space="0" w:color="auto"/>
              <w:bottom w:val="single" w:sz="4" w:space="0" w:color="auto"/>
            </w:tcBorders>
            <w:shd w:val="clear" w:color="auto" w:fill="FABF8F" w:themeFill="accent6" w:themeFillTint="99"/>
            <w:vAlign w:val="center"/>
          </w:tcPr>
          <w:p w14:paraId="109C428D" w14:textId="77777777" w:rsidR="00807992" w:rsidRPr="00C6167A" w:rsidRDefault="00807992" w:rsidP="00807992">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p>
        </w:tc>
        <w:tc>
          <w:tcPr>
            <w:tcW w:w="3448" w:type="pct"/>
            <w:tcBorders>
              <w:top w:val="single" w:sz="4" w:space="0" w:color="auto"/>
              <w:bottom w:val="single" w:sz="4" w:space="0" w:color="auto"/>
            </w:tcBorders>
            <w:shd w:val="clear" w:color="auto" w:fill="FABF8F" w:themeFill="accent6" w:themeFillTint="99"/>
            <w:vAlign w:val="center"/>
          </w:tcPr>
          <w:p w14:paraId="55B1DA89" w14:textId="77777777" w:rsidR="00807992" w:rsidRPr="00C6167A" w:rsidRDefault="00807992" w:rsidP="0080799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C6167A">
              <w:rPr>
                <w:rFonts w:ascii="Arial" w:hAnsi="Arial"/>
                <w:spacing w:val="6"/>
                <w:sz w:val="18"/>
                <w:szCs w:val="24"/>
              </w:rPr>
              <w:t>Periodo medio de pago a proveedores</w:t>
            </w:r>
          </w:p>
        </w:tc>
      </w:tr>
      <w:tr w:rsidR="00807992" w:rsidRPr="00C6167A" w14:paraId="2FCD0023" w14:textId="77777777" w:rsidTr="00995A09">
        <w:trPr>
          <w:trHeight w:val="198"/>
          <w:jc w:val="center"/>
        </w:trPr>
        <w:tc>
          <w:tcPr>
            <w:tcW w:w="1552" w:type="pct"/>
            <w:tcBorders>
              <w:top w:val="single" w:sz="4" w:space="0" w:color="auto"/>
              <w:bottom w:val="single" w:sz="2" w:space="0" w:color="auto"/>
            </w:tcBorders>
            <w:vAlign w:val="center"/>
          </w:tcPr>
          <w:p w14:paraId="2A0C5925" w14:textId="77777777" w:rsidR="00807992" w:rsidRPr="00C6167A" w:rsidRDefault="00807992" w:rsidP="00807992">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6167A">
              <w:rPr>
                <w:rFonts w:ascii="Arial Narrow" w:hAnsi="Arial Narrow"/>
                <w:spacing w:val="6"/>
              </w:rPr>
              <w:t>Primer trimestre</w:t>
            </w:r>
          </w:p>
        </w:tc>
        <w:tc>
          <w:tcPr>
            <w:tcW w:w="3448" w:type="pct"/>
            <w:tcBorders>
              <w:top w:val="single" w:sz="4" w:space="0" w:color="auto"/>
              <w:bottom w:val="single" w:sz="2" w:space="0" w:color="auto"/>
            </w:tcBorders>
            <w:vAlign w:val="center"/>
          </w:tcPr>
          <w:p w14:paraId="36C49D22" w14:textId="77777777" w:rsidR="00807992" w:rsidRPr="00363B97" w:rsidRDefault="00807992" w:rsidP="0080799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63B97">
              <w:rPr>
                <w:rFonts w:ascii="Arial Narrow" w:hAnsi="Arial Narrow"/>
                <w:spacing w:val="6"/>
              </w:rPr>
              <w:t>21,17</w:t>
            </w:r>
          </w:p>
        </w:tc>
      </w:tr>
      <w:tr w:rsidR="00807992" w:rsidRPr="00C6167A" w14:paraId="187C18F1" w14:textId="77777777" w:rsidTr="00807992">
        <w:trPr>
          <w:trHeight w:val="198"/>
          <w:jc w:val="center"/>
        </w:trPr>
        <w:tc>
          <w:tcPr>
            <w:tcW w:w="1552" w:type="pct"/>
            <w:tcBorders>
              <w:top w:val="single" w:sz="2" w:space="0" w:color="auto"/>
              <w:bottom w:val="single" w:sz="2" w:space="0" w:color="auto"/>
            </w:tcBorders>
            <w:vAlign w:val="center"/>
          </w:tcPr>
          <w:p w14:paraId="668B0FEF" w14:textId="77777777" w:rsidR="00807992" w:rsidRPr="00C6167A" w:rsidRDefault="00807992" w:rsidP="00807992">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6167A">
              <w:rPr>
                <w:rFonts w:ascii="Arial Narrow" w:hAnsi="Arial Narrow"/>
                <w:spacing w:val="6"/>
              </w:rPr>
              <w:t>Segundo trimestre</w:t>
            </w:r>
          </w:p>
        </w:tc>
        <w:tc>
          <w:tcPr>
            <w:tcW w:w="3448" w:type="pct"/>
            <w:tcBorders>
              <w:top w:val="single" w:sz="2" w:space="0" w:color="auto"/>
              <w:bottom w:val="single" w:sz="2" w:space="0" w:color="auto"/>
            </w:tcBorders>
            <w:vAlign w:val="center"/>
          </w:tcPr>
          <w:p w14:paraId="7FEF4020" w14:textId="77777777" w:rsidR="00807992" w:rsidRPr="00363B97" w:rsidRDefault="00807992" w:rsidP="0080799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63B97">
              <w:rPr>
                <w:rFonts w:ascii="Arial Narrow" w:hAnsi="Arial Narrow"/>
                <w:spacing w:val="6"/>
              </w:rPr>
              <w:t>17,67</w:t>
            </w:r>
          </w:p>
        </w:tc>
      </w:tr>
      <w:tr w:rsidR="00807992" w:rsidRPr="00C6167A" w14:paraId="074ABE29" w14:textId="77777777" w:rsidTr="00995A09">
        <w:trPr>
          <w:trHeight w:val="198"/>
          <w:jc w:val="center"/>
        </w:trPr>
        <w:tc>
          <w:tcPr>
            <w:tcW w:w="1552" w:type="pct"/>
            <w:tcBorders>
              <w:top w:val="single" w:sz="2" w:space="0" w:color="auto"/>
              <w:bottom w:val="single" w:sz="4" w:space="0" w:color="auto"/>
            </w:tcBorders>
            <w:vAlign w:val="center"/>
          </w:tcPr>
          <w:p w14:paraId="6BD59F34" w14:textId="77777777" w:rsidR="00807992" w:rsidRPr="00C6167A" w:rsidRDefault="00807992" w:rsidP="00807992">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6167A">
              <w:rPr>
                <w:rFonts w:ascii="Arial Narrow" w:hAnsi="Arial Narrow"/>
                <w:spacing w:val="6"/>
              </w:rPr>
              <w:t>Tercer trimestre</w:t>
            </w:r>
          </w:p>
        </w:tc>
        <w:tc>
          <w:tcPr>
            <w:tcW w:w="3448" w:type="pct"/>
            <w:tcBorders>
              <w:top w:val="single" w:sz="2" w:space="0" w:color="auto"/>
              <w:bottom w:val="single" w:sz="4" w:space="0" w:color="auto"/>
            </w:tcBorders>
            <w:vAlign w:val="center"/>
          </w:tcPr>
          <w:p w14:paraId="7D497CEE" w14:textId="77777777" w:rsidR="00807992" w:rsidRPr="00363B97" w:rsidRDefault="00807992" w:rsidP="0080799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63B97">
              <w:rPr>
                <w:rFonts w:ascii="Arial Narrow" w:hAnsi="Arial Narrow"/>
                <w:spacing w:val="6"/>
              </w:rPr>
              <w:t>17,54</w:t>
            </w:r>
          </w:p>
        </w:tc>
      </w:tr>
      <w:tr w:rsidR="00807992" w:rsidRPr="00C6167A" w14:paraId="178B5B17" w14:textId="77777777" w:rsidTr="00995A09">
        <w:trPr>
          <w:trHeight w:val="198"/>
          <w:jc w:val="center"/>
        </w:trPr>
        <w:tc>
          <w:tcPr>
            <w:tcW w:w="1552" w:type="pct"/>
            <w:tcBorders>
              <w:top w:val="single" w:sz="4" w:space="0" w:color="auto"/>
              <w:bottom w:val="single" w:sz="4" w:space="0" w:color="auto"/>
            </w:tcBorders>
            <w:vAlign w:val="center"/>
          </w:tcPr>
          <w:p w14:paraId="596DDC92" w14:textId="77777777" w:rsidR="00807992" w:rsidRPr="00C6167A" w:rsidRDefault="00807992" w:rsidP="00807992">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6167A">
              <w:rPr>
                <w:rFonts w:ascii="Arial Narrow" w:hAnsi="Arial Narrow"/>
                <w:spacing w:val="6"/>
              </w:rPr>
              <w:t>Cuarto trimestre</w:t>
            </w:r>
          </w:p>
        </w:tc>
        <w:tc>
          <w:tcPr>
            <w:tcW w:w="3448" w:type="pct"/>
            <w:tcBorders>
              <w:top w:val="single" w:sz="4" w:space="0" w:color="auto"/>
              <w:bottom w:val="single" w:sz="4" w:space="0" w:color="auto"/>
            </w:tcBorders>
            <w:vAlign w:val="center"/>
          </w:tcPr>
          <w:p w14:paraId="66B3B749" w14:textId="77777777" w:rsidR="00807992" w:rsidRPr="00363B97" w:rsidRDefault="00807992" w:rsidP="00807992">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363B97">
              <w:rPr>
                <w:rFonts w:ascii="Arial Narrow" w:hAnsi="Arial Narrow"/>
                <w:spacing w:val="6"/>
              </w:rPr>
              <w:t>20,70</w:t>
            </w:r>
          </w:p>
        </w:tc>
      </w:tr>
    </w:tbl>
    <w:p w14:paraId="58324697" w14:textId="77777777" w:rsidR="00807992" w:rsidRDefault="00807992" w:rsidP="00807992">
      <w:pPr>
        <w:tabs>
          <w:tab w:val="center" w:pos="2835"/>
          <w:tab w:val="center" w:pos="3969"/>
          <w:tab w:val="center" w:pos="5103"/>
          <w:tab w:val="center" w:pos="6237"/>
          <w:tab w:val="center" w:pos="7371"/>
        </w:tabs>
        <w:spacing w:before="40" w:after="240"/>
        <w:ind w:firstLine="0"/>
        <w:jc w:val="left"/>
        <w:rPr>
          <w:i/>
          <w:spacing w:val="6"/>
          <w:sz w:val="18"/>
          <w:szCs w:val="24"/>
        </w:rPr>
      </w:pPr>
      <w:bookmarkStart w:id="133" w:name="_Toc430935364"/>
      <w:r w:rsidRPr="00C6167A">
        <w:rPr>
          <w:i/>
          <w:spacing w:val="6"/>
          <w:sz w:val="18"/>
          <w:szCs w:val="24"/>
        </w:rPr>
        <w:t xml:space="preserve"> Fuente: Datos publicados por el Ministerio de Hacienda y Administraciones Públicas</w:t>
      </w:r>
      <w:r w:rsidR="00995A09">
        <w:rPr>
          <w:i/>
          <w:spacing w:val="6"/>
          <w:sz w:val="18"/>
          <w:szCs w:val="24"/>
        </w:rPr>
        <w:t>.</w:t>
      </w:r>
    </w:p>
    <w:p w14:paraId="1BCAE267" w14:textId="77777777" w:rsidR="00807992" w:rsidRPr="00190001" w:rsidRDefault="00807992" w:rsidP="00190001">
      <w:pPr>
        <w:pStyle w:val="atitulo2"/>
      </w:pPr>
      <w:bookmarkStart w:id="134" w:name="_Toc118266031"/>
      <w:bookmarkStart w:id="135" w:name="_Toc129243491"/>
      <w:bookmarkEnd w:id="133"/>
      <w:r w:rsidRPr="00190001">
        <w:t>5.4. Ayuntamiento de Pamplona</w:t>
      </w:r>
      <w:bookmarkEnd w:id="134"/>
      <w:bookmarkEnd w:id="135"/>
    </w:p>
    <w:p w14:paraId="515C5133" w14:textId="77777777" w:rsidR="00C1204F" w:rsidRPr="00202D4C" w:rsidRDefault="00807992" w:rsidP="00190001">
      <w:pPr>
        <w:pStyle w:val="texto"/>
      </w:pPr>
      <w:bookmarkStart w:id="136" w:name="_Toc117581103"/>
      <w:bookmarkStart w:id="137" w:name="_Toc118266032"/>
      <w:bookmarkStart w:id="138" w:name="_Toc430935368"/>
      <w:bookmarkStart w:id="139" w:name="_Toc455145998"/>
      <w:r w:rsidRPr="00202D4C">
        <w:t xml:space="preserve">5.4.1. </w:t>
      </w:r>
      <w:r w:rsidR="00C1204F" w:rsidRPr="00202D4C">
        <w:t>Control interno</w:t>
      </w:r>
    </w:p>
    <w:p w14:paraId="5DA3EBD0" w14:textId="77777777" w:rsidR="00C1204F" w:rsidRDefault="00C1204F" w:rsidP="00C1204F">
      <w:pPr>
        <w:spacing w:after="120"/>
        <w:ind w:firstLine="284"/>
        <w:rPr>
          <w:sz w:val="26"/>
          <w:szCs w:val="26"/>
          <w:lang w:val="es-ES" w:eastAsia="es-ES"/>
        </w:rPr>
      </w:pPr>
      <w:r>
        <w:rPr>
          <w:spacing w:val="6"/>
          <w:sz w:val="26"/>
          <w:szCs w:val="24"/>
        </w:rPr>
        <w:t>En relación con esta función:</w:t>
      </w:r>
    </w:p>
    <w:p w14:paraId="749A860B" w14:textId="77777777" w:rsidR="00C1204F" w:rsidRDefault="00C1204F" w:rsidP="00C1204F">
      <w:pPr>
        <w:numPr>
          <w:ilvl w:val="0"/>
          <w:numId w:val="10"/>
        </w:numPr>
        <w:tabs>
          <w:tab w:val="num" w:pos="284"/>
          <w:tab w:val="num" w:pos="600"/>
          <w:tab w:val="num" w:pos="720"/>
          <w:tab w:val="num" w:pos="1320"/>
        </w:tabs>
        <w:spacing w:after="120"/>
        <w:rPr>
          <w:rFonts w:cs="Arial"/>
          <w:spacing w:val="6"/>
          <w:sz w:val="26"/>
          <w:szCs w:val="24"/>
        </w:rPr>
      </w:pPr>
      <w:r w:rsidRPr="008C5347">
        <w:rPr>
          <w:rFonts w:cs="Arial"/>
          <w:spacing w:val="6"/>
          <w:sz w:val="26"/>
          <w:szCs w:val="24"/>
        </w:rPr>
        <w:t>El marco presupuestario y hacendístico local establece la triple función interventora, de control financiero y de contro</w:t>
      </w:r>
      <w:r w:rsidR="00F02464">
        <w:rPr>
          <w:rFonts w:cs="Arial"/>
          <w:spacing w:val="6"/>
          <w:sz w:val="26"/>
          <w:szCs w:val="24"/>
        </w:rPr>
        <w:t xml:space="preserve">l de eficacia. </w:t>
      </w:r>
      <w:r w:rsidR="003D644A">
        <w:rPr>
          <w:rFonts w:cs="Arial"/>
          <w:spacing w:val="6"/>
          <w:sz w:val="26"/>
          <w:szCs w:val="24"/>
        </w:rPr>
        <w:t>E</w:t>
      </w:r>
      <w:r w:rsidR="00F02464">
        <w:rPr>
          <w:rFonts w:cs="Arial"/>
          <w:spacing w:val="6"/>
          <w:sz w:val="26"/>
          <w:szCs w:val="24"/>
        </w:rPr>
        <w:t xml:space="preserve">n el ámbito de la Comunidad Foral de Navarra, </w:t>
      </w:r>
      <w:r w:rsidR="003D644A">
        <w:rPr>
          <w:rFonts w:cs="Arial"/>
          <w:spacing w:val="6"/>
          <w:sz w:val="26"/>
          <w:szCs w:val="24"/>
        </w:rPr>
        <w:t xml:space="preserve">el citado marco </w:t>
      </w:r>
      <w:r w:rsidR="00F02464">
        <w:rPr>
          <w:rFonts w:cs="Arial"/>
          <w:spacing w:val="6"/>
          <w:sz w:val="26"/>
          <w:szCs w:val="24"/>
        </w:rPr>
        <w:t>no ha sido objeto de desarrollo reglamentario a diferencia del ámbito estatal</w:t>
      </w:r>
      <w:r w:rsidR="00F02464">
        <w:rPr>
          <w:rStyle w:val="Refdenotaalpie"/>
          <w:spacing w:val="6"/>
          <w:sz w:val="26"/>
          <w:szCs w:val="24"/>
        </w:rPr>
        <w:footnoteReference w:id="5"/>
      </w:r>
      <w:r w:rsidR="00F02464">
        <w:rPr>
          <w:rFonts w:cs="Arial"/>
          <w:spacing w:val="6"/>
          <w:sz w:val="26"/>
          <w:szCs w:val="24"/>
        </w:rPr>
        <w:t>.</w:t>
      </w:r>
    </w:p>
    <w:p w14:paraId="67153B05" w14:textId="77777777" w:rsidR="00C1204F" w:rsidRDefault="00C1204F" w:rsidP="00C1204F">
      <w:pPr>
        <w:numPr>
          <w:ilvl w:val="0"/>
          <w:numId w:val="10"/>
        </w:numPr>
        <w:tabs>
          <w:tab w:val="num" w:pos="284"/>
          <w:tab w:val="num" w:pos="600"/>
          <w:tab w:val="num" w:pos="720"/>
          <w:tab w:val="num" w:pos="1320"/>
        </w:tabs>
        <w:spacing w:after="120"/>
        <w:rPr>
          <w:rFonts w:cs="Arial"/>
          <w:spacing w:val="6"/>
          <w:sz w:val="26"/>
          <w:szCs w:val="24"/>
        </w:rPr>
      </w:pPr>
      <w:r w:rsidRPr="008C5347">
        <w:rPr>
          <w:rFonts w:cs="Arial"/>
          <w:spacing w:val="6"/>
          <w:sz w:val="26"/>
          <w:szCs w:val="24"/>
        </w:rPr>
        <w:t>El control interno en el ayuntamiento se realiza únicamente a través de la función interventora, mediante la fiscalización limitada previa de los gastos en los términos estable</w:t>
      </w:r>
      <w:r w:rsidR="00351E0D">
        <w:rPr>
          <w:rFonts w:cs="Arial"/>
          <w:spacing w:val="6"/>
          <w:sz w:val="26"/>
          <w:szCs w:val="24"/>
        </w:rPr>
        <w:t>cidos en las bases de ejecución;</w:t>
      </w:r>
      <w:r w:rsidR="005D27BC">
        <w:rPr>
          <w:rFonts w:cs="Arial"/>
          <w:spacing w:val="6"/>
          <w:sz w:val="26"/>
          <w:szCs w:val="24"/>
        </w:rPr>
        <w:t xml:space="preserve"> en concreto </w:t>
      </w:r>
      <w:r w:rsidR="00793E57">
        <w:rPr>
          <w:rFonts w:cs="Arial"/>
          <w:spacing w:val="6"/>
          <w:sz w:val="26"/>
          <w:szCs w:val="24"/>
        </w:rPr>
        <w:t xml:space="preserve">verificando la </w:t>
      </w:r>
      <w:r w:rsidR="005D27BC">
        <w:rPr>
          <w:rFonts w:cs="Arial"/>
          <w:spacing w:val="6"/>
          <w:sz w:val="26"/>
          <w:szCs w:val="24"/>
        </w:rPr>
        <w:t xml:space="preserve">competencia del órgano y </w:t>
      </w:r>
      <w:r w:rsidR="00793E57">
        <w:rPr>
          <w:rFonts w:cs="Arial"/>
          <w:spacing w:val="6"/>
          <w:sz w:val="26"/>
          <w:szCs w:val="24"/>
        </w:rPr>
        <w:t xml:space="preserve">la </w:t>
      </w:r>
      <w:r w:rsidR="005D27BC">
        <w:rPr>
          <w:rFonts w:cs="Arial"/>
          <w:spacing w:val="6"/>
          <w:sz w:val="26"/>
          <w:szCs w:val="24"/>
        </w:rPr>
        <w:t xml:space="preserve">existencia de crédito adecuado y suficiente. </w:t>
      </w:r>
      <w:r w:rsidR="00F02464">
        <w:rPr>
          <w:rFonts w:cs="Arial"/>
          <w:spacing w:val="6"/>
          <w:sz w:val="26"/>
          <w:szCs w:val="24"/>
        </w:rPr>
        <w:t xml:space="preserve">No se ejerce el control financiero y de eficacia. </w:t>
      </w:r>
    </w:p>
    <w:p w14:paraId="348625BB" w14:textId="77777777" w:rsidR="00C1204F" w:rsidRDefault="00C1204F" w:rsidP="00C1204F">
      <w:pPr>
        <w:tabs>
          <w:tab w:val="num" w:pos="600"/>
          <w:tab w:val="num" w:pos="720"/>
          <w:tab w:val="num" w:pos="1320"/>
        </w:tabs>
        <w:spacing w:after="120"/>
        <w:ind w:left="142" w:firstLine="0"/>
        <w:rPr>
          <w:sz w:val="26"/>
          <w:szCs w:val="26"/>
          <w:lang w:val="es-ES" w:eastAsia="es-ES"/>
        </w:rPr>
      </w:pPr>
      <w:r w:rsidRPr="008C5347">
        <w:rPr>
          <w:rFonts w:cs="Arial"/>
          <w:spacing w:val="6"/>
          <w:sz w:val="26"/>
          <w:szCs w:val="24"/>
        </w:rPr>
        <w:lastRenderedPageBreak/>
        <w:t xml:space="preserve">De </w:t>
      </w:r>
      <w:r>
        <w:rPr>
          <w:rFonts w:cs="Arial"/>
          <w:spacing w:val="6"/>
          <w:sz w:val="26"/>
          <w:szCs w:val="24"/>
        </w:rPr>
        <w:t xml:space="preserve">nuestra </w:t>
      </w:r>
      <w:r w:rsidRPr="008C5347">
        <w:rPr>
          <w:rFonts w:cs="Arial"/>
          <w:spacing w:val="6"/>
          <w:sz w:val="26"/>
          <w:szCs w:val="24"/>
        </w:rPr>
        <w:t>fiscalización señalamos lo siguiente:</w:t>
      </w:r>
    </w:p>
    <w:p w14:paraId="19623487" w14:textId="77777777" w:rsidR="00C1204F" w:rsidRDefault="00C1204F" w:rsidP="00C1204F">
      <w:pPr>
        <w:numPr>
          <w:ilvl w:val="0"/>
          <w:numId w:val="10"/>
        </w:numPr>
        <w:tabs>
          <w:tab w:val="num" w:pos="284"/>
          <w:tab w:val="num" w:pos="600"/>
          <w:tab w:val="num" w:pos="720"/>
          <w:tab w:val="num" w:pos="1320"/>
        </w:tabs>
        <w:spacing w:after="120"/>
        <w:rPr>
          <w:rFonts w:cs="Arial"/>
          <w:spacing w:val="6"/>
          <w:sz w:val="26"/>
          <w:szCs w:val="24"/>
        </w:rPr>
      </w:pPr>
      <w:r w:rsidRPr="00DD7910">
        <w:rPr>
          <w:rFonts w:cs="Arial"/>
          <w:spacing w:val="6"/>
          <w:sz w:val="26"/>
          <w:szCs w:val="24"/>
        </w:rPr>
        <w:t>Existen infor</w:t>
      </w:r>
      <w:r w:rsidR="00B41713">
        <w:rPr>
          <w:rFonts w:cs="Arial"/>
          <w:spacing w:val="6"/>
          <w:sz w:val="26"/>
          <w:szCs w:val="24"/>
        </w:rPr>
        <w:t>mes internos de la Intervención</w:t>
      </w:r>
      <w:r w:rsidR="003D644A">
        <w:rPr>
          <w:rFonts w:cs="Arial"/>
          <w:spacing w:val="6"/>
          <w:sz w:val="26"/>
          <w:szCs w:val="24"/>
        </w:rPr>
        <w:t xml:space="preserve"> </w:t>
      </w:r>
      <w:r w:rsidRPr="00DD7910">
        <w:rPr>
          <w:rFonts w:cs="Arial"/>
          <w:spacing w:val="6"/>
          <w:sz w:val="26"/>
          <w:szCs w:val="24"/>
        </w:rPr>
        <w:t>en los que</w:t>
      </w:r>
      <w:r w:rsidR="004620E5">
        <w:rPr>
          <w:rFonts w:cs="Arial"/>
          <w:spacing w:val="6"/>
          <w:sz w:val="26"/>
          <w:szCs w:val="24"/>
        </w:rPr>
        <w:t>,</w:t>
      </w:r>
      <w:r w:rsidRPr="00DD7910">
        <w:rPr>
          <w:rFonts w:cs="Arial"/>
          <w:spacing w:val="6"/>
          <w:sz w:val="26"/>
          <w:szCs w:val="24"/>
        </w:rPr>
        <w:t xml:space="preserve"> además de la verificación</w:t>
      </w:r>
      <w:r>
        <w:rPr>
          <w:rFonts w:cs="Arial"/>
          <w:spacing w:val="6"/>
          <w:sz w:val="26"/>
          <w:szCs w:val="24"/>
        </w:rPr>
        <w:t xml:space="preserve"> </w:t>
      </w:r>
      <w:r w:rsidRPr="00DD7910">
        <w:rPr>
          <w:rFonts w:cs="Arial"/>
          <w:spacing w:val="6"/>
          <w:sz w:val="26"/>
          <w:szCs w:val="24"/>
        </w:rPr>
        <w:t xml:space="preserve">de </w:t>
      </w:r>
      <w:r w:rsidR="00826657">
        <w:rPr>
          <w:rFonts w:cs="Arial"/>
          <w:spacing w:val="6"/>
          <w:sz w:val="26"/>
          <w:szCs w:val="24"/>
        </w:rPr>
        <w:t>los requisitos citados anteriormente</w:t>
      </w:r>
      <w:r w:rsidRPr="00DD7910">
        <w:rPr>
          <w:rFonts w:cs="Arial"/>
          <w:spacing w:val="6"/>
          <w:sz w:val="26"/>
          <w:szCs w:val="24"/>
        </w:rPr>
        <w:t>, se acreditan la comprobac</w:t>
      </w:r>
      <w:r>
        <w:rPr>
          <w:rFonts w:cs="Arial"/>
          <w:spacing w:val="6"/>
          <w:sz w:val="26"/>
          <w:szCs w:val="24"/>
        </w:rPr>
        <w:t>ión de otros extremos formales, sin que tengan efectos suspensivos.</w:t>
      </w:r>
      <w:r w:rsidR="00B41713">
        <w:rPr>
          <w:rFonts w:cs="Arial"/>
          <w:spacing w:val="6"/>
          <w:sz w:val="26"/>
          <w:szCs w:val="24"/>
        </w:rPr>
        <w:t xml:space="preserve"> </w:t>
      </w:r>
      <w:r w:rsidRPr="00DD7910">
        <w:rPr>
          <w:rFonts w:cs="Arial"/>
          <w:spacing w:val="6"/>
          <w:sz w:val="26"/>
          <w:szCs w:val="24"/>
        </w:rPr>
        <w:t>Al respecto, indicamos que según la Ley Foral 2/1995, de 10 de marzo, de las Haciendas Locales de Navarra, la determinación de otros extremos con trascend</w:t>
      </w:r>
      <w:r>
        <w:rPr>
          <w:rFonts w:cs="Arial"/>
          <w:spacing w:val="6"/>
          <w:sz w:val="26"/>
          <w:szCs w:val="24"/>
        </w:rPr>
        <w:t xml:space="preserve">encia en el proceso de gestión </w:t>
      </w:r>
      <w:r w:rsidRPr="00DD7910">
        <w:rPr>
          <w:rFonts w:cs="Arial"/>
          <w:spacing w:val="6"/>
          <w:sz w:val="26"/>
          <w:szCs w:val="24"/>
        </w:rPr>
        <w:t>d</w:t>
      </w:r>
      <w:r w:rsidR="00DE3CAC">
        <w:rPr>
          <w:rFonts w:cs="Arial"/>
          <w:spacing w:val="6"/>
          <w:sz w:val="26"/>
          <w:szCs w:val="24"/>
        </w:rPr>
        <w:t>ebe aprobarse por el Pleno del a</w:t>
      </w:r>
      <w:r w:rsidRPr="00DD7910">
        <w:rPr>
          <w:rFonts w:cs="Arial"/>
          <w:spacing w:val="6"/>
          <w:sz w:val="26"/>
          <w:szCs w:val="24"/>
        </w:rPr>
        <w:t>yuntamiento.</w:t>
      </w:r>
    </w:p>
    <w:p w14:paraId="6785DE5B" w14:textId="77777777" w:rsidR="003D644A" w:rsidRPr="003D644A" w:rsidRDefault="004620E5" w:rsidP="003D644A">
      <w:pPr>
        <w:pStyle w:val="texto"/>
        <w:tabs>
          <w:tab w:val="clear" w:pos="2835"/>
          <w:tab w:val="clear" w:pos="3969"/>
          <w:tab w:val="clear" w:pos="5103"/>
          <w:tab w:val="clear" w:pos="6237"/>
          <w:tab w:val="clear" w:pos="7371"/>
          <w:tab w:val="left" w:pos="480"/>
          <w:tab w:val="num" w:pos="600"/>
        </w:tabs>
        <w:spacing w:before="120"/>
        <w:rPr>
          <w:lang w:val="es-ES"/>
        </w:rPr>
      </w:pPr>
      <w:r>
        <w:rPr>
          <w:lang w:val="es-ES"/>
        </w:rPr>
        <w:t>E</w:t>
      </w:r>
      <w:r w:rsidR="003D644A">
        <w:rPr>
          <w:lang w:val="es-ES"/>
        </w:rPr>
        <w:t>stos informes internos no se incluyen en los expedientes. L</w:t>
      </w:r>
      <w:r w:rsidR="003D644A" w:rsidRPr="003D644A">
        <w:rPr>
          <w:lang w:val="es-ES"/>
        </w:rPr>
        <w:t>a verificación de estos extremos debiera acreditarse en un modelo de informe estandarizado e informatizado donde figuren todos los requisitos a fiscalizar, de tal forma que permita dar agilidad al procedimiento de fiscalización, así como optimizar los recursos de la Intervención.</w:t>
      </w:r>
    </w:p>
    <w:p w14:paraId="15B0358F" w14:textId="77777777" w:rsidR="00C1204F" w:rsidRDefault="00C1204F" w:rsidP="00C1204F">
      <w:pPr>
        <w:numPr>
          <w:ilvl w:val="0"/>
          <w:numId w:val="10"/>
        </w:numPr>
        <w:tabs>
          <w:tab w:val="num" w:pos="284"/>
          <w:tab w:val="num" w:pos="600"/>
          <w:tab w:val="num" w:pos="720"/>
          <w:tab w:val="num" w:pos="1320"/>
        </w:tabs>
        <w:spacing w:after="120"/>
        <w:rPr>
          <w:rFonts w:cs="Arial"/>
          <w:spacing w:val="6"/>
          <w:sz w:val="26"/>
          <w:szCs w:val="24"/>
        </w:rPr>
      </w:pPr>
      <w:r w:rsidRPr="00DD7910">
        <w:rPr>
          <w:rFonts w:cs="Arial"/>
          <w:spacing w:val="6"/>
          <w:sz w:val="26"/>
          <w:szCs w:val="24"/>
        </w:rPr>
        <w:t>No se realiza la fiscalización plena con posterioridad sobre una muestra representativa de los actos, documentos o expedientes sometidos a la fiscalización limitada previa.</w:t>
      </w:r>
      <w:r w:rsidR="005D27BC">
        <w:rPr>
          <w:rFonts w:cs="Arial"/>
          <w:spacing w:val="6"/>
          <w:sz w:val="26"/>
          <w:szCs w:val="24"/>
        </w:rPr>
        <w:t xml:space="preserve"> </w:t>
      </w:r>
      <w:r w:rsidR="00006898">
        <w:rPr>
          <w:rFonts w:cs="Arial"/>
          <w:spacing w:val="6"/>
          <w:sz w:val="26"/>
          <w:szCs w:val="24"/>
        </w:rPr>
        <w:t xml:space="preserve">Sobre esta cuestión, la </w:t>
      </w:r>
      <w:r w:rsidR="005D27BC">
        <w:rPr>
          <w:rFonts w:cs="Arial"/>
          <w:spacing w:val="6"/>
          <w:sz w:val="26"/>
          <w:szCs w:val="24"/>
        </w:rPr>
        <w:t xml:space="preserve">Intervención entiende que la comprobación de otros extremos formales anteriormente </w:t>
      </w:r>
      <w:proofErr w:type="gramStart"/>
      <w:r w:rsidR="005D27BC">
        <w:rPr>
          <w:rFonts w:cs="Arial"/>
          <w:spacing w:val="6"/>
          <w:sz w:val="26"/>
          <w:szCs w:val="24"/>
        </w:rPr>
        <w:t>indicados,</w:t>
      </w:r>
      <w:proofErr w:type="gramEnd"/>
      <w:r w:rsidR="005D27BC">
        <w:rPr>
          <w:rFonts w:cs="Arial"/>
          <w:spacing w:val="6"/>
          <w:sz w:val="26"/>
          <w:szCs w:val="24"/>
        </w:rPr>
        <w:t xml:space="preserve"> garantiza en buena medida una fiscalización bastante amplia que no requiere de muestreos posteriores. </w:t>
      </w:r>
    </w:p>
    <w:p w14:paraId="24036307" w14:textId="77777777" w:rsidR="003D644A" w:rsidRPr="003D644A" w:rsidRDefault="003D644A" w:rsidP="003D644A">
      <w:pPr>
        <w:numPr>
          <w:ilvl w:val="0"/>
          <w:numId w:val="10"/>
        </w:numPr>
        <w:tabs>
          <w:tab w:val="num" w:pos="284"/>
          <w:tab w:val="num" w:pos="600"/>
          <w:tab w:val="num" w:pos="720"/>
          <w:tab w:val="num" w:pos="1320"/>
        </w:tabs>
        <w:spacing w:after="120"/>
        <w:rPr>
          <w:rFonts w:cs="Arial"/>
          <w:spacing w:val="6"/>
          <w:sz w:val="26"/>
          <w:szCs w:val="24"/>
        </w:rPr>
      </w:pPr>
      <w:r w:rsidRPr="003D644A">
        <w:rPr>
          <w:rFonts w:cs="Arial"/>
          <w:spacing w:val="6"/>
          <w:sz w:val="26"/>
          <w:szCs w:val="24"/>
        </w:rPr>
        <w:t>La Intervención no fiscaliza los gastos de personal como viene reiterando esta Cámara</w:t>
      </w:r>
      <w:r w:rsidR="004620E5">
        <w:rPr>
          <w:rFonts w:cs="Arial"/>
          <w:spacing w:val="6"/>
          <w:sz w:val="26"/>
          <w:szCs w:val="24"/>
        </w:rPr>
        <w:t xml:space="preserve"> en anteriores informes</w:t>
      </w:r>
      <w:r w:rsidRPr="003D644A">
        <w:rPr>
          <w:rFonts w:cs="Arial"/>
          <w:spacing w:val="6"/>
          <w:sz w:val="26"/>
          <w:szCs w:val="24"/>
        </w:rPr>
        <w:t>. Al respecto, el infor</w:t>
      </w:r>
      <w:r w:rsidR="00793E57">
        <w:rPr>
          <w:rFonts w:cs="Arial"/>
          <w:spacing w:val="6"/>
          <w:sz w:val="26"/>
          <w:szCs w:val="24"/>
        </w:rPr>
        <w:t>me de la Intervención sobre la c</w:t>
      </w:r>
      <w:r w:rsidRPr="003D644A">
        <w:rPr>
          <w:rFonts w:cs="Arial"/>
          <w:spacing w:val="6"/>
          <w:sz w:val="26"/>
          <w:szCs w:val="24"/>
        </w:rPr>
        <w:t>uenta</w:t>
      </w:r>
      <w:r w:rsidR="00793E57">
        <w:rPr>
          <w:rFonts w:cs="Arial"/>
          <w:spacing w:val="6"/>
          <w:sz w:val="26"/>
          <w:szCs w:val="24"/>
        </w:rPr>
        <w:t xml:space="preserve"> g</w:t>
      </w:r>
      <w:r w:rsidRPr="003D644A">
        <w:rPr>
          <w:rFonts w:cs="Arial"/>
          <w:spacing w:val="6"/>
          <w:sz w:val="26"/>
          <w:szCs w:val="24"/>
        </w:rPr>
        <w:t>eneral expone los motivos por los cuales no se realiza esta labor. Los gastos de personal suponen el gasto más representativo del ayuntamiento, el 40 por ciento del total, por lo que su fiscalización por la Intervención bien con carácter previo o a posteriori debiera ser necesaria y obligatoria.</w:t>
      </w:r>
    </w:p>
    <w:p w14:paraId="30FAC03C" w14:textId="77777777" w:rsidR="00C1204F" w:rsidRPr="00DD7910" w:rsidRDefault="00C1204F" w:rsidP="00C1204F">
      <w:pPr>
        <w:numPr>
          <w:ilvl w:val="0"/>
          <w:numId w:val="10"/>
        </w:numPr>
        <w:tabs>
          <w:tab w:val="num" w:pos="284"/>
          <w:tab w:val="num" w:pos="600"/>
          <w:tab w:val="num" w:pos="720"/>
          <w:tab w:val="num" w:pos="1320"/>
        </w:tabs>
        <w:spacing w:after="120"/>
        <w:rPr>
          <w:rFonts w:cs="Arial"/>
          <w:spacing w:val="6"/>
          <w:sz w:val="26"/>
          <w:szCs w:val="24"/>
        </w:rPr>
      </w:pPr>
      <w:r w:rsidRPr="00DD7910">
        <w:rPr>
          <w:rFonts w:cs="Arial"/>
          <w:spacing w:val="6"/>
          <w:sz w:val="26"/>
          <w:szCs w:val="24"/>
        </w:rPr>
        <w:t>No se realizan en los ingresos las actuaciones comprobatorias posteriores a su contabilización.</w:t>
      </w:r>
    </w:p>
    <w:p w14:paraId="1EAD9C95" w14:textId="77777777" w:rsidR="00C1204F" w:rsidRPr="00DD7910" w:rsidRDefault="00C1204F" w:rsidP="00C1204F">
      <w:pPr>
        <w:numPr>
          <w:ilvl w:val="0"/>
          <w:numId w:val="10"/>
        </w:numPr>
        <w:tabs>
          <w:tab w:val="num" w:pos="284"/>
          <w:tab w:val="num" w:pos="600"/>
          <w:tab w:val="num" w:pos="720"/>
          <w:tab w:val="num" w:pos="1320"/>
        </w:tabs>
        <w:spacing w:after="120"/>
        <w:rPr>
          <w:rFonts w:cs="Arial"/>
          <w:spacing w:val="6"/>
          <w:sz w:val="26"/>
          <w:szCs w:val="24"/>
        </w:rPr>
      </w:pPr>
      <w:r>
        <w:rPr>
          <w:rFonts w:cs="Arial"/>
          <w:spacing w:val="6"/>
          <w:sz w:val="26"/>
          <w:szCs w:val="24"/>
        </w:rPr>
        <w:t>En el ejercicio 2021</w:t>
      </w:r>
      <w:r w:rsidRPr="00DD7910">
        <w:rPr>
          <w:rFonts w:cs="Arial"/>
          <w:spacing w:val="6"/>
          <w:sz w:val="26"/>
          <w:szCs w:val="24"/>
        </w:rPr>
        <w:t xml:space="preserve"> no figuran reparos efectuados por la Intervención.</w:t>
      </w:r>
    </w:p>
    <w:p w14:paraId="055CD15B" w14:textId="77777777" w:rsidR="003D644A" w:rsidRDefault="00C1204F" w:rsidP="00C1204F">
      <w:pPr>
        <w:spacing w:after="120"/>
        <w:ind w:firstLine="284"/>
        <w:rPr>
          <w:spacing w:val="6"/>
          <w:sz w:val="26"/>
          <w:szCs w:val="24"/>
        </w:rPr>
      </w:pPr>
      <w:proofErr w:type="gramStart"/>
      <w:r>
        <w:rPr>
          <w:spacing w:val="6"/>
          <w:sz w:val="26"/>
          <w:szCs w:val="24"/>
        </w:rPr>
        <w:t>De acuerdo a</w:t>
      </w:r>
      <w:proofErr w:type="gramEnd"/>
      <w:r>
        <w:rPr>
          <w:spacing w:val="6"/>
          <w:sz w:val="26"/>
          <w:szCs w:val="24"/>
        </w:rPr>
        <w:t xml:space="preserve"> lo anterior y teniendo en cuenta el régimen de control interno previsto en el marco hacendístico local, </w:t>
      </w:r>
      <w:r w:rsidRPr="008C5347">
        <w:rPr>
          <w:spacing w:val="6"/>
          <w:sz w:val="26"/>
          <w:szCs w:val="24"/>
        </w:rPr>
        <w:t xml:space="preserve">consideramos que </w:t>
      </w:r>
      <w:r>
        <w:rPr>
          <w:spacing w:val="6"/>
          <w:sz w:val="26"/>
          <w:szCs w:val="24"/>
        </w:rPr>
        <w:t>en el Ayuntamiento de Pamplona</w:t>
      </w:r>
      <w:r w:rsidR="003D644A">
        <w:rPr>
          <w:spacing w:val="6"/>
          <w:sz w:val="26"/>
          <w:szCs w:val="24"/>
        </w:rPr>
        <w:t xml:space="preserve"> </w:t>
      </w:r>
      <w:r w:rsidRPr="008C5347">
        <w:rPr>
          <w:spacing w:val="6"/>
          <w:sz w:val="26"/>
          <w:szCs w:val="24"/>
        </w:rPr>
        <w:t xml:space="preserve">un modelo </w:t>
      </w:r>
      <w:r>
        <w:rPr>
          <w:spacing w:val="6"/>
          <w:sz w:val="26"/>
          <w:szCs w:val="24"/>
        </w:rPr>
        <w:t>de control más eficaz</w:t>
      </w:r>
      <w:r w:rsidRPr="008C5347">
        <w:rPr>
          <w:spacing w:val="6"/>
          <w:sz w:val="26"/>
          <w:szCs w:val="24"/>
        </w:rPr>
        <w:t xml:space="preserve"> debiera contemplar como régimen ordinario el de la fiscalización previa plena, dejando con carácter especial el de la fiscalización limitada previa exclusivamente para aquellos gastos que por naturaleza</w:t>
      </w:r>
      <w:r w:rsidR="00826657">
        <w:rPr>
          <w:spacing w:val="6"/>
          <w:sz w:val="26"/>
          <w:szCs w:val="24"/>
        </w:rPr>
        <w:t xml:space="preserve"> o por cuantía sea conveniente. </w:t>
      </w:r>
    </w:p>
    <w:p w14:paraId="54D83FA3" w14:textId="77777777" w:rsidR="00C1204F" w:rsidRPr="00325DFA" w:rsidRDefault="00C1204F" w:rsidP="00C1204F">
      <w:pPr>
        <w:spacing w:after="120"/>
        <w:ind w:firstLine="284"/>
        <w:rPr>
          <w:spacing w:val="6"/>
          <w:sz w:val="26"/>
          <w:szCs w:val="24"/>
        </w:rPr>
      </w:pPr>
      <w:r>
        <w:rPr>
          <w:spacing w:val="6"/>
          <w:sz w:val="26"/>
          <w:szCs w:val="24"/>
        </w:rPr>
        <w:t xml:space="preserve">En los OOAA </w:t>
      </w:r>
      <w:r w:rsidRPr="00325DFA">
        <w:rPr>
          <w:spacing w:val="6"/>
          <w:sz w:val="26"/>
          <w:szCs w:val="24"/>
        </w:rPr>
        <w:t>se realiza la función interventora a través de personal propio desempeñando funciones de intervención delegada y el control financiero se ejerce a través de auditorías externas. No se realiza el control de eficacia.</w:t>
      </w:r>
    </w:p>
    <w:p w14:paraId="070E372C" w14:textId="77777777" w:rsidR="00C1204F" w:rsidRDefault="00C1204F" w:rsidP="00C1204F">
      <w:pPr>
        <w:spacing w:after="120"/>
        <w:ind w:firstLine="284"/>
        <w:rPr>
          <w:spacing w:val="6"/>
          <w:sz w:val="26"/>
          <w:szCs w:val="24"/>
        </w:rPr>
      </w:pPr>
      <w:r w:rsidRPr="00325DFA">
        <w:rPr>
          <w:spacing w:val="6"/>
          <w:sz w:val="26"/>
          <w:szCs w:val="24"/>
        </w:rPr>
        <w:t>En las sociedades mercantiles y en las fundaciones el control financiero se ejerce también a través de auditorías externas.</w:t>
      </w:r>
      <w:r w:rsidR="00793E57">
        <w:rPr>
          <w:spacing w:val="6"/>
          <w:sz w:val="26"/>
          <w:szCs w:val="24"/>
        </w:rPr>
        <w:t xml:space="preserve"> No se realiza el control de eficacia.</w:t>
      </w:r>
    </w:p>
    <w:p w14:paraId="47673620" w14:textId="77777777" w:rsidR="00C4387E" w:rsidRDefault="00C4387E" w:rsidP="00C1204F">
      <w:pPr>
        <w:spacing w:after="120"/>
        <w:ind w:firstLine="284"/>
        <w:rPr>
          <w:spacing w:val="6"/>
          <w:sz w:val="26"/>
          <w:szCs w:val="24"/>
        </w:rPr>
      </w:pPr>
    </w:p>
    <w:p w14:paraId="5D944ABB" w14:textId="77777777" w:rsidR="00525E07" w:rsidRDefault="00525E07" w:rsidP="00C1204F">
      <w:pPr>
        <w:spacing w:after="120"/>
        <w:ind w:firstLine="284"/>
        <w:rPr>
          <w:spacing w:val="6"/>
          <w:sz w:val="26"/>
          <w:szCs w:val="24"/>
        </w:rPr>
      </w:pPr>
      <w:r>
        <w:rPr>
          <w:spacing w:val="6"/>
          <w:sz w:val="26"/>
          <w:szCs w:val="24"/>
        </w:rPr>
        <w:lastRenderedPageBreak/>
        <w:t>Recomendamos</w:t>
      </w:r>
    </w:p>
    <w:p w14:paraId="1D03D15C" w14:textId="77777777" w:rsidR="003D644A" w:rsidRDefault="00F112DA" w:rsidP="00826657">
      <w:pPr>
        <w:numPr>
          <w:ilvl w:val="0"/>
          <w:numId w:val="10"/>
        </w:numPr>
        <w:tabs>
          <w:tab w:val="num" w:pos="284"/>
          <w:tab w:val="num" w:pos="600"/>
          <w:tab w:val="num" w:pos="720"/>
          <w:tab w:val="num" w:pos="1320"/>
        </w:tabs>
        <w:spacing w:after="120"/>
        <w:rPr>
          <w:rFonts w:cs="Arial"/>
          <w:i/>
          <w:spacing w:val="6"/>
          <w:sz w:val="26"/>
          <w:szCs w:val="24"/>
        </w:rPr>
      </w:pPr>
      <w:r w:rsidRPr="00826657">
        <w:rPr>
          <w:rFonts w:cs="Arial"/>
          <w:i/>
          <w:spacing w:val="6"/>
          <w:sz w:val="26"/>
          <w:szCs w:val="24"/>
        </w:rPr>
        <w:t>C</w:t>
      </w:r>
      <w:r w:rsidR="00525E07" w:rsidRPr="00826657">
        <w:rPr>
          <w:rFonts w:cs="Arial"/>
          <w:i/>
          <w:spacing w:val="6"/>
          <w:sz w:val="26"/>
          <w:szCs w:val="24"/>
        </w:rPr>
        <w:t xml:space="preserve">ontemplar como régimen ordinario de fiscalización el de la fiscalización previa plena, dejando con carácter especial el de fiscalización limitada previa exclusivamente para aquellos gastos que por naturaleza o cuantía sea conveniente. </w:t>
      </w:r>
    </w:p>
    <w:p w14:paraId="36837FB4" w14:textId="77777777" w:rsidR="003D644A" w:rsidRDefault="003D644A" w:rsidP="00826657">
      <w:pPr>
        <w:numPr>
          <w:ilvl w:val="0"/>
          <w:numId w:val="10"/>
        </w:numPr>
        <w:tabs>
          <w:tab w:val="num" w:pos="284"/>
          <w:tab w:val="num" w:pos="600"/>
          <w:tab w:val="num" w:pos="720"/>
          <w:tab w:val="num" w:pos="1320"/>
        </w:tabs>
        <w:spacing w:after="120"/>
        <w:rPr>
          <w:rFonts w:cs="Arial"/>
          <w:i/>
          <w:spacing w:val="6"/>
          <w:sz w:val="26"/>
          <w:szCs w:val="24"/>
        </w:rPr>
      </w:pPr>
      <w:r>
        <w:rPr>
          <w:rFonts w:cs="Arial"/>
          <w:i/>
          <w:spacing w:val="6"/>
          <w:sz w:val="26"/>
          <w:szCs w:val="24"/>
        </w:rPr>
        <w:t xml:space="preserve">Acordar por el </w:t>
      </w:r>
      <w:r w:rsidR="00826657" w:rsidRPr="00826657">
        <w:rPr>
          <w:rFonts w:cs="Arial"/>
          <w:i/>
          <w:spacing w:val="6"/>
          <w:sz w:val="26"/>
          <w:szCs w:val="24"/>
        </w:rPr>
        <w:t xml:space="preserve">Pleno </w:t>
      </w:r>
      <w:r w:rsidR="0005127C">
        <w:rPr>
          <w:rFonts w:cs="Arial"/>
          <w:i/>
          <w:spacing w:val="6"/>
          <w:sz w:val="26"/>
          <w:szCs w:val="24"/>
        </w:rPr>
        <w:t xml:space="preserve">la comprobación de </w:t>
      </w:r>
      <w:r w:rsidR="00826657">
        <w:rPr>
          <w:rFonts w:cs="Arial"/>
          <w:i/>
          <w:spacing w:val="6"/>
          <w:sz w:val="26"/>
          <w:szCs w:val="24"/>
        </w:rPr>
        <w:t xml:space="preserve">aquellos </w:t>
      </w:r>
      <w:r w:rsidR="00525E07" w:rsidRPr="00826657">
        <w:rPr>
          <w:rFonts w:cs="Arial"/>
          <w:i/>
          <w:spacing w:val="6"/>
          <w:sz w:val="26"/>
          <w:szCs w:val="24"/>
        </w:rPr>
        <w:t xml:space="preserve">extremos </w:t>
      </w:r>
      <w:r>
        <w:rPr>
          <w:rFonts w:cs="Arial"/>
          <w:i/>
          <w:spacing w:val="6"/>
          <w:sz w:val="26"/>
          <w:szCs w:val="24"/>
        </w:rPr>
        <w:t xml:space="preserve">que por su trascendencia en el proceso de gestión se está llevando a cabo de forma interna por la Intervención. </w:t>
      </w:r>
    </w:p>
    <w:p w14:paraId="6DC6E897" w14:textId="77777777" w:rsidR="00F02464" w:rsidRPr="00525E07" w:rsidRDefault="00F02464" w:rsidP="00F02464">
      <w:pPr>
        <w:numPr>
          <w:ilvl w:val="0"/>
          <w:numId w:val="10"/>
        </w:numPr>
        <w:tabs>
          <w:tab w:val="num" w:pos="284"/>
          <w:tab w:val="num" w:pos="600"/>
          <w:tab w:val="num" w:pos="720"/>
          <w:tab w:val="num" w:pos="1320"/>
        </w:tabs>
        <w:spacing w:after="120"/>
        <w:rPr>
          <w:rFonts w:cs="Arial"/>
          <w:i/>
          <w:spacing w:val="6"/>
          <w:sz w:val="26"/>
          <w:szCs w:val="24"/>
        </w:rPr>
      </w:pPr>
      <w:r w:rsidRPr="00525E07">
        <w:rPr>
          <w:rFonts w:cs="Arial"/>
          <w:i/>
          <w:spacing w:val="6"/>
          <w:sz w:val="26"/>
          <w:szCs w:val="24"/>
        </w:rPr>
        <w:t>Adecuar los procedimientos internos necesarios de forma que el área de</w:t>
      </w:r>
      <w:r w:rsidRPr="00525E07">
        <w:rPr>
          <w:rFonts w:cs="Arial"/>
          <w:i/>
          <w:spacing w:val="6"/>
          <w:sz w:val="26"/>
          <w:szCs w:val="24"/>
        </w:rPr>
        <w:br/>
        <w:t>Intervención pueda realizar la fiscalización previa de la nómina.</w:t>
      </w:r>
    </w:p>
    <w:p w14:paraId="02D5DEA6" w14:textId="77777777" w:rsidR="00807992" w:rsidRPr="00A54D1E" w:rsidRDefault="00C1204F" w:rsidP="00190001">
      <w:pPr>
        <w:pStyle w:val="texto"/>
      </w:pPr>
      <w:r>
        <w:t xml:space="preserve">5.4.2. </w:t>
      </w:r>
      <w:r w:rsidR="00807992" w:rsidRPr="00A54D1E">
        <w:t>Gastos de personal</w:t>
      </w:r>
      <w:bookmarkEnd w:id="136"/>
      <w:bookmarkEnd w:id="137"/>
      <w:r w:rsidR="00807992" w:rsidRPr="00A54D1E">
        <w:t xml:space="preserve"> </w:t>
      </w:r>
    </w:p>
    <w:p w14:paraId="61CB2818" w14:textId="77777777" w:rsidR="00B41713" w:rsidRDefault="00807992" w:rsidP="00190001">
      <w:pPr>
        <w:spacing w:after="160"/>
        <w:ind w:firstLine="284"/>
        <w:rPr>
          <w:spacing w:val="6"/>
          <w:sz w:val="26"/>
          <w:szCs w:val="26"/>
        </w:rPr>
      </w:pPr>
      <w:r w:rsidRPr="00667DFF">
        <w:rPr>
          <w:spacing w:val="6"/>
          <w:sz w:val="26"/>
          <w:szCs w:val="26"/>
        </w:rPr>
        <w:t xml:space="preserve">Los gastos de personal del ayuntamiento ascendieron a </w:t>
      </w:r>
      <w:r>
        <w:rPr>
          <w:spacing w:val="6"/>
          <w:sz w:val="26"/>
          <w:szCs w:val="26"/>
        </w:rPr>
        <w:t xml:space="preserve">94,62 millones, y su ejecución ha supuesto el 99 </w:t>
      </w:r>
      <w:r w:rsidRPr="00667DFF">
        <w:rPr>
          <w:spacing w:val="6"/>
          <w:sz w:val="26"/>
          <w:szCs w:val="26"/>
        </w:rPr>
        <w:t>por ciento de los crédito</w:t>
      </w:r>
      <w:r>
        <w:rPr>
          <w:spacing w:val="6"/>
          <w:sz w:val="26"/>
          <w:szCs w:val="26"/>
        </w:rPr>
        <w:t>s definitivos. Representan el 40</w:t>
      </w:r>
      <w:r w:rsidRPr="00667DFF">
        <w:rPr>
          <w:spacing w:val="6"/>
          <w:sz w:val="26"/>
          <w:szCs w:val="26"/>
        </w:rPr>
        <w:t xml:space="preserve"> por ciento del total de gastos devengados en el ejercicio y </w:t>
      </w:r>
      <w:r>
        <w:rPr>
          <w:spacing w:val="6"/>
          <w:sz w:val="26"/>
          <w:szCs w:val="26"/>
        </w:rPr>
        <w:t xml:space="preserve">la disminución respecto al ejercicio precedente no ha sido significativa, al ser de un 0,3 por ciento. </w:t>
      </w:r>
    </w:p>
    <w:p w14:paraId="49CE1DDA" w14:textId="77777777" w:rsidR="00807992" w:rsidRDefault="00807992" w:rsidP="00807992">
      <w:pPr>
        <w:tabs>
          <w:tab w:val="center" w:pos="2835"/>
          <w:tab w:val="center" w:pos="3969"/>
          <w:tab w:val="center" w:pos="5103"/>
          <w:tab w:val="center" w:pos="6237"/>
          <w:tab w:val="center" w:pos="7371"/>
        </w:tabs>
        <w:spacing w:after="220"/>
        <w:ind w:firstLine="284"/>
        <w:rPr>
          <w:spacing w:val="6"/>
          <w:sz w:val="26"/>
          <w:szCs w:val="24"/>
        </w:rPr>
      </w:pPr>
      <w:r w:rsidRPr="00667DFF">
        <w:rPr>
          <w:spacing w:val="6"/>
          <w:sz w:val="26"/>
          <w:szCs w:val="24"/>
        </w:rPr>
        <w:t>La comparativa con el ejercicio anterior se muestra en el cuadro siguiente:</w:t>
      </w:r>
    </w:p>
    <w:tbl>
      <w:tblPr>
        <w:tblW w:w="0" w:type="auto"/>
        <w:jc w:val="center"/>
        <w:tblCellMar>
          <w:left w:w="70" w:type="dxa"/>
          <w:right w:w="70" w:type="dxa"/>
        </w:tblCellMar>
        <w:tblLook w:val="04A0" w:firstRow="1" w:lastRow="0" w:firstColumn="1" w:lastColumn="0" w:noHBand="0" w:noVBand="1"/>
      </w:tblPr>
      <w:tblGrid>
        <w:gridCol w:w="4952"/>
        <w:gridCol w:w="1143"/>
        <w:gridCol w:w="1149"/>
        <w:gridCol w:w="954"/>
        <w:gridCol w:w="591"/>
      </w:tblGrid>
      <w:tr w:rsidR="00807992" w:rsidRPr="00552655" w14:paraId="60FA12BD" w14:textId="77777777" w:rsidTr="00995A09">
        <w:trPr>
          <w:trHeight w:val="255"/>
          <w:jc w:val="center"/>
        </w:trPr>
        <w:tc>
          <w:tcPr>
            <w:tcW w:w="4953" w:type="dxa"/>
            <w:tcBorders>
              <w:top w:val="single" w:sz="4" w:space="0" w:color="auto"/>
              <w:left w:val="nil"/>
              <w:bottom w:val="single" w:sz="4" w:space="0" w:color="auto"/>
              <w:right w:val="nil"/>
            </w:tcBorders>
            <w:shd w:val="clear" w:color="000000" w:fill="F4B084"/>
            <w:noWrap/>
            <w:vAlign w:val="center"/>
            <w:hideMark/>
          </w:tcPr>
          <w:p w14:paraId="035C0BB7" w14:textId="77777777" w:rsidR="00807992" w:rsidRPr="00552655" w:rsidRDefault="00807992" w:rsidP="00807992">
            <w:pPr>
              <w:spacing w:after="0"/>
              <w:ind w:firstLine="0"/>
              <w:jc w:val="left"/>
              <w:rPr>
                <w:rFonts w:ascii="Arial" w:hAnsi="Arial" w:cs="Arial"/>
                <w:color w:val="000000"/>
                <w:sz w:val="18"/>
                <w:szCs w:val="18"/>
                <w:lang w:val="es-ES" w:eastAsia="es-ES"/>
              </w:rPr>
            </w:pPr>
            <w:r w:rsidRPr="00552655">
              <w:rPr>
                <w:rFonts w:ascii="Arial" w:hAnsi="Arial" w:cs="Arial"/>
                <w:color w:val="000000"/>
                <w:sz w:val="18"/>
                <w:szCs w:val="18"/>
                <w:lang w:val="es-ES" w:eastAsia="es-ES"/>
              </w:rPr>
              <w:t>Partida Presupuestaria</w:t>
            </w:r>
          </w:p>
        </w:tc>
        <w:tc>
          <w:tcPr>
            <w:tcW w:w="1143" w:type="dxa"/>
            <w:tcBorders>
              <w:top w:val="single" w:sz="4" w:space="0" w:color="auto"/>
              <w:left w:val="nil"/>
              <w:bottom w:val="single" w:sz="4" w:space="0" w:color="auto"/>
              <w:right w:val="nil"/>
            </w:tcBorders>
            <w:shd w:val="clear" w:color="000000" w:fill="F4B084"/>
            <w:noWrap/>
            <w:vAlign w:val="center"/>
            <w:hideMark/>
          </w:tcPr>
          <w:p w14:paraId="7D3A24F2" w14:textId="77777777" w:rsidR="00807992" w:rsidRPr="00552655" w:rsidRDefault="00807992" w:rsidP="00807992">
            <w:pPr>
              <w:spacing w:after="0"/>
              <w:ind w:firstLine="0"/>
              <w:jc w:val="right"/>
              <w:rPr>
                <w:rFonts w:ascii="Arial" w:hAnsi="Arial" w:cs="Arial"/>
                <w:color w:val="000000"/>
                <w:sz w:val="18"/>
                <w:szCs w:val="18"/>
                <w:lang w:val="es-ES" w:eastAsia="es-ES"/>
              </w:rPr>
            </w:pPr>
            <w:r w:rsidRPr="00552655">
              <w:rPr>
                <w:rFonts w:ascii="Arial" w:hAnsi="Arial" w:cs="Arial"/>
                <w:color w:val="000000"/>
                <w:sz w:val="18"/>
                <w:szCs w:val="18"/>
                <w:lang w:val="es-ES" w:eastAsia="es-ES"/>
              </w:rPr>
              <w:t>ORN 2020</w:t>
            </w:r>
          </w:p>
        </w:tc>
        <w:tc>
          <w:tcPr>
            <w:tcW w:w="1149" w:type="dxa"/>
            <w:tcBorders>
              <w:top w:val="single" w:sz="4" w:space="0" w:color="auto"/>
              <w:left w:val="nil"/>
              <w:bottom w:val="single" w:sz="4" w:space="0" w:color="auto"/>
              <w:right w:val="nil"/>
            </w:tcBorders>
            <w:shd w:val="clear" w:color="000000" w:fill="F4B084"/>
            <w:noWrap/>
            <w:vAlign w:val="center"/>
            <w:hideMark/>
          </w:tcPr>
          <w:p w14:paraId="3AA86455" w14:textId="77777777" w:rsidR="00807992" w:rsidRPr="00552655" w:rsidRDefault="00807992" w:rsidP="00807992">
            <w:pPr>
              <w:spacing w:after="0"/>
              <w:ind w:firstLine="0"/>
              <w:jc w:val="right"/>
              <w:rPr>
                <w:rFonts w:ascii="Arial" w:hAnsi="Arial" w:cs="Arial"/>
                <w:color w:val="000000"/>
                <w:sz w:val="18"/>
                <w:szCs w:val="18"/>
                <w:lang w:val="es-ES" w:eastAsia="es-ES"/>
              </w:rPr>
            </w:pPr>
            <w:r w:rsidRPr="00552655">
              <w:rPr>
                <w:rFonts w:ascii="Arial" w:hAnsi="Arial" w:cs="Arial"/>
                <w:color w:val="000000"/>
                <w:sz w:val="18"/>
                <w:szCs w:val="18"/>
                <w:lang w:val="es-ES" w:eastAsia="es-ES"/>
              </w:rPr>
              <w:t>ORN 2021</w:t>
            </w:r>
          </w:p>
        </w:tc>
        <w:tc>
          <w:tcPr>
            <w:tcW w:w="954" w:type="dxa"/>
            <w:tcBorders>
              <w:top w:val="single" w:sz="4" w:space="0" w:color="auto"/>
              <w:left w:val="nil"/>
              <w:bottom w:val="single" w:sz="4" w:space="0" w:color="auto"/>
              <w:right w:val="nil"/>
            </w:tcBorders>
            <w:shd w:val="clear" w:color="000000" w:fill="F4B084"/>
            <w:noWrap/>
            <w:vAlign w:val="center"/>
            <w:hideMark/>
          </w:tcPr>
          <w:p w14:paraId="691DD3A3" w14:textId="77777777" w:rsidR="00807992" w:rsidRPr="00552655" w:rsidRDefault="00807992" w:rsidP="00807992">
            <w:pPr>
              <w:spacing w:after="0"/>
              <w:ind w:firstLine="0"/>
              <w:jc w:val="center"/>
              <w:rPr>
                <w:rFonts w:ascii="Arial" w:hAnsi="Arial" w:cs="Arial"/>
                <w:color w:val="000000"/>
                <w:sz w:val="18"/>
                <w:szCs w:val="18"/>
                <w:lang w:val="es-ES" w:eastAsia="es-ES"/>
              </w:rPr>
            </w:pPr>
            <w:r w:rsidRPr="00552655">
              <w:rPr>
                <w:rFonts w:ascii="Arial" w:hAnsi="Arial" w:cs="Arial"/>
                <w:color w:val="000000"/>
                <w:sz w:val="18"/>
                <w:szCs w:val="18"/>
                <w:lang w:val="es-ES" w:eastAsia="es-ES"/>
              </w:rPr>
              <w:t>Variación</w:t>
            </w:r>
          </w:p>
        </w:tc>
        <w:tc>
          <w:tcPr>
            <w:tcW w:w="590" w:type="dxa"/>
            <w:tcBorders>
              <w:top w:val="single" w:sz="4" w:space="0" w:color="auto"/>
              <w:left w:val="nil"/>
              <w:bottom w:val="single" w:sz="4" w:space="0" w:color="auto"/>
              <w:right w:val="nil"/>
            </w:tcBorders>
            <w:shd w:val="clear" w:color="000000" w:fill="F4B084"/>
            <w:vAlign w:val="center"/>
            <w:hideMark/>
          </w:tcPr>
          <w:p w14:paraId="384D0E59" w14:textId="77777777" w:rsidR="00807992" w:rsidRDefault="00807992" w:rsidP="009C0A0F">
            <w:pPr>
              <w:spacing w:after="0"/>
              <w:ind w:firstLine="0"/>
              <w:jc w:val="center"/>
              <w:rPr>
                <w:rFonts w:ascii="Arial" w:hAnsi="Arial" w:cs="Arial"/>
                <w:color w:val="000000"/>
                <w:sz w:val="18"/>
                <w:szCs w:val="18"/>
                <w:lang w:val="es-ES" w:eastAsia="es-ES"/>
              </w:rPr>
            </w:pPr>
            <w:r w:rsidRPr="00552655">
              <w:rPr>
                <w:rFonts w:ascii="Arial" w:hAnsi="Arial" w:cs="Arial"/>
                <w:color w:val="000000"/>
                <w:sz w:val="18"/>
                <w:szCs w:val="18"/>
                <w:lang w:val="es-ES" w:eastAsia="es-ES"/>
              </w:rPr>
              <w:t>%</w:t>
            </w:r>
          </w:p>
          <w:p w14:paraId="7F2C4904" w14:textId="77777777" w:rsidR="00807992" w:rsidRPr="00552655" w:rsidRDefault="00807992" w:rsidP="009C0A0F">
            <w:pPr>
              <w:spacing w:after="0"/>
              <w:ind w:firstLine="0"/>
              <w:jc w:val="center"/>
              <w:rPr>
                <w:rFonts w:ascii="Arial" w:hAnsi="Arial" w:cs="Arial"/>
                <w:color w:val="000000"/>
                <w:sz w:val="18"/>
                <w:szCs w:val="18"/>
                <w:lang w:val="es-ES" w:eastAsia="es-ES"/>
              </w:rPr>
            </w:pPr>
            <w:r w:rsidRPr="00552655">
              <w:rPr>
                <w:rFonts w:ascii="Arial" w:hAnsi="Arial" w:cs="Arial"/>
                <w:color w:val="000000"/>
                <w:sz w:val="18"/>
                <w:szCs w:val="18"/>
                <w:lang w:val="es-ES" w:eastAsia="es-ES"/>
              </w:rPr>
              <w:t>Var. 21/20</w:t>
            </w:r>
          </w:p>
        </w:tc>
      </w:tr>
      <w:tr w:rsidR="00807992" w:rsidRPr="00190001" w14:paraId="3F25CE80" w14:textId="77777777" w:rsidTr="00995A09">
        <w:trPr>
          <w:trHeight w:val="198"/>
          <w:jc w:val="center"/>
        </w:trPr>
        <w:tc>
          <w:tcPr>
            <w:tcW w:w="4953" w:type="dxa"/>
            <w:tcBorders>
              <w:top w:val="single" w:sz="4" w:space="0" w:color="auto"/>
              <w:left w:val="nil"/>
              <w:bottom w:val="single" w:sz="2" w:space="0" w:color="auto"/>
              <w:right w:val="nil"/>
            </w:tcBorders>
            <w:shd w:val="clear" w:color="auto" w:fill="auto"/>
            <w:noWrap/>
            <w:vAlign w:val="center"/>
            <w:hideMark/>
          </w:tcPr>
          <w:p w14:paraId="74ADD943" w14:textId="77777777" w:rsidR="00807992" w:rsidRPr="00190001" w:rsidRDefault="00807992" w:rsidP="00807992">
            <w:pPr>
              <w:spacing w:after="0"/>
              <w:ind w:firstLine="0"/>
              <w:jc w:val="left"/>
              <w:rPr>
                <w:rFonts w:ascii="Arial Narrow" w:hAnsi="Arial Narrow" w:cs="Calibri"/>
                <w:color w:val="000000"/>
                <w:lang w:val="es-ES" w:eastAsia="es-ES"/>
              </w:rPr>
            </w:pPr>
            <w:r w:rsidRPr="00190001">
              <w:rPr>
                <w:rFonts w:ascii="Arial Narrow" w:hAnsi="Arial Narrow" w:cs="Calibri"/>
                <w:color w:val="000000"/>
                <w:lang w:val="es-ES" w:eastAsia="es-ES"/>
              </w:rPr>
              <w:t>Retr</w:t>
            </w:r>
            <w:r w:rsidR="009C0A0F">
              <w:rPr>
                <w:rFonts w:ascii="Arial Narrow" w:hAnsi="Arial Narrow" w:cs="Calibri"/>
                <w:color w:val="000000"/>
                <w:lang w:val="es-ES" w:eastAsia="es-ES"/>
              </w:rPr>
              <w:t>ibuciones básicas y otras remuneraciones</w:t>
            </w:r>
            <w:r w:rsidRPr="00190001">
              <w:rPr>
                <w:rFonts w:ascii="Arial Narrow" w:hAnsi="Arial Narrow" w:cs="Calibri"/>
                <w:color w:val="000000"/>
                <w:lang w:val="es-ES" w:eastAsia="es-ES"/>
              </w:rPr>
              <w:t xml:space="preserve"> de los órganos gobierno</w:t>
            </w:r>
          </w:p>
        </w:tc>
        <w:tc>
          <w:tcPr>
            <w:tcW w:w="1143" w:type="dxa"/>
            <w:tcBorders>
              <w:top w:val="single" w:sz="4" w:space="0" w:color="auto"/>
              <w:left w:val="nil"/>
              <w:bottom w:val="single" w:sz="2" w:space="0" w:color="auto"/>
              <w:right w:val="nil"/>
            </w:tcBorders>
            <w:shd w:val="clear" w:color="auto" w:fill="auto"/>
            <w:noWrap/>
            <w:vAlign w:val="center"/>
            <w:hideMark/>
          </w:tcPr>
          <w:p w14:paraId="4C74E22A"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1.060.155</w:t>
            </w:r>
          </w:p>
        </w:tc>
        <w:tc>
          <w:tcPr>
            <w:tcW w:w="1149" w:type="dxa"/>
            <w:tcBorders>
              <w:top w:val="single" w:sz="4" w:space="0" w:color="auto"/>
              <w:left w:val="nil"/>
              <w:bottom w:val="single" w:sz="2" w:space="0" w:color="auto"/>
              <w:right w:val="nil"/>
            </w:tcBorders>
            <w:shd w:val="clear" w:color="auto" w:fill="auto"/>
            <w:noWrap/>
            <w:vAlign w:val="center"/>
            <w:hideMark/>
          </w:tcPr>
          <w:p w14:paraId="3B1544CB"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1.057.181</w:t>
            </w:r>
          </w:p>
        </w:tc>
        <w:tc>
          <w:tcPr>
            <w:tcW w:w="954" w:type="dxa"/>
            <w:tcBorders>
              <w:top w:val="single" w:sz="4" w:space="0" w:color="auto"/>
              <w:left w:val="nil"/>
              <w:bottom w:val="single" w:sz="2" w:space="0" w:color="auto"/>
              <w:right w:val="nil"/>
            </w:tcBorders>
            <w:shd w:val="clear" w:color="auto" w:fill="auto"/>
            <w:noWrap/>
            <w:vAlign w:val="center"/>
            <w:hideMark/>
          </w:tcPr>
          <w:p w14:paraId="39FCE9ED"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-2.974</w:t>
            </w:r>
          </w:p>
        </w:tc>
        <w:tc>
          <w:tcPr>
            <w:tcW w:w="590" w:type="dxa"/>
            <w:tcBorders>
              <w:top w:val="single" w:sz="4" w:space="0" w:color="auto"/>
              <w:left w:val="nil"/>
              <w:bottom w:val="single" w:sz="2" w:space="0" w:color="auto"/>
              <w:right w:val="nil"/>
            </w:tcBorders>
            <w:shd w:val="clear" w:color="auto" w:fill="auto"/>
            <w:noWrap/>
            <w:vAlign w:val="center"/>
            <w:hideMark/>
          </w:tcPr>
          <w:p w14:paraId="36A6FC32" w14:textId="77777777" w:rsidR="00807992" w:rsidRPr="00190001" w:rsidRDefault="00793E57"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r>
      <w:tr w:rsidR="00807992" w:rsidRPr="00190001" w14:paraId="6408B003" w14:textId="77777777" w:rsidTr="0046298C">
        <w:trPr>
          <w:trHeight w:val="198"/>
          <w:jc w:val="center"/>
        </w:trPr>
        <w:tc>
          <w:tcPr>
            <w:tcW w:w="4953" w:type="dxa"/>
            <w:tcBorders>
              <w:top w:val="single" w:sz="2" w:space="0" w:color="auto"/>
              <w:left w:val="nil"/>
              <w:bottom w:val="single" w:sz="2" w:space="0" w:color="auto"/>
              <w:right w:val="nil"/>
            </w:tcBorders>
            <w:shd w:val="clear" w:color="auto" w:fill="auto"/>
            <w:noWrap/>
            <w:vAlign w:val="center"/>
            <w:hideMark/>
          </w:tcPr>
          <w:p w14:paraId="286FD127" w14:textId="77777777" w:rsidR="00807992" w:rsidRPr="00190001" w:rsidRDefault="00807992" w:rsidP="00807992">
            <w:pPr>
              <w:spacing w:after="0"/>
              <w:ind w:firstLine="0"/>
              <w:jc w:val="left"/>
              <w:rPr>
                <w:rFonts w:ascii="Arial Narrow" w:hAnsi="Arial Narrow" w:cs="Calibri"/>
                <w:color w:val="000000"/>
                <w:lang w:val="es-ES" w:eastAsia="es-ES"/>
              </w:rPr>
            </w:pPr>
            <w:r w:rsidRPr="00190001">
              <w:rPr>
                <w:rFonts w:ascii="Arial Narrow" w:hAnsi="Arial Narrow" w:cs="Calibri"/>
                <w:color w:val="000000"/>
                <w:lang w:val="es-ES" w:eastAsia="es-ES"/>
              </w:rPr>
              <w:t>Retri</w:t>
            </w:r>
            <w:r w:rsidR="009C0A0F">
              <w:rPr>
                <w:rFonts w:ascii="Arial Narrow" w:hAnsi="Arial Narrow" w:cs="Calibri"/>
                <w:color w:val="000000"/>
                <w:lang w:val="es-ES" w:eastAsia="es-ES"/>
              </w:rPr>
              <w:t xml:space="preserve">buciones básicas y otras remuneraciones </w:t>
            </w:r>
            <w:r w:rsidRPr="00190001">
              <w:rPr>
                <w:rFonts w:ascii="Arial Narrow" w:hAnsi="Arial Narrow" w:cs="Calibri"/>
                <w:color w:val="000000"/>
                <w:lang w:val="es-ES" w:eastAsia="es-ES"/>
              </w:rPr>
              <w:t>de personal eventual</w:t>
            </w:r>
          </w:p>
        </w:tc>
        <w:tc>
          <w:tcPr>
            <w:tcW w:w="1143" w:type="dxa"/>
            <w:tcBorders>
              <w:top w:val="single" w:sz="2" w:space="0" w:color="auto"/>
              <w:left w:val="nil"/>
              <w:bottom w:val="single" w:sz="2" w:space="0" w:color="auto"/>
              <w:right w:val="nil"/>
            </w:tcBorders>
            <w:shd w:val="clear" w:color="auto" w:fill="auto"/>
            <w:noWrap/>
            <w:vAlign w:val="center"/>
            <w:hideMark/>
          </w:tcPr>
          <w:p w14:paraId="64B79809"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2.289.514</w:t>
            </w:r>
          </w:p>
        </w:tc>
        <w:tc>
          <w:tcPr>
            <w:tcW w:w="1149" w:type="dxa"/>
            <w:tcBorders>
              <w:top w:val="single" w:sz="2" w:space="0" w:color="auto"/>
              <w:left w:val="nil"/>
              <w:bottom w:val="single" w:sz="2" w:space="0" w:color="auto"/>
              <w:right w:val="nil"/>
            </w:tcBorders>
            <w:shd w:val="clear" w:color="auto" w:fill="auto"/>
            <w:noWrap/>
            <w:vAlign w:val="center"/>
            <w:hideMark/>
          </w:tcPr>
          <w:p w14:paraId="72508D6C"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2.317.950</w:t>
            </w:r>
          </w:p>
        </w:tc>
        <w:tc>
          <w:tcPr>
            <w:tcW w:w="954" w:type="dxa"/>
            <w:tcBorders>
              <w:top w:val="single" w:sz="2" w:space="0" w:color="auto"/>
              <w:left w:val="nil"/>
              <w:bottom w:val="single" w:sz="2" w:space="0" w:color="auto"/>
              <w:right w:val="nil"/>
            </w:tcBorders>
            <w:shd w:val="clear" w:color="auto" w:fill="auto"/>
            <w:noWrap/>
            <w:vAlign w:val="center"/>
            <w:hideMark/>
          </w:tcPr>
          <w:p w14:paraId="174E679E"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28.435</w:t>
            </w:r>
          </w:p>
        </w:tc>
        <w:tc>
          <w:tcPr>
            <w:tcW w:w="590" w:type="dxa"/>
            <w:tcBorders>
              <w:top w:val="single" w:sz="2" w:space="0" w:color="auto"/>
              <w:left w:val="nil"/>
              <w:bottom w:val="single" w:sz="2" w:space="0" w:color="auto"/>
              <w:right w:val="nil"/>
            </w:tcBorders>
            <w:shd w:val="clear" w:color="auto" w:fill="auto"/>
            <w:noWrap/>
            <w:vAlign w:val="center"/>
            <w:hideMark/>
          </w:tcPr>
          <w:p w14:paraId="35E9C3C8"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w:t>
            </w:r>
          </w:p>
        </w:tc>
      </w:tr>
      <w:tr w:rsidR="00807992" w:rsidRPr="00190001" w14:paraId="116B1317" w14:textId="77777777" w:rsidTr="0046298C">
        <w:trPr>
          <w:trHeight w:val="198"/>
          <w:jc w:val="center"/>
        </w:trPr>
        <w:tc>
          <w:tcPr>
            <w:tcW w:w="4953" w:type="dxa"/>
            <w:tcBorders>
              <w:top w:val="single" w:sz="2" w:space="0" w:color="auto"/>
              <w:left w:val="nil"/>
              <w:bottom w:val="single" w:sz="2" w:space="0" w:color="auto"/>
              <w:right w:val="nil"/>
            </w:tcBorders>
            <w:shd w:val="clear" w:color="auto" w:fill="auto"/>
            <w:noWrap/>
            <w:vAlign w:val="center"/>
            <w:hideMark/>
          </w:tcPr>
          <w:p w14:paraId="3C55538F" w14:textId="77777777" w:rsidR="00807992" w:rsidRPr="00190001" w:rsidRDefault="00807992" w:rsidP="00807992">
            <w:pPr>
              <w:spacing w:after="0"/>
              <w:ind w:firstLine="0"/>
              <w:jc w:val="left"/>
              <w:rPr>
                <w:rFonts w:ascii="Arial Narrow" w:hAnsi="Arial Narrow" w:cs="Calibri"/>
                <w:color w:val="000000"/>
                <w:lang w:val="es-ES" w:eastAsia="es-ES"/>
              </w:rPr>
            </w:pPr>
            <w:r w:rsidRPr="00190001">
              <w:rPr>
                <w:rFonts w:ascii="Arial Narrow" w:hAnsi="Arial Narrow" w:cs="Calibri"/>
                <w:color w:val="000000"/>
                <w:lang w:val="es-ES" w:eastAsia="es-ES"/>
              </w:rPr>
              <w:t>Retribuciones básicas personal funcionario</w:t>
            </w:r>
          </w:p>
        </w:tc>
        <w:tc>
          <w:tcPr>
            <w:tcW w:w="1143" w:type="dxa"/>
            <w:tcBorders>
              <w:top w:val="single" w:sz="2" w:space="0" w:color="auto"/>
              <w:left w:val="nil"/>
              <w:bottom w:val="single" w:sz="2" w:space="0" w:color="auto"/>
              <w:right w:val="nil"/>
            </w:tcBorders>
            <w:shd w:val="clear" w:color="auto" w:fill="auto"/>
            <w:noWrap/>
            <w:vAlign w:val="center"/>
            <w:hideMark/>
          </w:tcPr>
          <w:p w14:paraId="30736114"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32.430.258</w:t>
            </w:r>
          </w:p>
        </w:tc>
        <w:tc>
          <w:tcPr>
            <w:tcW w:w="1149" w:type="dxa"/>
            <w:tcBorders>
              <w:top w:val="single" w:sz="2" w:space="0" w:color="auto"/>
              <w:left w:val="nil"/>
              <w:bottom w:val="single" w:sz="2" w:space="0" w:color="auto"/>
              <w:right w:val="nil"/>
            </w:tcBorders>
            <w:shd w:val="clear" w:color="auto" w:fill="auto"/>
            <w:noWrap/>
            <w:vAlign w:val="center"/>
            <w:hideMark/>
          </w:tcPr>
          <w:p w14:paraId="556004B8"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30.626.137</w:t>
            </w:r>
          </w:p>
        </w:tc>
        <w:tc>
          <w:tcPr>
            <w:tcW w:w="954" w:type="dxa"/>
            <w:tcBorders>
              <w:top w:val="single" w:sz="2" w:space="0" w:color="auto"/>
              <w:left w:val="nil"/>
              <w:bottom w:val="single" w:sz="2" w:space="0" w:color="auto"/>
              <w:right w:val="nil"/>
            </w:tcBorders>
            <w:shd w:val="clear" w:color="auto" w:fill="auto"/>
            <w:noWrap/>
            <w:vAlign w:val="center"/>
            <w:hideMark/>
          </w:tcPr>
          <w:p w14:paraId="5FA1F97C"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-1.804.121</w:t>
            </w:r>
          </w:p>
        </w:tc>
        <w:tc>
          <w:tcPr>
            <w:tcW w:w="590" w:type="dxa"/>
            <w:tcBorders>
              <w:top w:val="single" w:sz="2" w:space="0" w:color="auto"/>
              <w:left w:val="nil"/>
              <w:bottom w:val="single" w:sz="2" w:space="0" w:color="auto"/>
              <w:right w:val="nil"/>
            </w:tcBorders>
            <w:shd w:val="clear" w:color="auto" w:fill="auto"/>
            <w:noWrap/>
            <w:vAlign w:val="center"/>
            <w:hideMark/>
          </w:tcPr>
          <w:p w14:paraId="63ECE070"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-6</w:t>
            </w:r>
          </w:p>
        </w:tc>
      </w:tr>
      <w:tr w:rsidR="00807992" w:rsidRPr="00190001" w14:paraId="7660D990" w14:textId="77777777" w:rsidTr="0046298C">
        <w:trPr>
          <w:trHeight w:val="198"/>
          <w:jc w:val="center"/>
        </w:trPr>
        <w:tc>
          <w:tcPr>
            <w:tcW w:w="4953" w:type="dxa"/>
            <w:tcBorders>
              <w:top w:val="single" w:sz="2" w:space="0" w:color="auto"/>
              <w:left w:val="nil"/>
              <w:bottom w:val="single" w:sz="2" w:space="0" w:color="auto"/>
              <w:right w:val="nil"/>
            </w:tcBorders>
            <w:shd w:val="clear" w:color="auto" w:fill="auto"/>
            <w:noWrap/>
            <w:vAlign w:val="center"/>
            <w:hideMark/>
          </w:tcPr>
          <w:p w14:paraId="53C80A22" w14:textId="77777777" w:rsidR="00807992" w:rsidRPr="00190001" w:rsidRDefault="00807992" w:rsidP="00807992">
            <w:pPr>
              <w:spacing w:after="0"/>
              <w:ind w:firstLine="0"/>
              <w:jc w:val="left"/>
              <w:rPr>
                <w:rFonts w:ascii="Arial Narrow" w:hAnsi="Arial Narrow" w:cs="Calibri"/>
                <w:color w:val="000000"/>
                <w:lang w:val="es-ES" w:eastAsia="es-ES"/>
              </w:rPr>
            </w:pPr>
            <w:r w:rsidRPr="00190001">
              <w:rPr>
                <w:rFonts w:ascii="Arial Narrow" w:hAnsi="Arial Narrow" w:cs="Calibri"/>
                <w:color w:val="000000"/>
                <w:lang w:val="es-ES" w:eastAsia="es-ES"/>
              </w:rPr>
              <w:t>Retribuciones complementarias personal funcionario</w:t>
            </w:r>
          </w:p>
        </w:tc>
        <w:tc>
          <w:tcPr>
            <w:tcW w:w="1143" w:type="dxa"/>
            <w:tcBorders>
              <w:top w:val="single" w:sz="2" w:space="0" w:color="auto"/>
              <w:left w:val="nil"/>
              <w:bottom w:val="single" w:sz="2" w:space="0" w:color="auto"/>
              <w:right w:val="nil"/>
            </w:tcBorders>
            <w:shd w:val="clear" w:color="auto" w:fill="auto"/>
            <w:noWrap/>
            <w:vAlign w:val="center"/>
            <w:hideMark/>
          </w:tcPr>
          <w:p w14:paraId="3C399DB5"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12.431.131</w:t>
            </w:r>
          </w:p>
        </w:tc>
        <w:tc>
          <w:tcPr>
            <w:tcW w:w="1149" w:type="dxa"/>
            <w:tcBorders>
              <w:top w:val="single" w:sz="2" w:space="0" w:color="auto"/>
              <w:left w:val="nil"/>
              <w:bottom w:val="single" w:sz="2" w:space="0" w:color="auto"/>
              <w:right w:val="nil"/>
            </w:tcBorders>
            <w:shd w:val="clear" w:color="auto" w:fill="auto"/>
            <w:noWrap/>
            <w:vAlign w:val="center"/>
            <w:hideMark/>
          </w:tcPr>
          <w:p w14:paraId="0963FD0D"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12.806.708</w:t>
            </w:r>
          </w:p>
        </w:tc>
        <w:tc>
          <w:tcPr>
            <w:tcW w:w="954" w:type="dxa"/>
            <w:tcBorders>
              <w:top w:val="single" w:sz="2" w:space="0" w:color="auto"/>
              <w:left w:val="nil"/>
              <w:bottom w:val="single" w:sz="2" w:space="0" w:color="auto"/>
              <w:right w:val="nil"/>
            </w:tcBorders>
            <w:shd w:val="clear" w:color="auto" w:fill="auto"/>
            <w:noWrap/>
            <w:vAlign w:val="center"/>
            <w:hideMark/>
          </w:tcPr>
          <w:p w14:paraId="5BEF9C76"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375.577</w:t>
            </w:r>
          </w:p>
        </w:tc>
        <w:tc>
          <w:tcPr>
            <w:tcW w:w="590" w:type="dxa"/>
            <w:tcBorders>
              <w:top w:val="single" w:sz="2" w:space="0" w:color="auto"/>
              <w:left w:val="nil"/>
              <w:bottom w:val="single" w:sz="2" w:space="0" w:color="auto"/>
              <w:right w:val="nil"/>
            </w:tcBorders>
            <w:shd w:val="clear" w:color="auto" w:fill="auto"/>
            <w:noWrap/>
            <w:vAlign w:val="center"/>
            <w:hideMark/>
          </w:tcPr>
          <w:p w14:paraId="12523250"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3</w:t>
            </w:r>
          </w:p>
        </w:tc>
      </w:tr>
      <w:tr w:rsidR="00807992" w:rsidRPr="00190001" w14:paraId="26B04F2E" w14:textId="77777777" w:rsidTr="0046298C">
        <w:trPr>
          <w:trHeight w:val="198"/>
          <w:jc w:val="center"/>
        </w:trPr>
        <w:tc>
          <w:tcPr>
            <w:tcW w:w="4953" w:type="dxa"/>
            <w:tcBorders>
              <w:top w:val="single" w:sz="2" w:space="0" w:color="auto"/>
              <w:left w:val="nil"/>
              <w:bottom w:val="single" w:sz="2" w:space="0" w:color="auto"/>
              <w:right w:val="nil"/>
            </w:tcBorders>
            <w:shd w:val="clear" w:color="auto" w:fill="auto"/>
            <w:noWrap/>
            <w:vAlign w:val="center"/>
            <w:hideMark/>
          </w:tcPr>
          <w:p w14:paraId="7C87537C" w14:textId="77777777" w:rsidR="00807992" w:rsidRPr="00190001" w:rsidRDefault="00807992" w:rsidP="00807992">
            <w:pPr>
              <w:spacing w:after="0"/>
              <w:ind w:firstLine="0"/>
              <w:jc w:val="left"/>
              <w:rPr>
                <w:rFonts w:ascii="Arial Narrow" w:hAnsi="Arial Narrow" w:cs="Calibri"/>
                <w:color w:val="000000"/>
                <w:lang w:val="es-ES" w:eastAsia="es-ES"/>
              </w:rPr>
            </w:pPr>
            <w:r w:rsidRPr="00190001">
              <w:rPr>
                <w:rFonts w:ascii="Arial Narrow" w:hAnsi="Arial Narrow" w:cs="Calibri"/>
                <w:color w:val="000000"/>
                <w:lang w:val="es-ES" w:eastAsia="es-ES"/>
              </w:rPr>
              <w:t>Otras retribuciones funcionarios</w:t>
            </w:r>
          </w:p>
        </w:tc>
        <w:tc>
          <w:tcPr>
            <w:tcW w:w="1143" w:type="dxa"/>
            <w:tcBorders>
              <w:top w:val="single" w:sz="2" w:space="0" w:color="auto"/>
              <w:left w:val="nil"/>
              <w:bottom w:val="single" w:sz="2" w:space="0" w:color="auto"/>
              <w:right w:val="nil"/>
            </w:tcBorders>
            <w:shd w:val="clear" w:color="auto" w:fill="auto"/>
            <w:noWrap/>
            <w:vAlign w:val="center"/>
            <w:hideMark/>
          </w:tcPr>
          <w:p w14:paraId="6E9AA4B8"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1.967.853</w:t>
            </w:r>
          </w:p>
        </w:tc>
        <w:tc>
          <w:tcPr>
            <w:tcW w:w="1149" w:type="dxa"/>
            <w:tcBorders>
              <w:top w:val="single" w:sz="2" w:space="0" w:color="auto"/>
              <w:left w:val="nil"/>
              <w:bottom w:val="single" w:sz="2" w:space="0" w:color="auto"/>
              <w:right w:val="nil"/>
            </w:tcBorders>
            <w:shd w:val="clear" w:color="auto" w:fill="auto"/>
            <w:noWrap/>
            <w:vAlign w:val="center"/>
            <w:hideMark/>
          </w:tcPr>
          <w:p w14:paraId="3DAE1D9B"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2.549.235</w:t>
            </w:r>
          </w:p>
        </w:tc>
        <w:tc>
          <w:tcPr>
            <w:tcW w:w="954" w:type="dxa"/>
            <w:tcBorders>
              <w:top w:val="single" w:sz="2" w:space="0" w:color="auto"/>
              <w:left w:val="nil"/>
              <w:bottom w:val="single" w:sz="2" w:space="0" w:color="auto"/>
              <w:right w:val="nil"/>
            </w:tcBorders>
            <w:shd w:val="clear" w:color="auto" w:fill="auto"/>
            <w:noWrap/>
            <w:vAlign w:val="center"/>
            <w:hideMark/>
          </w:tcPr>
          <w:p w14:paraId="5BB29966"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581.382</w:t>
            </w:r>
          </w:p>
        </w:tc>
        <w:tc>
          <w:tcPr>
            <w:tcW w:w="590" w:type="dxa"/>
            <w:tcBorders>
              <w:top w:val="single" w:sz="2" w:space="0" w:color="auto"/>
              <w:left w:val="nil"/>
              <w:bottom w:val="single" w:sz="2" w:space="0" w:color="auto"/>
              <w:right w:val="nil"/>
            </w:tcBorders>
            <w:shd w:val="clear" w:color="auto" w:fill="auto"/>
            <w:noWrap/>
            <w:vAlign w:val="center"/>
            <w:hideMark/>
          </w:tcPr>
          <w:p w14:paraId="6DB3D2F1"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30</w:t>
            </w:r>
          </w:p>
        </w:tc>
      </w:tr>
      <w:tr w:rsidR="00807992" w:rsidRPr="00190001" w14:paraId="106F0A57" w14:textId="77777777" w:rsidTr="0046298C">
        <w:trPr>
          <w:trHeight w:val="198"/>
          <w:jc w:val="center"/>
        </w:trPr>
        <w:tc>
          <w:tcPr>
            <w:tcW w:w="4953" w:type="dxa"/>
            <w:tcBorders>
              <w:top w:val="single" w:sz="2" w:space="0" w:color="auto"/>
              <w:left w:val="nil"/>
              <w:bottom w:val="single" w:sz="2" w:space="0" w:color="auto"/>
              <w:right w:val="nil"/>
            </w:tcBorders>
            <w:shd w:val="clear" w:color="auto" w:fill="auto"/>
            <w:noWrap/>
            <w:vAlign w:val="center"/>
            <w:hideMark/>
          </w:tcPr>
          <w:p w14:paraId="54DA5347" w14:textId="77777777" w:rsidR="00807992" w:rsidRPr="00190001" w:rsidRDefault="00807992" w:rsidP="00807992">
            <w:pPr>
              <w:spacing w:after="0"/>
              <w:ind w:firstLine="0"/>
              <w:jc w:val="left"/>
              <w:rPr>
                <w:rFonts w:ascii="Arial Narrow" w:hAnsi="Arial Narrow" w:cs="Calibri"/>
                <w:color w:val="000000"/>
                <w:lang w:val="es-ES" w:eastAsia="es-ES"/>
              </w:rPr>
            </w:pPr>
            <w:proofErr w:type="gramStart"/>
            <w:r w:rsidRPr="00190001">
              <w:rPr>
                <w:rFonts w:ascii="Arial Narrow" w:hAnsi="Arial Narrow" w:cs="Calibri"/>
                <w:color w:val="000000"/>
                <w:lang w:val="es-ES" w:eastAsia="es-ES"/>
              </w:rPr>
              <w:t>Retribuciones personal</w:t>
            </w:r>
            <w:proofErr w:type="gramEnd"/>
            <w:r w:rsidRPr="00190001">
              <w:rPr>
                <w:rFonts w:ascii="Arial Narrow" w:hAnsi="Arial Narrow" w:cs="Calibri"/>
                <w:color w:val="000000"/>
                <w:lang w:val="es-ES" w:eastAsia="es-ES"/>
              </w:rPr>
              <w:t xml:space="preserve"> laboral fijo</w:t>
            </w:r>
          </w:p>
        </w:tc>
        <w:tc>
          <w:tcPr>
            <w:tcW w:w="1143" w:type="dxa"/>
            <w:tcBorders>
              <w:top w:val="single" w:sz="2" w:space="0" w:color="auto"/>
              <w:left w:val="nil"/>
              <w:bottom w:val="single" w:sz="2" w:space="0" w:color="auto"/>
              <w:right w:val="nil"/>
            </w:tcBorders>
            <w:shd w:val="clear" w:color="auto" w:fill="auto"/>
            <w:noWrap/>
            <w:vAlign w:val="center"/>
            <w:hideMark/>
          </w:tcPr>
          <w:p w14:paraId="56B9B424"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1.308.134</w:t>
            </w:r>
          </w:p>
        </w:tc>
        <w:tc>
          <w:tcPr>
            <w:tcW w:w="1149" w:type="dxa"/>
            <w:tcBorders>
              <w:top w:val="single" w:sz="2" w:space="0" w:color="auto"/>
              <w:left w:val="nil"/>
              <w:bottom w:val="single" w:sz="2" w:space="0" w:color="auto"/>
              <w:right w:val="nil"/>
            </w:tcBorders>
            <w:shd w:val="clear" w:color="auto" w:fill="auto"/>
            <w:noWrap/>
            <w:vAlign w:val="center"/>
            <w:hideMark/>
          </w:tcPr>
          <w:p w14:paraId="2D40B1C1"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1.228.760</w:t>
            </w:r>
          </w:p>
        </w:tc>
        <w:tc>
          <w:tcPr>
            <w:tcW w:w="954" w:type="dxa"/>
            <w:tcBorders>
              <w:top w:val="single" w:sz="2" w:space="0" w:color="auto"/>
              <w:left w:val="nil"/>
              <w:bottom w:val="single" w:sz="2" w:space="0" w:color="auto"/>
              <w:right w:val="nil"/>
            </w:tcBorders>
            <w:shd w:val="clear" w:color="auto" w:fill="auto"/>
            <w:noWrap/>
            <w:vAlign w:val="center"/>
            <w:hideMark/>
          </w:tcPr>
          <w:p w14:paraId="25F00970"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-79.375</w:t>
            </w:r>
          </w:p>
        </w:tc>
        <w:tc>
          <w:tcPr>
            <w:tcW w:w="590" w:type="dxa"/>
            <w:tcBorders>
              <w:top w:val="single" w:sz="2" w:space="0" w:color="auto"/>
              <w:left w:val="nil"/>
              <w:bottom w:val="single" w:sz="2" w:space="0" w:color="auto"/>
              <w:right w:val="nil"/>
            </w:tcBorders>
            <w:shd w:val="clear" w:color="auto" w:fill="auto"/>
            <w:noWrap/>
            <w:vAlign w:val="center"/>
            <w:hideMark/>
          </w:tcPr>
          <w:p w14:paraId="04A6DCBE"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-6</w:t>
            </w:r>
          </w:p>
        </w:tc>
      </w:tr>
      <w:tr w:rsidR="00807992" w:rsidRPr="00190001" w14:paraId="66C28F8D" w14:textId="77777777" w:rsidTr="0046298C">
        <w:trPr>
          <w:trHeight w:val="198"/>
          <w:jc w:val="center"/>
        </w:trPr>
        <w:tc>
          <w:tcPr>
            <w:tcW w:w="4953" w:type="dxa"/>
            <w:tcBorders>
              <w:top w:val="single" w:sz="2" w:space="0" w:color="auto"/>
              <w:left w:val="nil"/>
              <w:bottom w:val="single" w:sz="2" w:space="0" w:color="auto"/>
              <w:right w:val="nil"/>
            </w:tcBorders>
            <w:shd w:val="clear" w:color="auto" w:fill="auto"/>
            <w:noWrap/>
            <w:vAlign w:val="center"/>
            <w:hideMark/>
          </w:tcPr>
          <w:p w14:paraId="0EEC709E" w14:textId="77777777" w:rsidR="00807992" w:rsidRPr="00190001" w:rsidRDefault="00807992" w:rsidP="00807992">
            <w:pPr>
              <w:spacing w:after="0"/>
              <w:ind w:firstLine="0"/>
              <w:jc w:val="left"/>
              <w:rPr>
                <w:rFonts w:ascii="Arial Narrow" w:hAnsi="Arial Narrow" w:cs="Calibri"/>
                <w:color w:val="000000"/>
                <w:lang w:val="es-ES" w:eastAsia="es-ES"/>
              </w:rPr>
            </w:pPr>
            <w:proofErr w:type="gramStart"/>
            <w:r w:rsidRPr="00190001">
              <w:rPr>
                <w:rFonts w:ascii="Arial Narrow" w:hAnsi="Arial Narrow" w:cs="Calibri"/>
                <w:color w:val="000000"/>
                <w:lang w:val="es-ES" w:eastAsia="es-ES"/>
              </w:rPr>
              <w:t>Retribuciones personal</w:t>
            </w:r>
            <w:proofErr w:type="gramEnd"/>
            <w:r w:rsidRPr="00190001">
              <w:rPr>
                <w:rFonts w:ascii="Arial Narrow" w:hAnsi="Arial Narrow" w:cs="Calibri"/>
                <w:color w:val="000000"/>
                <w:lang w:val="es-ES" w:eastAsia="es-ES"/>
              </w:rPr>
              <w:t xml:space="preserve"> laboral eventual</w:t>
            </w:r>
          </w:p>
        </w:tc>
        <w:tc>
          <w:tcPr>
            <w:tcW w:w="1143" w:type="dxa"/>
            <w:tcBorders>
              <w:top w:val="single" w:sz="2" w:space="0" w:color="auto"/>
              <w:left w:val="nil"/>
              <w:bottom w:val="single" w:sz="2" w:space="0" w:color="auto"/>
              <w:right w:val="nil"/>
            </w:tcBorders>
            <w:shd w:val="clear" w:color="auto" w:fill="auto"/>
            <w:noWrap/>
            <w:vAlign w:val="center"/>
            <w:hideMark/>
          </w:tcPr>
          <w:p w14:paraId="1FA91C0A"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6.786.939</w:t>
            </w:r>
          </w:p>
        </w:tc>
        <w:tc>
          <w:tcPr>
            <w:tcW w:w="1149" w:type="dxa"/>
            <w:tcBorders>
              <w:top w:val="single" w:sz="2" w:space="0" w:color="auto"/>
              <w:left w:val="nil"/>
              <w:bottom w:val="single" w:sz="2" w:space="0" w:color="auto"/>
              <w:right w:val="nil"/>
            </w:tcBorders>
            <w:shd w:val="clear" w:color="auto" w:fill="auto"/>
            <w:noWrap/>
            <w:vAlign w:val="center"/>
            <w:hideMark/>
          </w:tcPr>
          <w:p w14:paraId="35A57FC7"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6.426.170</w:t>
            </w:r>
          </w:p>
        </w:tc>
        <w:tc>
          <w:tcPr>
            <w:tcW w:w="954" w:type="dxa"/>
            <w:tcBorders>
              <w:top w:val="single" w:sz="2" w:space="0" w:color="auto"/>
              <w:left w:val="nil"/>
              <w:bottom w:val="single" w:sz="2" w:space="0" w:color="auto"/>
              <w:right w:val="nil"/>
            </w:tcBorders>
            <w:shd w:val="clear" w:color="auto" w:fill="auto"/>
            <w:noWrap/>
            <w:vAlign w:val="center"/>
            <w:hideMark/>
          </w:tcPr>
          <w:p w14:paraId="2923CE76"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-360.769</w:t>
            </w:r>
          </w:p>
        </w:tc>
        <w:tc>
          <w:tcPr>
            <w:tcW w:w="590" w:type="dxa"/>
            <w:tcBorders>
              <w:top w:val="single" w:sz="2" w:space="0" w:color="auto"/>
              <w:left w:val="nil"/>
              <w:bottom w:val="single" w:sz="2" w:space="0" w:color="auto"/>
              <w:right w:val="nil"/>
            </w:tcBorders>
            <w:shd w:val="clear" w:color="auto" w:fill="auto"/>
            <w:noWrap/>
            <w:vAlign w:val="center"/>
            <w:hideMark/>
          </w:tcPr>
          <w:p w14:paraId="5DB43E30"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-5</w:t>
            </w:r>
          </w:p>
        </w:tc>
      </w:tr>
      <w:tr w:rsidR="00807992" w:rsidRPr="00190001" w14:paraId="49E2A4A0" w14:textId="77777777" w:rsidTr="0046298C">
        <w:trPr>
          <w:trHeight w:val="198"/>
          <w:jc w:val="center"/>
        </w:trPr>
        <w:tc>
          <w:tcPr>
            <w:tcW w:w="4953" w:type="dxa"/>
            <w:tcBorders>
              <w:top w:val="single" w:sz="2" w:space="0" w:color="auto"/>
              <w:left w:val="nil"/>
              <w:bottom w:val="single" w:sz="2" w:space="0" w:color="auto"/>
              <w:right w:val="nil"/>
            </w:tcBorders>
            <w:shd w:val="clear" w:color="auto" w:fill="auto"/>
            <w:noWrap/>
            <w:vAlign w:val="center"/>
            <w:hideMark/>
          </w:tcPr>
          <w:p w14:paraId="510A0570" w14:textId="77777777" w:rsidR="00807992" w:rsidRPr="00190001" w:rsidRDefault="00807992" w:rsidP="00807992">
            <w:pPr>
              <w:spacing w:after="0"/>
              <w:ind w:firstLine="0"/>
              <w:jc w:val="left"/>
              <w:rPr>
                <w:rFonts w:ascii="Arial Narrow" w:hAnsi="Arial Narrow" w:cs="Calibri"/>
                <w:color w:val="000000"/>
                <w:lang w:val="es-ES" w:eastAsia="es-ES"/>
              </w:rPr>
            </w:pPr>
            <w:r w:rsidRPr="00190001">
              <w:rPr>
                <w:rFonts w:ascii="Arial Narrow" w:hAnsi="Arial Narrow" w:cs="Calibri"/>
                <w:color w:val="000000"/>
                <w:lang w:val="es-ES" w:eastAsia="es-ES"/>
              </w:rPr>
              <w:t>Cuotas sociales</w:t>
            </w:r>
          </w:p>
        </w:tc>
        <w:tc>
          <w:tcPr>
            <w:tcW w:w="1143" w:type="dxa"/>
            <w:tcBorders>
              <w:top w:val="single" w:sz="2" w:space="0" w:color="auto"/>
              <w:left w:val="nil"/>
              <w:bottom w:val="single" w:sz="2" w:space="0" w:color="auto"/>
              <w:right w:val="nil"/>
            </w:tcBorders>
            <w:shd w:val="clear" w:color="auto" w:fill="auto"/>
            <w:noWrap/>
            <w:vAlign w:val="center"/>
            <w:hideMark/>
          </w:tcPr>
          <w:p w14:paraId="087F8523"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13.010.523</w:t>
            </w:r>
          </w:p>
        </w:tc>
        <w:tc>
          <w:tcPr>
            <w:tcW w:w="1149" w:type="dxa"/>
            <w:tcBorders>
              <w:top w:val="single" w:sz="2" w:space="0" w:color="auto"/>
              <w:left w:val="nil"/>
              <w:bottom w:val="single" w:sz="2" w:space="0" w:color="auto"/>
              <w:right w:val="nil"/>
            </w:tcBorders>
            <w:shd w:val="clear" w:color="auto" w:fill="auto"/>
            <w:noWrap/>
            <w:vAlign w:val="center"/>
            <w:hideMark/>
          </w:tcPr>
          <w:p w14:paraId="1F235553"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13.635.884</w:t>
            </w:r>
          </w:p>
        </w:tc>
        <w:tc>
          <w:tcPr>
            <w:tcW w:w="954" w:type="dxa"/>
            <w:tcBorders>
              <w:top w:val="single" w:sz="2" w:space="0" w:color="auto"/>
              <w:left w:val="nil"/>
              <w:bottom w:val="single" w:sz="2" w:space="0" w:color="auto"/>
              <w:right w:val="nil"/>
            </w:tcBorders>
            <w:shd w:val="clear" w:color="auto" w:fill="auto"/>
            <w:noWrap/>
            <w:vAlign w:val="center"/>
            <w:hideMark/>
          </w:tcPr>
          <w:p w14:paraId="298D212D"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625.361</w:t>
            </w:r>
          </w:p>
        </w:tc>
        <w:tc>
          <w:tcPr>
            <w:tcW w:w="590" w:type="dxa"/>
            <w:tcBorders>
              <w:top w:val="single" w:sz="2" w:space="0" w:color="auto"/>
              <w:left w:val="nil"/>
              <w:bottom w:val="single" w:sz="2" w:space="0" w:color="auto"/>
              <w:right w:val="nil"/>
            </w:tcBorders>
            <w:shd w:val="clear" w:color="auto" w:fill="auto"/>
            <w:noWrap/>
            <w:vAlign w:val="center"/>
            <w:hideMark/>
          </w:tcPr>
          <w:p w14:paraId="263E94E4"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5</w:t>
            </w:r>
          </w:p>
        </w:tc>
      </w:tr>
      <w:tr w:rsidR="00807992" w:rsidRPr="00190001" w14:paraId="68DD86A6" w14:textId="77777777" w:rsidTr="0046298C">
        <w:trPr>
          <w:trHeight w:val="198"/>
          <w:jc w:val="center"/>
        </w:trPr>
        <w:tc>
          <w:tcPr>
            <w:tcW w:w="4953" w:type="dxa"/>
            <w:tcBorders>
              <w:top w:val="single" w:sz="2" w:space="0" w:color="auto"/>
              <w:left w:val="nil"/>
              <w:bottom w:val="single" w:sz="2" w:space="0" w:color="auto"/>
              <w:right w:val="nil"/>
            </w:tcBorders>
            <w:shd w:val="clear" w:color="auto" w:fill="auto"/>
            <w:noWrap/>
            <w:vAlign w:val="center"/>
            <w:hideMark/>
          </w:tcPr>
          <w:p w14:paraId="16D27800" w14:textId="77777777" w:rsidR="00807992" w:rsidRPr="00190001" w:rsidRDefault="00807992" w:rsidP="00807992">
            <w:pPr>
              <w:spacing w:after="0"/>
              <w:ind w:firstLine="0"/>
              <w:jc w:val="left"/>
              <w:rPr>
                <w:rFonts w:ascii="Arial Narrow" w:hAnsi="Arial Narrow" w:cs="Calibri"/>
                <w:color w:val="000000"/>
                <w:lang w:val="es-ES" w:eastAsia="es-ES"/>
              </w:rPr>
            </w:pPr>
            <w:r w:rsidRPr="00190001">
              <w:rPr>
                <w:rFonts w:ascii="Arial Narrow" w:hAnsi="Arial Narrow" w:cs="Calibri"/>
                <w:color w:val="000000"/>
                <w:lang w:val="es-ES" w:eastAsia="es-ES"/>
              </w:rPr>
              <w:t>Pensiones y prestaciones sociales</w:t>
            </w:r>
          </w:p>
        </w:tc>
        <w:tc>
          <w:tcPr>
            <w:tcW w:w="1143" w:type="dxa"/>
            <w:tcBorders>
              <w:top w:val="single" w:sz="2" w:space="0" w:color="auto"/>
              <w:left w:val="nil"/>
              <w:bottom w:val="single" w:sz="2" w:space="0" w:color="auto"/>
              <w:right w:val="nil"/>
            </w:tcBorders>
            <w:shd w:val="clear" w:color="auto" w:fill="auto"/>
            <w:noWrap/>
            <w:vAlign w:val="center"/>
            <w:hideMark/>
          </w:tcPr>
          <w:p w14:paraId="235264BB"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22.904.173</w:t>
            </w:r>
          </w:p>
        </w:tc>
        <w:tc>
          <w:tcPr>
            <w:tcW w:w="1149" w:type="dxa"/>
            <w:tcBorders>
              <w:top w:val="single" w:sz="2" w:space="0" w:color="auto"/>
              <w:left w:val="nil"/>
              <w:bottom w:val="single" w:sz="2" w:space="0" w:color="auto"/>
              <w:right w:val="nil"/>
            </w:tcBorders>
            <w:shd w:val="clear" w:color="auto" w:fill="auto"/>
            <w:noWrap/>
            <w:vAlign w:val="center"/>
            <w:hideMark/>
          </w:tcPr>
          <w:p w14:paraId="2AEF0D69"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23.189.483</w:t>
            </w:r>
          </w:p>
        </w:tc>
        <w:tc>
          <w:tcPr>
            <w:tcW w:w="954" w:type="dxa"/>
            <w:tcBorders>
              <w:top w:val="single" w:sz="2" w:space="0" w:color="auto"/>
              <w:left w:val="nil"/>
              <w:bottom w:val="single" w:sz="2" w:space="0" w:color="auto"/>
              <w:right w:val="nil"/>
            </w:tcBorders>
            <w:shd w:val="clear" w:color="auto" w:fill="auto"/>
            <w:noWrap/>
            <w:vAlign w:val="center"/>
            <w:hideMark/>
          </w:tcPr>
          <w:p w14:paraId="2FE246D1"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285.310</w:t>
            </w:r>
          </w:p>
        </w:tc>
        <w:tc>
          <w:tcPr>
            <w:tcW w:w="590" w:type="dxa"/>
            <w:tcBorders>
              <w:top w:val="single" w:sz="2" w:space="0" w:color="auto"/>
              <w:left w:val="nil"/>
              <w:bottom w:val="single" w:sz="2" w:space="0" w:color="auto"/>
              <w:right w:val="nil"/>
            </w:tcBorders>
            <w:shd w:val="clear" w:color="auto" w:fill="auto"/>
            <w:noWrap/>
            <w:vAlign w:val="center"/>
            <w:hideMark/>
          </w:tcPr>
          <w:p w14:paraId="16C39951"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w:t>
            </w:r>
          </w:p>
        </w:tc>
      </w:tr>
      <w:tr w:rsidR="00807992" w:rsidRPr="00190001" w14:paraId="0657A2D7" w14:textId="77777777" w:rsidTr="0046298C">
        <w:trPr>
          <w:trHeight w:val="198"/>
          <w:jc w:val="center"/>
        </w:trPr>
        <w:tc>
          <w:tcPr>
            <w:tcW w:w="4953" w:type="dxa"/>
            <w:tcBorders>
              <w:top w:val="single" w:sz="2" w:space="0" w:color="auto"/>
              <w:left w:val="nil"/>
              <w:bottom w:val="single" w:sz="2" w:space="0" w:color="auto"/>
              <w:right w:val="nil"/>
            </w:tcBorders>
            <w:shd w:val="clear" w:color="auto" w:fill="auto"/>
            <w:noWrap/>
            <w:vAlign w:val="center"/>
            <w:hideMark/>
          </w:tcPr>
          <w:p w14:paraId="1583806C" w14:textId="77777777" w:rsidR="00807992" w:rsidRPr="00190001" w:rsidRDefault="00807992" w:rsidP="00807992">
            <w:pPr>
              <w:spacing w:after="0"/>
              <w:ind w:firstLine="0"/>
              <w:jc w:val="left"/>
              <w:rPr>
                <w:rFonts w:ascii="Arial Narrow" w:hAnsi="Arial Narrow" w:cs="Calibri"/>
                <w:color w:val="000000"/>
                <w:lang w:val="es-ES" w:eastAsia="es-ES"/>
              </w:rPr>
            </w:pPr>
            <w:r w:rsidRPr="00190001">
              <w:rPr>
                <w:rFonts w:ascii="Arial Narrow" w:hAnsi="Arial Narrow" w:cs="Calibri"/>
                <w:color w:val="000000"/>
                <w:lang w:val="es-ES" w:eastAsia="es-ES"/>
              </w:rPr>
              <w:t>Gastos sociales del personal</w:t>
            </w:r>
          </w:p>
        </w:tc>
        <w:tc>
          <w:tcPr>
            <w:tcW w:w="1143" w:type="dxa"/>
            <w:tcBorders>
              <w:top w:val="single" w:sz="2" w:space="0" w:color="auto"/>
              <w:left w:val="nil"/>
              <w:bottom w:val="single" w:sz="2" w:space="0" w:color="auto"/>
              <w:right w:val="nil"/>
            </w:tcBorders>
            <w:shd w:val="clear" w:color="auto" w:fill="auto"/>
            <w:noWrap/>
            <w:vAlign w:val="center"/>
            <w:hideMark/>
          </w:tcPr>
          <w:p w14:paraId="70E27B36"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303.852</w:t>
            </w:r>
          </w:p>
        </w:tc>
        <w:tc>
          <w:tcPr>
            <w:tcW w:w="1149" w:type="dxa"/>
            <w:tcBorders>
              <w:top w:val="single" w:sz="2" w:space="0" w:color="auto"/>
              <w:left w:val="nil"/>
              <w:bottom w:val="single" w:sz="2" w:space="0" w:color="auto"/>
              <w:right w:val="nil"/>
            </w:tcBorders>
            <w:shd w:val="clear" w:color="auto" w:fill="auto"/>
            <w:noWrap/>
            <w:vAlign w:val="center"/>
            <w:hideMark/>
          </w:tcPr>
          <w:p w14:paraId="3B9DA780"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298.810</w:t>
            </w:r>
          </w:p>
        </w:tc>
        <w:tc>
          <w:tcPr>
            <w:tcW w:w="954" w:type="dxa"/>
            <w:tcBorders>
              <w:top w:val="single" w:sz="2" w:space="0" w:color="auto"/>
              <w:left w:val="nil"/>
              <w:bottom w:val="single" w:sz="2" w:space="0" w:color="auto"/>
              <w:right w:val="nil"/>
            </w:tcBorders>
            <w:shd w:val="clear" w:color="auto" w:fill="auto"/>
            <w:noWrap/>
            <w:vAlign w:val="center"/>
            <w:hideMark/>
          </w:tcPr>
          <w:p w14:paraId="2A2FAE18"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-5.042</w:t>
            </w:r>
          </w:p>
        </w:tc>
        <w:tc>
          <w:tcPr>
            <w:tcW w:w="590" w:type="dxa"/>
            <w:tcBorders>
              <w:top w:val="single" w:sz="2" w:space="0" w:color="auto"/>
              <w:left w:val="nil"/>
              <w:bottom w:val="single" w:sz="2" w:space="0" w:color="auto"/>
              <w:right w:val="nil"/>
            </w:tcBorders>
            <w:shd w:val="clear" w:color="auto" w:fill="auto"/>
            <w:noWrap/>
            <w:vAlign w:val="center"/>
            <w:hideMark/>
          </w:tcPr>
          <w:p w14:paraId="0236AB56"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-2</w:t>
            </w:r>
          </w:p>
        </w:tc>
      </w:tr>
      <w:tr w:rsidR="00807992" w:rsidRPr="00190001" w14:paraId="159E4DFC" w14:textId="77777777" w:rsidTr="00995A09">
        <w:trPr>
          <w:trHeight w:val="198"/>
          <w:jc w:val="center"/>
        </w:trPr>
        <w:tc>
          <w:tcPr>
            <w:tcW w:w="4953" w:type="dxa"/>
            <w:tcBorders>
              <w:top w:val="single" w:sz="2" w:space="0" w:color="auto"/>
              <w:left w:val="nil"/>
              <w:bottom w:val="single" w:sz="4" w:space="0" w:color="auto"/>
              <w:right w:val="nil"/>
            </w:tcBorders>
            <w:shd w:val="clear" w:color="auto" w:fill="auto"/>
            <w:noWrap/>
            <w:vAlign w:val="center"/>
            <w:hideMark/>
          </w:tcPr>
          <w:p w14:paraId="6B0EC61B" w14:textId="77777777" w:rsidR="00807992" w:rsidRPr="00190001" w:rsidRDefault="00807992" w:rsidP="00807992">
            <w:pPr>
              <w:spacing w:after="0"/>
              <w:ind w:firstLine="0"/>
              <w:jc w:val="left"/>
              <w:rPr>
                <w:rFonts w:ascii="Arial Narrow" w:hAnsi="Arial Narrow" w:cs="Calibri"/>
                <w:color w:val="000000"/>
                <w:lang w:val="es-ES" w:eastAsia="es-ES"/>
              </w:rPr>
            </w:pPr>
            <w:r w:rsidRPr="00190001">
              <w:rPr>
                <w:rFonts w:ascii="Arial Narrow" w:hAnsi="Arial Narrow" w:cs="Calibri"/>
                <w:color w:val="000000"/>
                <w:lang w:val="es-ES" w:eastAsia="es-ES"/>
              </w:rPr>
              <w:t>Complemento familiar</w:t>
            </w:r>
          </w:p>
        </w:tc>
        <w:tc>
          <w:tcPr>
            <w:tcW w:w="1143" w:type="dxa"/>
            <w:tcBorders>
              <w:top w:val="single" w:sz="2" w:space="0" w:color="auto"/>
              <w:left w:val="nil"/>
              <w:bottom w:val="single" w:sz="4" w:space="0" w:color="auto"/>
              <w:right w:val="nil"/>
            </w:tcBorders>
            <w:shd w:val="clear" w:color="auto" w:fill="auto"/>
            <w:noWrap/>
            <w:vAlign w:val="center"/>
            <w:hideMark/>
          </w:tcPr>
          <w:p w14:paraId="30D2ECE4"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443.254</w:t>
            </w:r>
          </w:p>
        </w:tc>
        <w:tc>
          <w:tcPr>
            <w:tcW w:w="1149" w:type="dxa"/>
            <w:tcBorders>
              <w:top w:val="single" w:sz="2" w:space="0" w:color="auto"/>
              <w:left w:val="nil"/>
              <w:bottom w:val="single" w:sz="4" w:space="0" w:color="auto"/>
              <w:right w:val="nil"/>
            </w:tcBorders>
            <w:shd w:val="clear" w:color="auto" w:fill="auto"/>
            <w:noWrap/>
            <w:vAlign w:val="center"/>
            <w:hideMark/>
          </w:tcPr>
          <w:p w14:paraId="26D6B189"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488.716</w:t>
            </w:r>
          </w:p>
        </w:tc>
        <w:tc>
          <w:tcPr>
            <w:tcW w:w="954" w:type="dxa"/>
            <w:tcBorders>
              <w:top w:val="single" w:sz="2" w:space="0" w:color="auto"/>
              <w:left w:val="nil"/>
              <w:bottom w:val="single" w:sz="4" w:space="0" w:color="auto"/>
              <w:right w:val="nil"/>
            </w:tcBorders>
            <w:shd w:val="clear" w:color="auto" w:fill="auto"/>
            <w:noWrap/>
            <w:vAlign w:val="center"/>
            <w:hideMark/>
          </w:tcPr>
          <w:p w14:paraId="15658BEB"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45.462</w:t>
            </w:r>
          </w:p>
        </w:tc>
        <w:tc>
          <w:tcPr>
            <w:tcW w:w="590" w:type="dxa"/>
            <w:tcBorders>
              <w:top w:val="single" w:sz="2" w:space="0" w:color="auto"/>
              <w:left w:val="nil"/>
              <w:bottom w:val="single" w:sz="4" w:space="0" w:color="auto"/>
              <w:right w:val="nil"/>
            </w:tcBorders>
            <w:shd w:val="clear" w:color="auto" w:fill="auto"/>
            <w:noWrap/>
            <w:vAlign w:val="center"/>
            <w:hideMark/>
          </w:tcPr>
          <w:p w14:paraId="73B58438" w14:textId="77777777" w:rsidR="00807992" w:rsidRPr="00190001" w:rsidRDefault="00807992" w:rsidP="00807992">
            <w:pPr>
              <w:spacing w:after="0"/>
              <w:ind w:firstLine="0"/>
              <w:jc w:val="right"/>
              <w:rPr>
                <w:rFonts w:ascii="Arial Narrow" w:hAnsi="Arial Narrow" w:cs="Calibri"/>
                <w:color w:val="000000"/>
                <w:lang w:val="es-ES" w:eastAsia="es-ES"/>
              </w:rPr>
            </w:pPr>
            <w:r w:rsidRPr="00190001">
              <w:rPr>
                <w:rFonts w:ascii="Arial Narrow" w:hAnsi="Arial Narrow" w:cs="Calibri"/>
                <w:color w:val="000000"/>
                <w:lang w:val="es-ES" w:eastAsia="es-ES"/>
              </w:rPr>
              <w:t>10</w:t>
            </w:r>
          </w:p>
        </w:tc>
      </w:tr>
      <w:tr w:rsidR="00807992" w:rsidRPr="00552655" w14:paraId="4DEEBE5B" w14:textId="77777777" w:rsidTr="0046298C">
        <w:trPr>
          <w:trHeight w:val="255"/>
          <w:jc w:val="center"/>
        </w:trPr>
        <w:tc>
          <w:tcPr>
            <w:tcW w:w="4953" w:type="dxa"/>
            <w:tcBorders>
              <w:top w:val="single" w:sz="4" w:space="0" w:color="auto"/>
              <w:left w:val="nil"/>
              <w:bottom w:val="single" w:sz="4" w:space="0" w:color="auto"/>
              <w:right w:val="nil"/>
            </w:tcBorders>
            <w:shd w:val="clear" w:color="000000" w:fill="F4B084"/>
            <w:noWrap/>
            <w:vAlign w:val="center"/>
            <w:hideMark/>
          </w:tcPr>
          <w:p w14:paraId="752276EA" w14:textId="77777777" w:rsidR="00807992" w:rsidRPr="00552655" w:rsidRDefault="00807992" w:rsidP="00807992">
            <w:pPr>
              <w:spacing w:after="0"/>
              <w:ind w:firstLine="0"/>
              <w:jc w:val="left"/>
              <w:rPr>
                <w:rFonts w:ascii="Arial" w:hAnsi="Arial" w:cs="Arial"/>
                <w:color w:val="000000"/>
                <w:sz w:val="18"/>
                <w:szCs w:val="18"/>
                <w:lang w:val="es-ES" w:eastAsia="es-ES"/>
              </w:rPr>
            </w:pPr>
            <w:r w:rsidRPr="00552655">
              <w:rPr>
                <w:rFonts w:ascii="Arial" w:hAnsi="Arial" w:cs="Arial"/>
                <w:color w:val="000000"/>
                <w:sz w:val="18"/>
                <w:szCs w:val="18"/>
                <w:lang w:val="es-ES" w:eastAsia="es-ES"/>
              </w:rPr>
              <w:t>Total</w:t>
            </w:r>
          </w:p>
        </w:tc>
        <w:tc>
          <w:tcPr>
            <w:tcW w:w="1143" w:type="dxa"/>
            <w:tcBorders>
              <w:top w:val="single" w:sz="4" w:space="0" w:color="auto"/>
              <w:left w:val="nil"/>
              <w:bottom w:val="single" w:sz="4" w:space="0" w:color="auto"/>
              <w:right w:val="nil"/>
            </w:tcBorders>
            <w:shd w:val="clear" w:color="000000" w:fill="F4B084"/>
            <w:noWrap/>
            <w:vAlign w:val="center"/>
            <w:hideMark/>
          </w:tcPr>
          <w:p w14:paraId="4638DBF4" w14:textId="77777777" w:rsidR="00807992" w:rsidRPr="00552655" w:rsidRDefault="00807992" w:rsidP="00807992">
            <w:pPr>
              <w:spacing w:after="0"/>
              <w:ind w:firstLine="0"/>
              <w:jc w:val="right"/>
              <w:rPr>
                <w:rFonts w:ascii="Arial" w:hAnsi="Arial" w:cs="Arial"/>
                <w:color w:val="000000"/>
                <w:sz w:val="18"/>
                <w:szCs w:val="18"/>
                <w:lang w:val="es-ES" w:eastAsia="es-ES"/>
              </w:rPr>
            </w:pPr>
            <w:r w:rsidRPr="00552655">
              <w:rPr>
                <w:rFonts w:ascii="Arial" w:hAnsi="Arial" w:cs="Arial"/>
                <w:color w:val="000000"/>
                <w:sz w:val="18"/>
                <w:szCs w:val="18"/>
                <w:lang w:val="es-ES" w:eastAsia="es-ES"/>
              </w:rPr>
              <w:t>94.935.786</w:t>
            </w:r>
          </w:p>
        </w:tc>
        <w:tc>
          <w:tcPr>
            <w:tcW w:w="1149" w:type="dxa"/>
            <w:tcBorders>
              <w:top w:val="single" w:sz="4" w:space="0" w:color="auto"/>
              <w:left w:val="nil"/>
              <w:bottom w:val="single" w:sz="4" w:space="0" w:color="auto"/>
              <w:right w:val="nil"/>
            </w:tcBorders>
            <w:shd w:val="clear" w:color="000000" w:fill="F4B084"/>
            <w:noWrap/>
            <w:vAlign w:val="center"/>
            <w:hideMark/>
          </w:tcPr>
          <w:p w14:paraId="0E5AFDAE" w14:textId="77777777" w:rsidR="00807992" w:rsidRPr="00552655" w:rsidRDefault="00807992" w:rsidP="00807992">
            <w:pPr>
              <w:spacing w:after="0"/>
              <w:ind w:firstLine="0"/>
              <w:jc w:val="right"/>
              <w:rPr>
                <w:rFonts w:ascii="Arial" w:hAnsi="Arial" w:cs="Arial"/>
                <w:color w:val="000000"/>
                <w:sz w:val="18"/>
                <w:szCs w:val="18"/>
                <w:lang w:val="es-ES" w:eastAsia="es-ES"/>
              </w:rPr>
            </w:pPr>
            <w:r w:rsidRPr="00552655">
              <w:rPr>
                <w:rFonts w:ascii="Arial" w:hAnsi="Arial" w:cs="Arial"/>
                <w:color w:val="000000"/>
                <w:sz w:val="18"/>
                <w:szCs w:val="18"/>
                <w:lang w:val="es-ES" w:eastAsia="es-ES"/>
              </w:rPr>
              <w:t>94.625.034</w:t>
            </w:r>
          </w:p>
        </w:tc>
        <w:tc>
          <w:tcPr>
            <w:tcW w:w="954" w:type="dxa"/>
            <w:tcBorders>
              <w:top w:val="single" w:sz="4" w:space="0" w:color="auto"/>
              <w:left w:val="nil"/>
              <w:bottom w:val="single" w:sz="4" w:space="0" w:color="auto"/>
              <w:right w:val="nil"/>
            </w:tcBorders>
            <w:shd w:val="clear" w:color="000000" w:fill="F4B084"/>
            <w:noWrap/>
            <w:vAlign w:val="center"/>
            <w:hideMark/>
          </w:tcPr>
          <w:p w14:paraId="53C2AE1D" w14:textId="77777777" w:rsidR="00807992" w:rsidRPr="00552655" w:rsidRDefault="00807992" w:rsidP="00807992">
            <w:pPr>
              <w:spacing w:after="0"/>
              <w:ind w:firstLine="0"/>
              <w:jc w:val="right"/>
              <w:rPr>
                <w:rFonts w:ascii="Arial" w:hAnsi="Arial" w:cs="Arial"/>
                <w:color w:val="000000"/>
                <w:sz w:val="18"/>
                <w:szCs w:val="18"/>
                <w:lang w:val="es-ES" w:eastAsia="es-ES"/>
              </w:rPr>
            </w:pPr>
            <w:r w:rsidRPr="00552655">
              <w:rPr>
                <w:rFonts w:ascii="Arial" w:hAnsi="Arial" w:cs="Arial"/>
                <w:color w:val="000000"/>
                <w:sz w:val="18"/>
                <w:szCs w:val="18"/>
                <w:lang w:val="es-ES" w:eastAsia="es-ES"/>
              </w:rPr>
              <w:t>-310.752</w:t>
            </w:r>
          </w:p>
        </w:tc>
        <w:tc>
          <w:tcPr>
            <w:tcW w:w="590" w:type="dxa"/>
            <w:tcBorders>
              <w:top w:val="single" w:sz="4" w:space="0" w:color="auto"/>
              <w:left w:val="nil"/>
              <w:bottom w:val="single" w:sz="4" w:space="0" w:color="auto"/>
              <w:right w:val="nil"/>
            </w:tcBorders>
            <w:shd w:val="clear" w:color="000000" w:fill="F4B084"/>
            <w:noWrap/>
            <w:vAlign w:val="center"/>
            <w:hideMark/>
          </w:tcPr>
          <w:p w14:paraId="6E9E6753" w14:textId="77777777" w:rsidR="00807992" w:rsidRPr="00552655" w:rsidRDefault="00807992" w:rsidP="00807992">
            <w:pPr>
              <w:spacing w:after="0"/>
              <w:ind w:firstLine="0"/>
              <w:jc w:val="right"/>
              <w:rPr>
                <w:rFonts w:ascii="Arial" w:hAnsi="Arial" w:cs="Arial"/>
                <w:color w:val="000000"/>
                <w:sz w:val="18"/>
                <w:szCs w:val="18"/>
                <w:lang w:val="es-ES" w:eastAsia="es-ES"/>
              </w:rPr>
            </w:pPr>
            <w:r w:rsidRPr="00552655">
              <w:rPr>
                <w:rFonts w:ascii="Arial" w:hAnsi="Arial" w:cs="Arial"/>
                <w:color w:val="000000"/>
                <w:sz w:val="18"/>
                <w:szCs w:val="18"/>
                <w:lang w:val="es-ES" w:eastAsia="es-ES"/>
              </w:rPr>
              <w:t>-0,3</w:t>
            </w:r>
          </w:p>
        </w:tc>
      </w:tr>
    </w:tbl>
    <w:p w14:paraId="5B0995C7" w14:textId="77777777" w:rsidR="00807992" w:rsidRDefault="00807992" w:rsidP="00BE13E1">
      <w:pPr>
        <w:tabs>
          <w:tab w:val="left" w:pos="708"/>
          <w:tab w:val="center" w:pos="2835"/>
          <w:tab w:val="center" w:pos="3969"/>
          <w:tab w:val="center" w:pos="5103"/>
          <w:tab w:val="center" w:pos="6237"/>
          <w:tab w:val="center" w:pos="7371"/>
        </w:tabs>
        <w:spacing w:before="120" w:after="120"/>
        <w:ind w:firstLine="284"/>
        <w:rPr>
          <w:spacing w:val="6"/>
          <w:sz w:val="26"/>
          <w:szCs w:val="26"/>
        </w:rPr>
      </w:pPr>
      <w:r w:rsidRPr="00667DFF">
        <w:rPr>
          <w:spacing w:val="6"/>
          <w:sz w:val="26"/>
          <w:szCs w:val="26"/>
        </w:rPr>
        <w:t>C</w:t>
      </w:r>
      <w:r>
        <w:rPr>
          <w:spacing w:val="6"/>
          <w:sz w:val="26"/>
          <w:szCs w:val="26"/>
        </w:rPr>
        <w:t>omo variaciones más significativas, destacamos las siguientes:</w:t>
      </w:r>
    </w:p>
    <w:p w14:paraId="19C3E2A4" w14:textId="77777777" w:rsidR="00807992" w:rsidRPr="00277551" w:rsidRDefault="00807992" w:rsidP="00807992">
      <w:pPr>
        <w:numPr>
          <w:ilvl w:val="0"/>
          <w:numId w:val="2"/>
        </w:numPr>
        <w:tabs>
          <w:tab w:val="clear" w:pos="502"/>
          <w:tab w:val="left" w:pos="480"/>
          <w:tab w:val="num" w:pos="720"/>
          <w:tab w:val="num" w:pos="6597"/>
        </w:tabs>
        <w:ind w:left="0" w:firstLine="289"/>
        <w:rPr>
          <w:color w:val="000000" w:themeColor="text1"/>
          <w:spacing w:val="6"/>
          <w:sz w:val="26"/>
          <w:szCs w:val="26"/>
        </w:rPr>
      </w:pPr>
      <w:r w:rsidRPr="00277551">
        <w:rPr>
          <w:color w:val="000000" w:themeColor="text1"/>
          <w:spacing w:val="6"/>
          <w:sz w:val="26"/>
          <w:szCs w:val="26"/>
        </w:rPr>
        <w:t xml:space="preserve">La disminución del seis por ciento en las retribuciones básicas del personal funcionario, que asciende a 1,8 millones. Este descenso se debe principalmente a que los contratados en régimen administrativo terminaron de cobrar en 2020 la regularización del grado que se les reconoció en el Decreto-Ley Foral 4/2019, de 23 de octubre por el que se aprobaron medidas urgentes en materia de personal al servicio de las Administraciones Públicas de Navarra.  </w:t>
      </w:r>
    </w:p>
    <w:p w14:paraId="0ADA5DE9" w14:textId="77777777" w:rsidR="00807992" w:rsidRPr="00277551" w:rsidRDefault="00807992" w:rsidP="00807992">
      <w:pPr>
        <w:numPr>
          <w:ilvl w:val="0"/>
          <w:numId w:val="2"/>
        </w:numPr>
        <w:tabs>
          <w:tab w:val="clear" w:pos="502"/>
          <w:tab w:val="left" w:pos="480"/>
          <w:tab w:val="num" w:pos="720"/>
          <w:tab w:val="num" w:pos="6597"/>
        </w:tabs>
        <w:ind w:left="0" w:firstLine="289"/>
        <w:rPr>
          <w:color w:val="000000" w:themeColor="text1"/>
          <w:spacing w:val="6"/>
          <w:sz w:val="26"/>
          <w:szCs w:val="26"/>
        </w:rPr>
      </w:pPr>
      <w:r w:rsidRPr="00277551">
        <w:rPr>
          <w:color w:val="000000" w:themeColor="text1"/>
          <w:spacing w:val="6"/>
          <w:sz w:val="26"/>
          <w:szCs w:val="26"/>
        </w:rPr>
        <w:lastRenderedPageBreak/>
        <w:t xml:space="preserve">El descenso del cinco por ciento, que supone 0,36 millones, en la partida Retribuciones personal laboral eventual, motivado principalmente por la subrogación del personal del servicio de atención a domicilio en la nueva empresa municipal SAD.S.L.U. al que hemos hecho referencia en el </w:t>
      </w:r>
      <w:r w:rsidR="00517A8A">
        <w:rPr>
          <w:color w:val="000000" w:themeColor="text1"/>
          <w:spacing w:val="6"/>
          <w:sz w:val="26"/>
          <w:szCs w:val="26"/>
        </w:rPr>
        <w:t xml:space="preserve">Párrafo de Énfasis </w:t>
      </w:r>
      <w:r w:rsidRPr="00277551">
        <w:rPr>
          <w:color w:val="000000" w:themeColor="text1"/>
          <w:spacing w:val="6"/>
          <w:sz w:val="26"/>
          <w:szCs w:val="26"/>
        </w:rPr>
        <w:t xml:space="preserve">de este informe. </w:t>
      </w:r>
    </w:p>
    <w:p w14:paraId="76516D30" w14:textId="77777777" w:rsidR="00807992" w:rsidRPr="00277551" w:rsidRDefault="00807992" w:rsidP="00807992">
      <w:pPr>
        <w:numPr>
          <w:ilvl w:val="0"/>
          <w:numId w:val="2"/>
        </w:numPr>
        <w:tabs>
          <w:tab w:val="clear" w:pos="502"/>
          <w:tab w:val="left" w:pos="480"/>
          <w:tab w:val="num" w:pos="720"/>
          <w:tab w:val="num" w:pos="6597"/>
        </w:tabs>
        <w:ind w:left="0" w:firstLine="289"/>
        <w:rPr>
          <w:color w:val="000000" w:themeColor="text1"/>
          <w:spacing w:val="6"/>
          <w:sz w:val="26"/>
          <w:szCs w:val="26"/>
        </w:rPr>
      </w:pPr>
      <w:r w:rsidRPr="00277551">
        <w:rPr>
          <w:color w:val="000000" w:themeColor="text1"/>
          <w:spacing w:val="6"/>
          <w:sz w:val="26"/>
          <w:szCs w:val="26"/>
        </w:rPr>
        <w:t>El aumento en las retribuciones complementarias y otras retribuciones del personal funcionario, que en conjunto suponen 0,96 millones y que prácticamente se localiza en la Policía Municipal.</w:t>
      </w:r>
    </w:p>
    <w:p w14:paraId="2CD6B776" w14:textId="77777777" w:rsidR="00807992" w:rsidRPr="00277551" w:rsidRDefault="00807992" w:rsidP="00807992">
      <w:pPr>
        <w:numPr>
          <w:ilvl w:val="0"/>
          <w:numId w:val="2"/>
        </w:numPr>
        <w:tabs>
          <w:tab w:val="clear" w:pos="502"/>
          <w:tab w:val="left" w:pos="480"/>
          <w:tab w:val="num" w:pos="720"/>
          <w:tab w:val="num" w:pos="6597"/>
        </w:tabs>
        <w:ind w:left="0" w:firstLine="289"/>
        <w:rPr>
          <w:color w:val="000000" w:themeColor="text1"/>
          <w:spacing w:val="6"/>
          <w:sz w:val="26"/>
          <w:szCs w:val="26"/>
        </w:rPr>
      </w:pPr>
      <w:r w:rsidRPr="00277551">
        <w:rPr>
          <w:color w:val="000000" w:themeColor="text1"/>
          <w:spacing w:val="6"/>
          <w:sz w:val="26"/>
          <w:szCs w:val="26"/>
        </w:rPr>
        <w:t xml:space="preserve">El incremento de la partida de pensiones y prestaciones </w:t>
      </w:r>
      <w:proofErr w:type="gramStart"/>
      <w:r w:rsidRPr="00277551">
        <w:rPr>
          <w:color w:val="000000" w:themeColor="text1"/>
          <w:spacing w:val="6"/>
          <w:sz w:val="26"/>
          <w:szCs w:val="26"/>
        </w:rPr>
        <w:t>sociales,</w:t>
      </w:r>
      <w:proofErr w:type="gramEnd"/>
      <w:r w:rsidR="003D644A">
        <w:rPr>
          <w:color w:val="000000" w:themeColor="text1"/>
          <w:spacing w:val="6"/>
          <w:sz w:val="26"/>
          <w:szCs w:val="26"/>
        </w:rPr>
        <w:t xml:space="preserve"> está motivado por el aumento</w:t>
      </w:r>
      <w:r w:rsidRPr="00277551">
        <w:rPr>
          <w:color w:val="000000" w:themeColor="text1"/>
          <w:spacing w:val="6"/>
          <w:sz w:val="26"/>
          <w:szCs w:val="26"/>
        </w:rPr>
        <w:t xml:space="preserve"> de la pensión media de jubilación. </w:t>
      </w:r>
    </w:p>
    <w:p w14:paraId="4448E86F" w14:textId="77777777" w:rsidR="00807992" w:rsidRPr="00667DFF" w:rsidRDefault="00807992" w:rsidP="00807992">
      <w:pPr>
        <w:tabs>
          <w:tab w:val="left" w:pos="708"/>
          <w:tab w:val="center" w:pos="2835"/>
          <w:tab w:val="center" w:pos="3969"/>
          <w:tab w:val="center" w:pos="5103"/>
          <w:tab w:val="center" w:pos="6237"/>
          <w:tab w:val="center" w:pos="7371"/>
        </w:tabs>
        <w:spacing w:before="120"/>
        <w:ind w:firstLine="284"/>
        <w:rPr>
          <w:i/>
          <w:spacing w:val="6"/>
          <w:sz w:val="26"/>
          <w:szCs w:val="26"/>
        </w:rPr>
      </w:pPr>
      <w:r w:rsidRPr="00667DFF">
        <w:rPr>
          <w:i/>
          <w:spacing w:val="6"/>
          <w:sz w:val="26"/>
          <w:szCs w:val="26"/>
        </w:rPr>
        <w:t>Plantilla orgánica</w:t>
      </w:r>
    </w:p>
    <w:p w14:paraId="3C09B780" w14:textId="77777777" w:rsidR="00807992" w:rsidRPr="001508F6" w:rsidRDefault="00807992" w:rsidP="001508F6">
      <w:pPr>
        <w:tabs>
          <w:tab w:val="left" w:pos="480"/>
          <w:tab w:val="num" w:pos="720"/>
          <w:tab w:val="num" w:pos="1320"/>
          <w:tab w:val="num" w:pos="1948"/>
        </w:tabs>
        <w:spacing w:before="120" w:after="120"/>
        <w:ind w:firstLine="284"/>
        <w:rPr>
          <w:rFonts w:cs="Arial"/>
          <w:spacing w:val="4"/>
          <w:sz w:val="26"/>
          <w:szCs w:val="24"/>
        </w:rPr>
      </w:pPr>
      <w:r w:rsidRPr="001508F6">
        <w:rPr>
          <w:rFonts w:cs="Arial"/>
          <w:spacing w:val="4"/>
          <w:sz w:val="26"/>
          <w:szCs w:val="24"/>
        </w:rPr>
        <w:t xml:space="preserve">La plantilla orgánica de 2021 se </w:t>
      </w:r>
      <w:r w:rsidR="00284524" w:rsidRPr="001508F6">
        <w:rPr>
          <w:rFonts w:cs="Arial"/>
          <w:spacing w:val="4"/>
          <w:sz w:val="26"/>
          <w:szCs w:val="24"/>
        </w:rPr>
        <w:t xml:space="preserve">publicó </w:t>
      </w:r>
      <w:r w:rsidRPr="001508F6">
        <w:rPr>
          <w:rFonts w:cs="Arial"/>
          <w:spacing w:val="4"/>
          <w:sz w:val="26"/>
          <w:szCs w:val="24"/>
        </w:rPr>
        <w:t xml:space="preserve">en el Boletín Oficial de Navarra el 24 de mayo de 2021. Posteriormente se aprobaron </w:t>
      </w:r>
      <w:r w:rsidR="001508F6">
        <w:rPr>
          <w:rFonts w:cs="Arial"/>
          <w:spacing w:val="4"/>
          <w:sz w:val="26"/>
          <w:szCs w:val="24"/>
        </w:rPr>
        <w:t>tres</w:t>
      </w:r>
      <w:r w:rsidR="001508F6" w:rsidRPr="001508F6">
        <w:rPr>
          <w:rFonts w:cs="Arial"/>
          <w:spacing w:val="4"/>
          <w:sz w:val="26"/>
          <w:szCs w:val="24"/>
        </w:rPr>
        <w:t xml:space="preserve"> modificaciones, una de ellas como consecuencia de la modificación de la forma de gestión del servicio de a</w:t>
      </w:r>
      <w:r w:rsidR="001508F6">
        <w:rPr>
          <w:rFonts w:cs="Arial"/>
          <w:spacing w:val="4"/>
          <w:sz w:val="26"/>
          <w:szCs w:val="24"/>
        </w:rPr>
        <w:t xml:space="preserve">tención domiciliaria municipal </w:t>
      </w:r>
      <w:r w:rsidR="001508F6" w:rsidRPr="001508F6">
        <w:rPr>
          <w:rFonts w:cs="Arial"/>
          <w:spacing w:val="4"/>
          <w:sz w:val="26"/>
          <w:szCs w:val="24"/>
        </w:rPr>
        <w:t>y de la subrogación de los trabajadores en la nueva sociedad mercantil</w:t>
      </w:r>
      <w:r w:rsidR="000656B1">
        <w:rPr>
          <w:rFonts w:cs="Arial"/>
          <w:spacing w:val="4"/>
          <w:sz w:val="26"/>
          <w:szCs w:val="24"/>
        </w:rPr>
        <w:t xml:space="preserve"> amortizando las plazas en la plantilla</w:t>
      </w:r>
      <w:r w:rsidR="00182673">
        <w:rPr>
          <w:rFonts w:cs="Arial"/>
          <w:spacing w:val="4"/>
          <w:sz w:val="26"/>
          <w:szCs w:val="24"/>
        </w:rPr>
        <w:t>;</w:t>
      </w:r>
      <w:r w:rsidR="000656B1">
        <w:rPr>
          <w:rFonts w:cs="Arial"/>
          <w:spacing w:val="4"/>
          <w:sz w:val="26"/>
          <w:szCs w:val="24"/>
        </w:rPr>
        <w:t xml:space="preserve"> </w:t>
      </w:r>
      <w:r w:rsidR="001508F6" w:rsidRPr="001508F6">
        <w:rPr>
          <w:rFonts w:cs="Arial"/>
          <w:spacing w:val="4"/>
          <w:sz w:val="26"/>
          <w:szCs w:val="24"/>
        </w:rPr>
        <w:t>y otras dos</w:t>
      </w:r>
      <w:r w:rsidR="00182673">
        <w:rPr>
          <w:rFonts w:cs="Arial"/>
          <w:spacing w:val="4"/>
          <w:sz w:val="26"/>
          <w:szCs w:val="24"/>
        </w:rPr>
        <w:t>,</w:t>
      </w:r>
      <w:r w:rsidR="001508F6" w:rsidRPr="001508F6">
        <w:rPr>
          <w:rFonts w:cs="Arial"/>
          <w:spacing w:val="4"/>
          <w:sz w:val="26"/>
          <w:szCs w:val="24"/>
        </w:rPr>
        <w:t xml:space="preserve"> correspondientes a </w:t>
      </w:r>
      <w:r w:rsidRPr="001508F6">
        <w:rPr>
          <w:rFonts w:cs="Arial"/>
          <w:spacing w:val="4"/>
          <w:sz w:val="26"/>
          <w:szCs w:val="24"/>
        </w:rPr>
        <w:t xml:space="preserve">Relaciones de Puestos de Trabajo como consecuencia de cambios organizativos, que no han supuesto en ningún caso incrementos de </w:t>
      </w:r>
      <w:r w:rsidR="000656B1">
        <w:rPr>
          <w:rFonts w:cs="Arial"/>
          <w:spacing w:val="4"/>
          <w:sz w:val="26"/>
          <w:szCs w:val="24"/>
        </w:rPr>
        <w:t xml:space="preserve">puestos en la plantilla. </w:t>
      </w:r>
    </w:p>
    <w:p w14:paraId="5BD186C9" w14:textId="77777777" w:rsidR="00807992" w:rsidRPr="00331803" w:rsidRDefault="00807992" w:rsidP="00807992">
      <w:pPr>
        <w:tabs>
          <w:tab w:val="center" w:pos="2835"/>
          <w:tab w:val="center" w:pos="3969"/>
          <w:tab w:val="center" w:pos="5103"/>
          <w:tab w:val="center" w:pos="6237"/>
          <w:tab w:val="center" w:pos="7371"/>
        </w:tabs>
        <w:spacing w:before="240" w:after="200"/>
        <w:ind w:firstLine="284"/>
        <w:rPr>
          <w:spacing w:val="6"/>
          <w:sz w:val="26"/>
          <w:szCs w:val="24"/>
          <w:lang w:val="es-ES"/>
        </w:rPr>
      </w:pPr>
      <w:r w:rsidRPr="00331803">
        <w:rPr>
          <w:spacing w:val="6"/>
          <w:sz w:val="26"/>
          <w:szCs w:val="24"/>
          <w:lang w:val="es-ES"/>
        </w:rPr>
        <w:t>Hemos verificado la coherencia de los datos de la plantilla orgánica resultante con la informació</w:t>
      </w:r>
      <w:r w:rsidR="00793E57">
        <w:rPr>
          <w:spacing w:val="6"/>
          <w:sz w:val="26"/>
          <w:szCs w:val="24"/>
          <w:lang w:val="es-ES"/>
        </w:rPr>
        <w:t>n recogida en la memoria de la cuenta g</w:t>
      </w:r>
      <w:r w:rsidRPr="00331803">
        <w:rPr>
          <w:spacing w:val="6"/>
          <w:sz w:val="26"/>
          <w:szCs w:val="24"/>
          <w:lang w:val="es-ES"/>
        </w:rPr>
        <w:t>eneral. En nuestra revisión, hemos detectado una diferencia</w:t>
      </w:r>
      <w:r w:rsidR="00C26216">
        <w:rPr>
          <w:spacing w:val="6"/>
          <w:sz w:val="26"/>
          <w:szCs w:val="24"/>
          <w:lang w:val="es-ES"/>
        </w:rPr>
        <w:t xml:space="preserve"> de 14 puestos</w:t>
      </w:r>
      <w:r w:rsidRPr="00331803">
        <w:rPr>
          <w:spacing w:val="6"/>
          <w:sz w:val="26"/>
          <w:szCs w:val="24"/>
          <w:lang w:val="es-ES"/>
        </w:rPr>
        <w:t xml:space="preserve">, confirmada por el Ayuntamiento. </w:t>
      </w:r>
    </w:p>
    <w:p w14:paraId="102CAC55" w14:textId="77777777" w:rsidR="00807992" w:rsidRPr="00331803" w:rsidRDefault="00807992" w:rsidP="00807992">
      <w:pPr>
        <w:tabs>
          <w:tab w:val="center" w:pos="2835"/>
          <w:tab w:val="center" w:pos="3969"/>
          <w:tab w:val="center" w:pos="5103"/>
          <w:tab w:val="center" w:pos="6237"/>
          <w:tab w:val="center" w:pos="7371"/>
        </w:tabs>
        <w:spacing w:before="240" w:after="200"/>
        <w:ind w:firstLine="284"/>
        <w:rPr>
          <w:spacing w:val="6"/>
          <w:sz w:val="26"/>
          <w:szCs w:val="24"/>
          <w:lang w:val="es-ES"/>
        </w:rPr>
      </w:pPr>
      <w:r w:rsidRPr="00331803">
        <w:rPr>
          <w:spacing w:val="6"/>
          <w:sz w:val="26"/>
          <w:szCs w:val="24"/>
          <w:lang w:val="es-ES"/>
        </w:rPr>
        <w:t xml:space="preserve">De acuerdo con la información </w:t>
      </w:r>
      <w:r w:rsidR="00C26216">
        <w:rPr>
          <w:spacing w:val="6"/>
          <w:sz w:val="26"/>
          <w:szCs w:val="24"/>
          <w:lang w:val="es-ES"/>
        </w:rPr>
        <w:t>corregida (no coincidente con la m</w:t>
      </w:r>
      <w:r w:rsidRPr="00331803">
        <w:rPr>
          <w:spacing w:val="6"/>
          <w:sz w:val="26"/>
          <w:szCs w:val="24"/>
          <w:lang w:val="es-ES"/>
        </w:rPr>
        <w:t>emoria</w:t>
      </w:r>
      <w:r w:rsidR="00C26216">
        <w:rPr>
          <w:spacing w:val="6"/>
          <w:sz w:val="26"/>
          <w:szCs w:val="24"/>
          <w:lang w:val="es-ES"/>
        </w:rPr>
        <w:t>)</w:t>
      </w:r>
      <w:r w:rsidRPr="00331803">
        <w:rPr>
          <w:spacing w:val="6"/>
          <w:sz w:val="26"/>
          <w:szCs w:val="24"/>
          <w:lang w:val="es-ES"/>
        </w:rPr>
        <w:t xml:space="preserve"> los puestos de trabajo de la plantilla </w:t>
      </w:r>
      <w:r>
        <w:rPr>
          <w:spacing w:val="6"/>
          <w:sz w:val="26"/>
          <w:szCs w:val="24"/>
          <w:lang w:val="es-ES"/>
        </w:rPr>
        <w:t>y su situación al cierre del ejercicio 2021 es</w:t>
      </w:r>
      <w:r w:rsidRPr="00331803">
        <w:rPr>
          <w:spacing w:val="6"/>
          <w:sz w:val="26"/>
          <w:szCs w:val="24"/>
          <w:lang w:val="es-ES"/>
        </w:rPr>
        <w:t>:</w:t>
      </w:r>
    </w:p>
    <w:tbl>
      <w:tblPr>
        <w:tblW w:w="5000" w:type="pct"/>
        <w:jc w:val="center"/>
        <w:tblCellMar>
          <w:left w:w="70" w:type="dxa"/>
          <w:right w:w="70" w:type="dxa"/>
        </w:tblCellMar>
        <w:tblLook w:val="04A0" w:firstRow="1" w:lastRow="0" w:firstColumn="1" w:lastColumn="0" w:noHBand="0" w:noVBand="1"/>
      </w:tblPr>
      <w:tblGrid>
        <w:gridCol w:w="6571"/>
        <w:gridCol w:w="2218"/>
      </w:tblGrid>
      <w:tr w:rsidR="00807992" w:rsidRPr="00667DFF" w14:paraId="517F3CB3" w14:textId="77777777" w:rsidTr="00995A09">
        <w:trPr>
          <w:trHeight w:val="255"/>
          <w:jc w:val="center"/>
        </w:trPr>
        <w:tc>
          <w:tcPr>
            <w:tcW w:w="3738" w:type="pct"/>
            <w:tcBorders>
              <w:top w:val="single" w:sz="4" w:space="0" w:color="auto"/>
              <w:left w:val="nil"/>
              <w:bottom w:val="single" w:sz="4" w:space="0" w:color="auto"/>
              <w:right w:val="nil"/>
            </w:tcBorders>
            <w:shd w:val="clear" w:color="000000" w:fill="FABF8F" w:themeFill="accent6" w:themeFillTint="99"/>
            <w:noWrap/>
            <w:vAlign w:val="center"/>
            <w:hideMark/>
          </w:tcPr>
          <w:p w14:paraId="1CDBEE28" w14:textId="77777777" w:rsidR="00807992" w:rsidRPr="00667DFF" w:rsidRDefault="00807992" w:rsidP="00807992">
            <w:pPr>
              <w:tabs>
                <w:tab w:val="left" w:pos="142"/>
              </w:tabs>
              <w:spacing w:after="0"/>
              <w:ind w:firstLine="0"/>
              <w:jc w:val="left"/>
              <w:rPr>
                <w:rFonts w:ascii="Arial" w:hAnsi="Arial" w:cs="Arial"/>
                <w:bCs/>
                <w:color w:val="000000"/>
                <w:sz w:val="18"/>
                <w:szCs w:val="18"/>
                <w:lang w:val="es-ES" w:eastAsia="es-ES"/>
              </w:rPr>
            </w:pPr>
            <w:r w:rsidRPr="00667DFF">
              <w:rPr>
                <w:rFonts w:ascii="Arial" w:hAnsi="Arial" w:cs="Arial"/>
                <w:bCs/>
                <w:color w:val="000000"/>
                <w:sz w:val="18"/>
                <w:szCs w:val="18"/>
                <w:lang w:val="es-ES" w:eastAsia="es-ES"/>
              </w:rPr>
              <w:t>Personal</w:t>
            </w:r>
          </w:p>
        </w:tc>
        <w:tc>
          <w:tcPr>
            <w:tcW w:w="1262" w:type="pct"/>
            <w:tcBorders>
              <w:top w:val="single" w:sz="4" w:space="0" w:color="auto"/>
              <w:left w:val="nil"/>
              <w:bottom w:val="single" w:sz="4" w:space="0" w:color="auto"/>
              <w:right w:val="nil"/>
            </w:tcBorders>
            <w:shd w:val="clear" w:color="000000" w:fill="FABF8F" w:themeFill="accent6" w:themeFillTint="99"/>
            <w:noWrap/>
            <w:vAlign w:val="center"/>
            <w:hideMark/>
          </w:tcPr>
          <w:p w14:paraId="3C4C2DA1" w14:textId="77777777" w:rsidR="00807992" w:rsidRPr="00667DFF" w:rsidRDefault="00807992" w:rsidP="00807992">
            <w:pPr>
              <w:tabs>
                <w:tab w:val="left" w:pos="142"/>
              </w:tabs>
              <w:spacing w:after="0"/>
              <w:ind w:firstLine="0"/>
              <w:jc w:val="right"/>
              <w:rPr>
                <w:rFonts w:ascii="Arial" w:hAnsi="Arial" w:cs="Arial"/>
                <w:bCs/>
                <w:color w:val="000000"/>
                <w:sz w:val="18"/>
                <w:szCs w:val="18"/>
                <w:lang w:val="es-ES" w:eastAsia="es-ES"/>
              </w:rPr>
            </w:pPr>
            <w:r w:rsidRPr="00667DFF">
              <w:rPr>
                <w:rFonts w:ascii="Arial" w:hAnsi="Arial" w:cs="Arial"/>
                <w:bCs/>
                <w:color w:val="000000"/>
                <w:sz w:val="18"/>
                <w:szCs w:val="18"/>
                <w:lang w:val="es-ES" w:eastAsia="es-ES"/>
              </w:rPr>
              <w:t xml:space="preserve">          Ayuntamiento</w:t>
            </w:r>
          </w:p>
        </w:tc>
      </w:tr>
      <w:tr w:rsidR="00807992" w:rsidRPr="00667DFF" w14:paraId="20F8DF02" w14:textId="77777777" w:rsidTr="00995A09">
        <w:trPr>
          <w:trHeight w:val="198"/>
          <w:jc w:val="center"/>
        </w:trPr>
        <w:tc>
          <w:tcPr>
            <w:tcW w:w="3738" w:type="pct"/>
            <w:tcBorders>
              <w:top w:val="single" w:sz="4" w:space="0" w:color="auto"/>
              <w:left w:val="nil"/>
              <w:bottom w:val="single" w:sz="2" w:space="0" w:color="auto"/>
              <w:right w:val="nil"/>
            </w:tcBorders>
            <w:shd w:val="clear" w:color="000000" w:fill="FFFFFF"/>
            <w:noWrap/>
            <w:vAlign w:val="center"/>
            <w:hideMark/>
          </w:tcPr>
          <w:p w14:paraId="1948763F" w14:textId="77777777" w:rsidR="00807992" w:rsidRPr="00667DFF" w:rsidRDefault="00807992" w:rsidP="00807992">
            <w:pPr>
              <w:tabs>
                <w:tab w:val="left" w:pos="142"/>
              </w:tabs>
              <w:spacing w:after="0"/>
              <w:ind w:firstLine="0"/>
              <w:jc w:val="left"/>
              <w:rPr>
                <w:rFonts w:ascii="Arial Narrow" w:hAnsi="Arial Narrow"/>
                <w:b/>
                <w:bCs/>
                <w:color w:val="000000"/>
                <w:lang w:val="es-ES" w:eastAsia="es-ES"/>
              </w:rPr>
            </w:pPr>
            <w:r w:rsidRPr="00667DFF">
              <w:rPr>
                <w:rFonts w:ascii="Arial Narrow" w:hAnsi="Arial Narrow"/>
                <w:b/>
                <w:bCs/>
                <w:color w:val="000000"/>
                <w:lang w:val="es-ES" w:eastAsia="es-ES"/>
              </w:rPr>
              <w:t xml:space="preserve">Puestos en plantilla                                  </w:t>
            </w:r>
          </w:p>
        </w:tc>
        <w:tc>
          <w:tcPr>
            <w:tcW w:w="1262" w:type="pct"/>
            <w:tcBorders>
              <w:top w:val="single" w:sz="4" w:space="0" w:color="auto"/>
              <w:left w:val="nil"/>
              <w:bottom w:val="single" w:sz="2" w:space="0" w:color="auto"/>
              <w:right w:val="nil"/>
            </w:tcBorders>
            <w:shd w:val="clear" w:color="000000" w:fill="FFFFFF"/>
            <w:noWrap/>
            <w:vAlign w:val="center"/>
          </w:tcPr>
          <w:p w14:paraId="0BED12DA" w14:textId="77777777" w:rsidR="00807992" w:rsidRPr="00667DFF" w:rsidRDefault="00807992" w:rsidP="00807992">
            <w:pPr>
              <w:tabs>
                <w:tab w:val="left" w:pos="1365"/>
              </w:tabs>
              <w:spacing w:after="0"/>
              <w:ind w:firstLine="1263"/>
              <w:jc w:val="right"/>
              <w:rPr>
                <w:rFonts w:ascii="Arial Narrow" w:hAnsi="Arial Narrow"/>
                <w:b/>
                <w:bCs/>
                <w:color w:val="000000"/>
                <w:lang w:val="es-ES" w:eastAsia="es-ES"/>
              </w:rPr>
            </w:pPr>
            <w:r>
              <w:rPr>
                <w:rFonts w:ascii="Arial Narrow" w:hAnsi="Arial Narrow"/>
                <w:b/>
                <w:bCs/>
                <w:color w:val="000000"/>
                <w:lang w:val="es-ES" w:eastAsia="es-ES"/>
              </w:rPr>
              <w:t>1.450</w:t>
            </w:r>
          </w:p>
        </w:tc>
      </w:tr>
      <w:tr w:rsidR="00807992" w:rsidRPr="00667DFF" w14:paraId="1D1FBCCE" w14:textId="77777777" w:rsidTr="00D751D4">
        <w:trPr>
          <w:trHeight w:val="198"/>
          <w:jc w:val="center"/>
        </w:trPr>
        <w:tc>
          <w:tcPr>
            <w:tcW w:w="3738" w:type="pct"/>
            <w:tcBorders>
              <w:top w:val="single" w:sz="2" w:space="0" w:color="auto"/>
              <w:left w:val="nil"/>
              <w:bottom w:val="single" w:sz="2" w:space="0" w:color="auto"/>
              <w:right w:val="nil"/>
            </w:tcBorders>
            <w:shd w:val="clear" w:color="auto" w:fill="auto"/>
            <w:noWrap/>
            <w:vAlign w:val="center"/>
            <w:hideMark/>
          </w:tcPr>
          <w:p w14:paraId="069010D8"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sidRPr="00667DFF">
              <w:rPr>
                <w:rFonts w:ascii="Arial Narrow" w:hAnsi="Arial Narrow"/>
                <w:color w:val="000000"/>
                <w:lang w:val="es-ES" w:eastAsia="es-ES"/>
              </w:rPr>
              <w:t>Ocupados</w:t>
            </w:r>
          </w:p>
        </w:tc>
        <w:tc>
          <w:tcPr>
            <w:tcW w:w="1262" w:type="pct"/>
            <w:tcBorders>
              <w:top w:val="single" w:sz="2" w:space="0" w:color="auto"/>
              <w:left w:val="nil"/>
              <w:bottom w:val="single" w:sz="2" w:space="0" w:color="auto"/>
              <w:right w:val="nil"/>
            </w:tcBorders>
            <w:shd w:val="clear" w:color="auto" w:fill="auto"/>
            <w:noWrap/>
            <w:vAlign w:val="center"/>
          </w:tcPr>
          <w:p w14:paraId="5FE2DC06"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859</w:t>
            </w:r>
          </w:p>
        </w:tc>
      </w:tr>
      <w:tr w:rsidR="00807992" w:rsidRPr="00667DFF" w14:paraId="0D14AD1F" w14:textId="77777777" w:rsidTr="00D751D4">
        <w:trPr>
          <w:trHeight w:val="198"/>
          <w:jc w:val="center"/>
        </w:trPr>
        <w:tc>
          <w:tcPr>
            <w:tcW w:w="3738" w:type="pct"/>
            <w:tcBorders>
              <w:top w:val="single" w:sz="2" w:space="0" w:color="auto"/>
              <w:left w:val="nil"/>
              <w:bottom w:val="single" w:sz="2" w:space="0" w:color="auto"/>
              <w:right w:val="nil"/>
            </w:tcBorders>
            <w:shd w:val="clear" w:color="auto" w:fill="auto"/>
            <w:noWrap/>
            <w:vAlign w:val="center"/>
            <w:hideMark/>
          </w:tcPr>
          <w:p w14:paraId="659AF084"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sidRPr="00667DFF">
              <w:rPr>
                <w:rFonts w:ascii="Arial Narrow" w:hAnsi="Arial Narrow"/>
                <w:color w:val="000000"/>
                <w:lang w:val="es-ES" w:eastAsia="es-ES"/>
              </w:rPr>
              <w:t>Vacantes</w:t>
            </w:r>
          </w:p>
        </w:tc>
        <w:tc>
          <w:tcPr>
            <w:tcW w:w="1262" w:type="pct"/>
            <w:tcBorders>
              <w:top w:val="single" w:sz="2" w:space="0" w:color="auto"/>
              <w:left w:val="nil"/>
              <w:bottom w:val="single" w:sz="2" w:space="0" w:color="auto"/>
              <w:right w:val="nil"/>
            </w:tcBorders>
            <w:shd w:val="clear" w:color="auto" w:fill="auto"/>
            <w:noWrap/>
            <w:vAlign w:val="center"/>
          </w:tcPr>
          <w:p w14:paraId="0409F550"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591</w:t>
            </w:r>
          </w:p>
        </w:tc>
      </w:tr>
      <w:tr w:rsidR="00807992" w:rsidRPr="00667DFF" w14:paraId="4C70077B" w14:textId="77777777" w:rsidTr="00D751D4">
        <w:trPr>
          <w:trHeight w:val="198"/>
          <w:jc w:val="center"/>
        </w:trPr>
        <w:tc>
          <w:tcPr>
            <w:tcW w:w="3738" w:type="pct"/>
            <w:tcBorders>
              <w:top w:val="single" w:sz="2" w:space="0" w:color="auto"/>
              <w:left w:val="nil"/>
              <w:bottom w:val="single" w:sz="2" w:space="0" w:color="auto"/>
              <w:right w:val="nil"/>
            </w:tcBorders>
            <w:shd w:val="clear" w:color="auto" w:fill="FABF8F" w:themeFill="accent6" w:themeFillTint="99"/>
            <w:noWrap/>
            <w:vAlign w:val="center"/>
            <w:hideMark/>
          </w:tcPr>
          <w:p w14:paraId="6D42346F" w14:textId="77777777" w:rsidR="00807992" w:rsidRPr="00667DFF" w:rsidRDefault="00807992" w:rsidP="00807992">
            <w:pPr>
              <w:tabs>
                <w:tab w:val="left" w:pos="142"/>
              </w:tabs>
              <w:spacing w:after="0"/>
              <w:ind w:firstLine="0"/>
              <w:jc w:val="left"/>
              <w:rPr>
                <w:rFonts w:ascii="Arial Narrow" w:hAnsi="Arial Narrow"/>
                <w:b/>
                <w:bCs/>
                <w:color w:val="000000"/>
                <w:lang w:val="es-ES" w:eastAsia="es-ES"/>
              </w:rPr>
            </w:pPr>
            <w:r w:rsidRPr="00667DFF">
              <w:rPr>
                <w:rFonts w:ascii="Arial Narrow" w:hAnsi="Arial Narrow"/>
                <w:b/>
                <w:bCs/>
                <w:color w:val="000000"/>
                <w:lang w:val="es-ES" w:eastAsia="es-ES"/>
              </w:rPr>
              <w:t>% Vacantes sobre el total de puestos</w:t>
            </w:r>
          </w:p>
        </w:tc>
        <w:tc>
          <w:tcPr>
            <w:tcW w:w="1262" w:type="pct"/>
            <w:tcBorders>
              <w:top w:val="single" w:sz="2" w:space="0" w:color="auto"/>
              <w:left w:val="nil"/>
              <w:bottom w:val="single" w:sz="2" w:space="0" w:color="auto"/>
              <w:right w:val="nil"/>
            </w:tcBorders>
            <w:shd w:val="clear" w:color="auto" w:fill="FABF8F" w:themeFill="accent6" w:themeFillTint="99"/>
            <w:noWrap/>
            <w:vAlign w:val="center"/>
          </w:tcPr>
          <w:p w14:paraId="1FE26CAE" w14:textId="77777777" w:rsidR="00807992" w:rsidRPr="00667DFF" w:rsidRDefault="00807992" w:rsidP="00807992">
            <w:pPr>
              <w:tabs>
                <w:tab w:val="left" w:pos="142"/>
              </w:tabs>
              <w:spacing w:after="0"/>
              <w:ind w:firstLine="0"/>
              <w:jc w:val="right"/>
              <w:rPr>
                <w:rFonts w:ascii="Arial Narrow" w:hAnsi="Arial Narrow"/>
                <w:b/>
                <w:bCs/>
                <w:color w:val="000000"/>
                <w:lang w:val="es-ES" w:eastAsia="es-ES"/>
              </w:rPr>
            </w:pPr>
            <w:r>
              <w:rPr>
                <w:rFonts w:ascii="Arial Narrow" w:hAnsi="Arial Narrow"/>
                <w:b/>
                <w:bCs/>
                <w:color w:val="000000"/>
                <w:lang w:val="es-ES" w:eastAsia="es-ES"/>
              </w:rPr>
              <w:t>41</w:t>
            </w:r>
          </w:p>
        </w:tc>
      </w:tr>
      <w:tr w:rsidR="00807992" w:rsidRPr="00667DFF" w14:paraId="209AD605" w14:textId="77777777" w:rsidTr="00D751D4">
        <w:trPr>
          <w:trHeight w:val="198"/>
          <w:jc w:val="center"/>
        </w:trPr>
        <w:tc>
          <w:tcPr>
            <w:tcW w:w="3738" w:type="pct"/>
            <w:tcBorders>
              <w:top w:val="single" w:sz="2" w:space="0" w:color="auto"/>
              <w:left w:val="nil"/>
              <w:bottom w:val="single" w:sz="2" w:space="0" w:color="auto"/>
              <w:right w:val="nil"/>
            </w:tcBorders>
            <w:shd w:val="clear" w:color="auto" w:fill="auto"/>
            <w:noWrap/>
            <w:vAlign w:val="center"/>
            <w:hideMark/>
          </w:tcPr>
          <w:p w14:paraId="00DBE356"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sidRPr="00667DFF">
              <w:rPr>
                <w:rFonts w:ascii="Arial Narrow" w:hAnsi="Arial Narrow"/>
                <w:color w:val="000000"/>
                <w:lang w:val="es-ES" w:eastAsia="es-ES"/>
              </w:rPr>
              <w:t>Vacantes cubiertas</w:t>
            </w:r>
          </w:p>
        </w:tc>
        <w:tc>
          <w:tcPr>
            <w:tcW w:w="1262" w:type="pct"/>
            <w:tcBorders>
              <w:top w:val="single" w:sz="2" w:space="0" w:color="auto"/>
              <w:left w:val="nil"/>
              <w:bottom w:val="single" w:sz="2" w:space="0" w:color="auto"/>
              <w:right w:val="nil"/>
            </w:tcBorders>
            <w:shd w:val="clear" w:color="auto" w:fill="auto"/>
            <w:noWrap/>
            <w:vAlign w:val="center"/>
          </w:tcPr>
          <w:p w14:paraId="0EAD1211"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483</w:t>
            </w:r>
          </w:p>
        </w:tc>
      </w:tr>
      <w:tr w:rsidR="00807992" w:rsidRPr="00667DFF" w14:paraId="2ECAD393" w14:textId="77777777" w:rsidTr="00D751D4">
        <w:trPr>
          <w:trHeight w:val="198"/>
          <w:jc w:val="center"/>
        </w:trPr>
        <w:tc>
          <w:tcPr>
            <w:tcW w:w="3738" w:type="pct"/>
            <w:tcBorders>
              <w:top w:val="single" w:sz="2" w:space="0" w:color="auto"/>
              <w:left w:val="nil"/>
              <w:bottom w:val="single" w:sz="2" w:space="0" w:color="auto"/>
              <w:right w:val="nil"/>
            </w:tcBorders>
            <w:shd w:val="clear" w:color="auto" w:fill="FABF8F" w:themeFill="accent6" w:themeFillTint="99"/>
            <w:noWrap/>
            <w:vAlign w:val="center"/>
            <w:hideMark/>
          </w:tcPr>
          <w:p w14:paraId="6F113380" w14:textId="77777777" w:rsidR="00807992" w:rsidRPr="00667DFF" w:rsidRDefault="00807992" w:rsidP="00807992">
            <w:pPr>
              <w:tabs>
                <w:tab w:val="left" w:pos="142"/>
              </w:tabs>
              <w:spacing w:after="0"/>
              <w:ind w:firstLine="0"/>
              <w:jc w:val="left"/>
              <w:rPr>
                <w:rFonts w:ascii="Arial Narrow" w:hAnsi="Arial Narrow"/>
                <w:b/>
                <w:bCs/>
                <w:color w:val="000000"/>
                <w:lang w:val="es-ES" w:eastAsia="es-ES"/>
              </w:rPr>
            </w:pPr>
            <w:r w:rsidRPr="00667DFF">
              <w:rPr>
                <w:rFonts w:ascii="Arial Narrow" w:hAnsi="Arial Narrow"/>
                <w:b/>
                <w:bCs/>
                <w:color w:val="000000"/>
                <w:lang w:val="es-ES" w:eastAsia="es-ES"/>
              </w:rPr>
              <w:t>% Vacantes cubiertas</w:t>
            </w:r>
          </w:p>
        </w:tc>
        <w:tc>
          <w:tcPr>
            <w:tcW w:w="1262" w:type="pct"/>
            <w:tcBorders>
              <w:top w:val="single" w:sz="2" w:space="0" w:color="auto"/>
              <w:left w:val="nil"/>
              <w:bottom w:val="single" w:sz="2" w:space="0" w:color="auto"/>
              <w:right w:val="nil"/>
            </w:tcBorders>
            <w:shd w:val="clear" w:color="auto" w:fill="FABF8F" w:themeFill="accent6" w:themeFillTint="99"/>
            <w:noWrap/>
            <w:vAlign w:val="center"/>
          </w:tcPr>
          <w:p w14:paraId="01F1A81B" w14:textId="77777777" w:rsidR="00807992" w:rsidRPr="00667DFF" w:rsidRDefault="00807992" w:rsidP="00807992">
            <w:pPr>
              <w:tabs>
                <w:tab w:val="left" w:pos="142"/>
              </w:tabs>
              <w:spacing w:after="0"/>
              <w:ind w:firstLine="0"/>
              <w:jc w:val="right"/>
              <w:rPr>
                <w:rFonts w:ascii="Arial Narrow" w:hAnsi="Arial Narrow"/>
                <w:b/>
                <w:bCs/>
                <w:color w:val="000000"/>
                <w:lang w:val="es-ES" w:eastAsia="es-ES"/>
              </w:rPr>
            </w:pPr>
            <w:r>
              <w:rPr>
                <w:rFonts w:ascii="Arial Narrow" w:hAnsi="Arial Narrow"/>
                <w:b/>
                <w:bCs/>
                <w:color w:val="000000"/>
                <w:lang w:val="es-ES" w:eastAsia="es-ES"/>
              </w:rPr>
              <w:t>82</w:t>
            </w:r>
          </w:p>
        </w:tc>
      </w:tr>
      <w:tr w:rsidR="00807992" w:rsidRPr="00667DFF" w14:paraId="79550193" w14:textId="77777777" w:rsidTr="00D751D4">
        <w:trPr>
          <w:trHeight w:val="198"/>
          <w:jc w:val="center"/>
        </w:trPr>
        <w:tc>
          <w:tcPr>
            <w:tcW w:w="3738" w:type="pct"/>
            <w:tcBorders>
              <w:top w:val="single" w:sz="2" w:space="0" w:color="auto"/>
              <w:left w:val="nil"/>
              <w:bottom w:val="single" w:sz="2" w:space="0" w:color="auto"/>
              <w:right w:val="nil"/>
            </w:tcBorders>
            <w:shd w:val="clear" w:color="auto" w:fill="auto"/>
            <w:noWrap/>
            <w:vAlign w:val="center"/>
            <w:hideMark/>
          </w:tcPr>
          <w:p w14:paraId="362377FC" w14:textId="77777777" w:rsidR="00807992" w:rsidRPr="00667DFF" w:rsidRDefault="00807992" w:rsidP="00807992">
            <w:pPr>
              <w:tabs>
                <w:tab w:val="left" w:pos="142"/>
              </w:tabs>
              <w:spacing w:after="0"/>
              <w:ind w:firstLine="0"/>
              <w:jc w:val="left"/>
              <w:rPr>
                <w:rFonts w:ascii="Arial Narrow" w:hAnsi="Arial Narrow"/>
                <w:bCs/>
                <w:color w:val="000000"/>
                <w:lang w:val="es-ES" w:eastAsia="es-ES"/>
              </w:rPr>
            </w:pPr>
            <w:r w:rsidRPr="00667DFF">
              <w:rPr>
                <w:rFonts w:ascii="Arial Narrow" w:hAnsi="Arial Narrow"/>
                <w:bCs/>
                <w:color w:val="000000"/>
                <w:lang w:val="es-ES" w:eastAsia="es-ES"/>
              </w:rPr>
              <w:t>Vacantes sin cubrir</w:t>
            </w:r>
          </w:p>
        </w:tc>
        <w:tc>
          <w:tcPr>
            <w:tcW w:w="1262" w:type="pct"/>
            <w:tcBorders>
              <w:top w:val="single" w:sz="2" w:space="0" w:color="auto"/>
              <w:left w:val="nil"/>
              <w:bottom w:val="single" w:sz="2" w:space="0" w:color="auto"/>
              <w:right w:val="nil"/>
            </w:tcBorders>
            <w:shd w:val="clear" w:color="auto" w:fill="auto"/>
            <w:noWrap/>
            <w:vAlign w:val="center"/>
          </w:tcPr>
          <w:p w14:paraId="09BED744" w14:textId="77777777" w:rsidR="00807992" w:rsidRPr="00667DFF" w:rsidRDefault="00807992" w:rsidP="00807992">
            <w:pPr>
              <w:tabs>
                <w:tab w:val="left" w:pos="142"/>
              </w:tabs>
              <w:spacing w:after="0"/>
              <w:ind w:firstLine="0"/>
              <w:jc w:val="right"/>
              <w:rPr>
                <w:rFonts w:ascii="Arial Narrow" w:hAnsi="Arial Narrow"/>
                <w:bCs/>
                <w:color w:val="000000"/>
                <w:lang w:val="es-ES" w:eastAsia="es-ES"/>
              </w:rPr>
            </w:pPr>
            <w:r>
              <w:rPr>
                <w:rFonts w:ascii="Arial Narrow" w:hAnsi="Arial Narrow"/>
                <w:bCs/>
                <w:color w:val="000000"/>
                <w:lang w:val="es-ES" w:eastAsia="es-ES"/>
              </w:rPr>
              <w:t>108</w:t>
            </w:r>
          </w:p>
        </w:tc>
      </w:tr>
      <w:tr w:rsidR="00807992" w:rsidRPr="00667DFF" w14:paraId="00ABEDBC" w14:textId="77777777" w:rsidTr="00995A09">
        <w:trPr>
          <w:trHeight w:val="198"/>
          <w:jc w:val="center"/>
        </w:trPr>
        <w:tc>
          <w:tcPr>
            <w:tcW w:w="3738" w:type="pct"/>
            <w:tcBorders>
              <w:top w:val="single" w:sz="2" w:space="0" w:color="auto"/>
              <w:left w:val="nil"/>
              <w:bottom w:val="single" w:sz="4" w:space="0" w:color="auto"/>
              <w:right w:val="nil"/>
            </w:tcBorders>
            <w:shd w:val="clear" w:color="auto" w:fill="FABF8F" w:themeFill="accent6" w:themeFillTint="99"/>
            <w:noWrap/>
            <w:vAlign w:val="center"/>
            <w:hideMark/>
          </w:tcPr>
          <w:p w14:paraId="4D2A553E" w14:textId="77777777" w:rsidR="00807992" w:rsidRPr="00667DFF" w:rsidRDefault="00807992" w:rsidP="00807992">
            <w:pPr>
              <w:tabs>
                <w:tab w:val="left" w:pos="142"/>
              </w:tabs>
              <w:spacing w:after="0"/>
              <w:ind w:firstLine="0"/>
              <w:jc w:val="left"/>
              <w:rPr>
                <w:rFonts w:ascii="Arial Narrow" w:hAnsi="Arial Narrow"/>
                <w:b/>
                <w:bCs/>
                <w:color w:val="000000"/>
                <w:lang w:val="es-ES" w:eastAsia="es-ES"/>
              </w:rPr>
            </w:pPr>
            <w:r w:rsidRPr="00667DFF">
              <w:rPr>
                <w:rFonts w:ascii="Arial Narrow" w:hAnsi="Arial Narrow"/>
                <w:b/>
                <w:bCs/>
                <w:color w:val="000000"/>
                <w:lang w:val="es-ES" w:eastAsia="es-ES"/>
              </w:rPr>
              <w:t>% Vacantes sin cubrir</w:t>
            </w:r>
          </w:p>
        </w:tc>
        <w:tc>
          <w:tcPr>
            <w:tcW w:w="1262" w:type="pct"/>
            <w:tcBorders>
              <w:top w:val="single" w:sz="2" w:space="0" w:color="auto"/>
              <w:left w:val="nil"/>
              <w:bottom w:val="single" w:sz="4" w:space="0" w:color="auto"/>
              <w:right w:val="nil"/>
            </w:tcBorders>
            <w:shd w:val="clear" w:color="auto" w:fill="FABF8F" w:themeFill="accent6" w:themeFillTint="99"/>
            <w:noWrap/>
            <w:vAlign w:val="center"/>
          </w:tcPr>
          <w:p w14:paraId="6C151AA4" w14:textId="77777777" w:rsidR="00807992" w:rsidRPr="00667DFF" w:rsidRDefault="00807992" w:rsidP="00807992">
            <w:pPr>
              <w:tabs>
                <w:tab w:val="left" w:pos="142"/>
              </w:tabs>
              <w:spacing w:after="0"/>
              <w:ind w:firstLine="0"/>
              <w:jc w:val="right"/>
              <w:rPr>
                <w:rFonts w:ascii="Arial Narrow" w:hAnsi="Arial Narrow"/>
                <w:b/>
                <w:bCs/>
                <w:color w:val="000000"/>
                <w:lang w:val="es-ES" w:eastAsia="es-ES"/>
              </w:rPr>
            </w:pPr>
            <w:r>
              <w:rPr>
                <w:rFonts w:ascii="Arial Narrow" w:hAnsi="Arial Narrow"/>
                <w:b/>
                <w:bCs/>
                <w:color w:val="000000"/>
                <w:lang w:val="es-ES" w:eastAsia="es-ES"/>
              </w:rPr>
              <w:t>18</w:t>
            </w:r>
          </w:p>
        </w:tc>
      </w:tr>
      <w:tr w:rsidR="00807992" w:rsidRPr="00950882" w14:paraId="1BC1E6AB" w14:textId="77777777" w:rsidTr="00995A09">
        <w:trPr>
          <w:trHeight w:val="198"/>
          <w:jc w:val="center"/>
        </w:trPr>
        <w:tc>
          <w:tcPr>
            <w:tcW w:w="3738" w:type="pct"/>
            <w:tcBorders>
              <w:top w:val="single" w:sz="4" w:space="0" w:color="auto"/>
              <w:left w:val="nil"/>
              <w:bottom w:val="single" w:sz="4" w:space="0" w:color="auto"/>
              <w:right w:val="nil"/>
            </w:tcBorders>
            <w:shd w:val="clear" w:color="auto" w:fill="FABF8F" w:themeFill="accent6" w:themeFillTint="99"/>
            <w:noWrap/>
            <w:vAlign w:val="center"/>
          </w:tcPr>
          <w:p w14:paraId="5ECBE4FD" w14:textId="77777777" w:rsidR="00807992" w:rsidRPr="00950882" w:rsidRDefault="00807992" w:rsidP="00807992">
            <w:pPr>
              <w:tabs>
                <w:tab w:val="left" w:pos="142"/>
              </w:tabs>
              <w:spacing w:after="0"/>
              <w:ind w:firstLine="0"/>
              <w:jc w:val="left"/>
              <w:rPr>
                <w:rFonts w:ascii="Arial Narrow" w:hAnsi="Arial Narrow"/>
                <w:b/>
                <w:bCs/>
                <w:lang w:val="es-ES" w:eastAsia="es-ES"/>
              </w:rPr>
            </w:pPr>
            <w:r w:rsidRPr="00950882">
              <w:rPr>
                <w:rFonts w:ascii="Arial Narrow" w:hAnsi="Arial Narrow"/>
                <w:b/>
                <w:bCs/>
                <w:lang w:val="es-ES" w:eastAsia="es-ES"/>
              </w:rPr>
              <w:t>% Contratación temporal</w:t>
            </w:r>
          </w:p>
        </w:tc>
        <w:tc>
          <w:tcPr>
            <w:tcW w:w="1262" w:type="pct"/>
            <w:tcBorders>
              <w:top w:val="single" w:sz="4" w:space="0" w:color="auto"/>
              <w:left w:val="nil"/>
              <w:bottom w:val="single" w:sz="4" w:space="0" w:color="auto"/>
              <w:right w:val="nil"/>
            </w:tcBorders>
            <w:shd w:val="clear" w:color="auto" w:fill="FABF8F" w:themeFill="accent6" w:themeFillTint="99"/>
            <w:noWrap/>
            <w:vAlign w:val="center"/>
          </w:tcPr>
          <w:p w14:paraId="4F1CB7BE" w14:textId="77777777" w:rsidR="00807992" w:rsidRPr="00950882" w:rsidRDefault="00807992" w:rsidP="00807992">
            <w:pPr>
              <w:tabs>
                <w:tab w:val="left" w:pos="142"/>
              </w:tabs>
              <w:spacing w:after="0"/>
              <w:ind w:firstLine="0"/>
              <w:jc w:val="right"/>
              <w:rPr>
                <w:rFonts w:ascii="Arial Narrow" w:hAnsi="Arial Narrow"/>
                <w:b/>
                <w:bCs/>
                <w:lang w:val="es-ES" w:eastAsia="es-ES"/>
              </w:rPr>
            </w:pPr>
            <w:r w:rsidRPr="00950882">
              <w:rPr>
                <w:rFonts w:ascii="Arial Narrow" w:hAnsi="Arial Narrow"/>
                <w:b/>
                <w:bCs/>
                <w:lang w:val="es-ES" w:eastAsia="es-ES"/>
              </w:rPr>
              <w:t>36</w:t>
            </w:r>
          </w:p>
        </w:tc>
      </w:tr>
    </w:tbl>
    <w:p w14:paraId="78BADE26" w14:textId="77777777" w:rsidR="00807992" w:rsidRDefault="00807992" w:rsidP="00807992">
      <w:pPr>
        <w:tabs>
          <w:tab w:val="left" w:pos="708"/>
          <w:tab w:val="center" w:pos="2835"/>
          <w:tab w:val="center" w:pos="3969"/>
          <w:tab w:val="center" w:pos="5103"/>
          <w:tab w:val="center" w:pos="6237"/>
          <w:tab w:val="center" w:pos="7371"/>
        </w:tabs>
        <w:spacing w:before="240" w:after="0"/>
        <w:ind w:firstLine="284"/>
        <w:rPr>
          <w:color w:val="000000" w:themeColor="text1"/>
          <w:spacing w:val="6"/>
          <w:sz w:val="26"/>
          <w:szCs w:val="24"/>
          <w:lang w:val="es-ES"/>
        </w:rPr>
      </w:pPr>
      <w:r>
        <w:rPr>
          <w:color w:val="000000" w:themeColor="text1"/>
          <w:spacing w:val="6"/>
          <w:sz w:val="26"/>
          <w:szCs w:val="24"/>
          <w:lang w:val="es-ES"/>
        </w:rPr>
        <w:t>En 2021</w:t>
      </w:r>
      <w:r w:rsidRPr="00667DFF">
        <w:rPr>
          <w:color w:val="000000" w:themeColor="text1"/>
          <w:spacing w:val="6"/>
          <w:sz w:val="26"/>
          <w:szCs w:val="24"/>
          <w:lang w:val="es-ES"/>
        </w:rPr>
        <w:t xml:space="preserve"> el </w:t>
      </w:r>
      <w:r>
        <w:rPr>
          <w:color w:val="000000" w:themeColor="text1"/>
          <w:spacing w:val="6"/>
          <w:sz w:val="26"/>
          <w:szCs w:val="24"/>
          <w:lang w:val="es-ES"/>
        </w:rPr>
        <w:t xml:space="preserve">41 por </w:t>
      </w:r>
      <w:r w:rsidRPr="00667DFF">
        <w:rPr>
          <w:color w:val="000000" w:themeColor="text1"/>
          <w:spacing w:val="6"/>
          <w:sz w:val="26"/>
          <w:szCs w:val="24"/>
          <w:lang w:val="es-ES"/>
        </w:rPr>
        <w:t xml:space="preserve">ciento del total de puestos de plantilla están vacantes, de los que el </w:t>
      </w:r>
      <w:r>
        <w:rPr>
          <w:color w:val="000000" w:themeColor="text1"/>
          <w:spacing w:val="6"/>
          <w:sz w:val="26"/>
          <w:szCs w:val="24"/>
          <w:lang w:val="es-ES"/>
        </w:rPr>
        <w:t xml:space="preserve">82 </w:t>
      </w:r>
      <w:r w:rsidRPr="00667DFF">
        <w:rPr>
          <w:color w:val="000000" w:themeColor="text1"/>
          <w:spacing w:val="6"/>
          <w:sz w:val="26"/>
          <w:szCs w:val="24"/>
          <w:lang w:val="es-ES"/>
        </w:rPr>
        <w:t xml:space="preserve">por ciento están cubiertos temporalmente y el resto, un </w:t>
      </w:r>
      <w:r>
        <w:rPr>
          <w:color w:val="000000" w:themeColor="text1"/>
          <w:spacing w:val="6"/>
          <w:sz w:val="26"/>
          <w:szCs w:val="24"/>
          <w:lang w:val="es-ES"/>
        </w:rPr>
        <w:t xml:space="preserve">18 </w:t>
      </w:r>
      <w:r w:rsidRPr="00667DFF">
        <w:rPr>
          <w:color w:val="000000" w:themeColor="text1"/>
          <w:spacing w:val="6"/>
          <w:sz w:val="26"/>
          <w:szCs w:val="24"/>
          <w:lang w:val="es-ES"/>
        </w:rPr>
        <w:t>por ciento, continúan sin cubrir.</w:t>
      </w:r>
      <w:r>
        <w:rPr>
          <w:color w:val="000000" w:themeColor="text1"/>
          <w:spacing w:val="6"/>
          <w:sz w:val="26"/>
          <w:szCs w:val="24"/>
          <w:lang w:val="es-ES"/>
        </w:rPr>
        <w:t xml:space="preserve"> </w:t>
      </w:r>
    </w:p>
    <w:p w14:paraId="33E94234" w14:textId="77777777" w:rsidR="00C4387E" w:rsidRDefault="00C4387E" w:rsidP="00807992">
      <w:pPr>
        <w:tabs>
          <w:tab w:val="center" w:pos="2835"/>
          <w:tab w:val="center" w:pos="3969"/>
          <w:tab w:val="center" w:pos="5103"/>
          <w:tab w:val="center" w:pos="6237"/>
          <w:tab w:val="center" w:pos="7371"/>
        </w:tabs>
        <w:spacing w:before="240" w:after="200"/>
        <w:rPr>
          <w:spacing w:val="6"/>
          <w:sz w:val="26"/>
          <w:szCs w:val="26"/>
        </w:rPr>
      </w:pPr>
    </w:p>
    <w:p w14:paraId="169D9C09" w14:textId="77777777" w:rsidR="00807992" w:rsidRDefault="00807992" w:rsidP="00807992">
      <w:pPr>
        <w:tabs>
          <w:tab w:val="center" w:pos="2835"/>
          <w:tab w:val="center" w:pos="3969"/>
          <w:tab w:val="center" w:pos="5103"/>
          <w:tab w:val="center" w:pos="6237"/>
          <w:tab w:val="center" w:pos="7371"/>
        </w:tabs>
        <w:spacing w:before="240" w:after="200"/>
        <w:rPr>
          <w:spacing w:val="6"/>
          <w:sz w:val="26"/>
          <w:szCs w:val="26"/>
        </w:rPr>
      </w:pPr>
      <w:r>
        <w:rPr>
          <w:spacing w:val="6"/>
          <w:sz w:val="26"/>
          <w:szCs w:val="26"/>
        </w:rPr>
        <w:lastRenderedPageBreak/>
        <w:t>El régimen jurídico de los puestos de plantilla es el siguiente:</w:t>
      </w:r>
    </w:p>
    <w:tbl>
      <w:tblPr>
        <w:tblW w:w="8789" w:type="dxa"/>
        <w:tblCellMar>
          <w:left w:w="70" w:type="dxa"/>
          <w:right w:w="70" w:type="dxa"/>
        </w:tblCellMar>
        <w:tblLook w:val="04A0" w:firstRow="1" w:lastRow="0" w:firstColumn="1" w:lastColumn="0" w:noHBand="0" w:noVBand="1"/>
      </w:tblPr>
      <w:tblGrid>
        <w:gridCol w:w="5670"/>
        <w:gridCol w:w="993"/>
        <w:gridCol w:w="850"/>
        <w:gridCol w:w="1276"/>
      </w:tblGrid>
      <w:tr w:rsidR="00807992" w:rsidRPr="00950882" w14:paraId="3D91D37F" w14:textId="77777777" w:rsidTr="00995A09">
        <w:trPr>
          <w:trHeight w:val="255"/>
        </w:trPr>
        <w:tc>
          <w:tcPr>
            <w:tcW w:w="5670" w:type="dxa"/>
            <w:tcBorders>
              <w:top w:val="single" w:sz="4" w:space="0" w:color="auto"/>
              <w:left w:val="nil"/>
              <w:bottom w:val="single" w:sz="4" w:space="0" w:color="auto"/>
              <w:right w:val="nil"/>
            </w:tcBorders>
            <w:shd w:val="clear" w:color="000000" w:fill="F4B084"/>
            <w:noWrap/>
            <w:vAlign w:val="center"/>
            <w:hideMark/>
          </w:tcPr>
          <w:p w14:paraId="3777C243" w14:textId="77777777" w:rsidR="00807992" w:rsidRPr="00950882" w:rsidRDefault="00807992" w:rsidP="00807992">
            <w:pPr>
              <w:spacing w:after="0"/>
              <w:ind w:firstLine="0"/>
              <w:jc w:val="left"/>
              <w:rPr>
                <w:rFonts w:ascii="Arial" w:hAnsi="Arial" w:cs="Arial"/>
                <w:sz w:val="18"/>
                <w:szCs w:val="18"/>
                <w:lang w:val="es-ES" w:eastAsia="es-ES"/>
              </w:rPr>
            </w:pPr>
            <w:r w:rsidRPr="00950882">
              <w:rPr>
                <w:rFonts w:ascii="Arial" w:hAnsi="Arial" w:cs="Arial"/>
                <w:sz w:val="18"/>
                <w:szCs w:val="18"/>
                <w:lang w:val="es-ES" w:eastAsia="es-ES"/>
              </w:rPr>
              <w:t>Clasificación</w:t>
            </w:r>
          </w:p>
        </w:tc>
        <w:tc>
          <w:tcPr>
            <w:tcW w:w="993" w:type="dxa"/>
            <w:tcBorders>
              <w:top w:val="single" w:sz="4" w:space="0" w:color="auto"/>
              <w:left w:val="nil"/>
              <w:bottom w:val="single" w:sz="4" w:space="0" w:color="auto"/>
              <w:right w:val="nil"/>
            </w:tcBorders>
            <w:shd w:val="clear" w:color="000000" w:fill="F4B084"/>
            <w:vAlign w:val="center"/>
          </w:tcPr>
          <w:p w14:paraId="086458A3" w14:textId="77777777" w:rsidR="00807992" w:rsidRPr="00950882" w:rsidRDefault="00807992" w:rsidP="00807992">
            <w:pPr>
              <w:spacing w:after="0"/>
              <w:ind w:firstLine="0"/>
              <w:jc w:val="right"/>
              <w:rPr>
                <w:rFonts w:ascii="Arial" w:hAnsi="Arial" w:cs="Arial"/>
                <w:sz w:val="18"/>
                <w:szCs w:val="18"/>
                <w:lang w:val="es-ES" w:eastAsia="es-ES"/>
              </w:rPr>
            </w:pPr>
            <w:r w:rsidRPr="00950882">
              <w:rPr>
                <w:rFonts w:ascii="Arial" w:hAnsi="Arial" w:cs="Arial"/>
                <w:sz w:val="18"/>
                <w:szCs w:val="18"/>
                <w:lang w:val="es-ES" w:eastAsia="es-ES"/>
              </w:rPr>
              <w:t>2020</w:t>
            </w:r>
          </w:p>
        </w:tc>
        <w:tc>
          <w:tcPr>
            <w:tcW w:w="850" w:type="dxa"/>
            <w:tcBorders>
              <w:top w:val="single" w:sz="4" w:space="0" w:color="auto"/>
              <w:left w:val="nil"/>
              <w:bottom w:val="single" w:sz="4" w:space="0" w:color="auto"/>
              <w:right w:val="nil"/>
            </w:tcBorders>
            <w:shd w:val="clear" w:color="000000" w:fill="F4B084"/>
            <w:noWrap/>
            <w:vAlign w:val="center"/>
            <w:hideMark/>
          </w:tcPr>
          <w:p w14:paraId="0CA925F5" w14:textId="77777777" w:rsidR="00807992" w:rsidRPr="00950882" w:rsidRDefault="00807992" w:rsidP="00807992">
            <w:pPr>
              <w:spacing w:after="0"/>
              <w:ind w:firstLine="0"/>
              <w:jc w:val="right"/>
              <w:rPr>
                <w:rFonts w:ascii="Arial" w:hAnsi="Arial" w:cs="Arial"/>
                <w:sz w:val="18"/>
                <w:szCs w:val="18"/>
                <w:lang w:val="es-ES" w:eastAsia="es-ES"/>
              </w:rPr>
            </w:pPr>
            <w:r w:rsidRPr="00950882">
              <w:rPr>
                <w:rFonts w:ascii="Arial" w:hAnsi="Arial" w:cs="Arial"/>
                <w:sz w:val="18"/>
                <w:szCs w:val="18"/>
                <w:lang w:val="es-ES" w:eastAsia="es-ES"/>
              </w:rPr>
              <w:t>2021</w:t>
            </w:r>
          </w:p>
        </w:tc>
        <w:tc>
          <w:tcPr>
            <w:tcW w:w="1276" w:type="dxa"/>
            <w:tcBorders>
              <w:top w:val="single" w:sz="4" w:space="0" w:color="auto"/>
              <w:left w:val="nil"/>
              <w:bottom w:val="single" w:sz="4" w:space="0" w:color="auto"/>
              <w:right w:val="nil"/>
            </w:tcBorders>
            <w:shd w:val="clear" w:color="000000" w:fill="F4B084"/>
            <w:vAlign w:val="center"/>
          </w:tcPr>
          <w:p w14:paraId="5021D915" w14:textId="77777777" w:rsidR="00807992" w:rsidRPr="00950882" w:rsidRDefault="00807992" w:rsidP="00807992">
            <w:pPr>
              <w:spacing w:after="0"/>
              <w:ind w:firstLine="0"/>
              <w:jc w:val="right"/>
              <w:rPr>
                <w:rFonts w:ascii="Arial" w:hAnsi="Arial" w:cs="Arial"/>
                <w:sz w:val="18"/>
                <w:szCs w:val="18"/>
                <w:lang w:val="es-ES" w:eastAsia="es-ES"/>
              </w:rPr>
            </w:pPr>
            <w:r w:rsidRPr="00950882">
              <w:rPr>
                <w:rFonts w:ascii="Arial" w:hAnsi="Arial" w:cs="Arial"/>
                <w:sz w:val="18"/>
                <w:szCs w:val="18"/>
                <w:lang w:val="es-ES" w:eastAsia="es-ES"/>
              </w:rPr>
              <w:t>Diferencia</w:t>
            </w:r>
          </w:p>
        </w:tc>
      </w:tr>
      <w:tr w:rsidR="00807992" w:rsidRPr="00950882" w14:paraId="29C46251" w14:textId="77777777" w:rsidTr="00995A09">
        <w:trPr>
          <w:trHeight w:val="198"/>
        </w:trPr>
        <w:tc>
          <w:tcPr>
            <w:tcW w:w="5670" w:type="dxa"/>
            <w:tcBorders>
              <w:top w:val="single" w:sz="4" w:space="0" w:color="auto"/>
              <w:left w:val="nil"/>
              <w:bottom w:val="single" w:sz="4" w:space="0" w:color="auto"/>
              <w:right w:val="nil"/>
            </w:tcBorders>
            <w:shd w:val="clear" w:color="auto" w:fill="auto"/>
            <w:noWrap/>
            <w:vAlign w:val="center"/>
            <w:hideMark/>
          </w:tcPr>
          <w:p w14:paraId="1E6B72F3" w14:textId="77777777" w:rsidR="00807992" w:rsidRPr="00950882" w:rsidRDefault="00807992" w:rsidP="00807992">
            <w:pPr>
              <w:spacing w:after="0"/>
              <w:ind w:firstLine="0"/>
              <w:jc w:val="left"/>
              <w:rPr>
                <w:rFonts w:ascii="Arial Narrow" w:hAnsi="Arial Narrow" w:cs="Calibri"/>
                <w:lang w:val="es-ES" w:eastAsia="es-ES"/>
              </w:rPr>
            </w:pPr>
            <w:r w:rsidRPr="00950882">
              <w:rPr>
                <w:rFonts w:ascii="Arial Narrow" w:hAnsi="Arial Narrow" w:cs="Calibri"/>
                <w:lang w:val="es-ES" w:eastAsia="es-ES"/>
              </w:rPr>
              <w:t>Personal eventual</w:t>
            </w:r>
          </w:p>
        </w:tc>
        <w:tc>
          <w:tcPr>
            <w:tcW w:w="993" w:type="dxa"/>
            <w:tcBorders>
              <w:top w:val="single" w:sz="4" w:space="0" w:color="auto"/>
              <w:left w:val="nil"/>
              <w:bottom w:val="single" w:sz="4" w:space="0" w:color="auto"/>
              <w:right w:val="nil"/>
            </w:tcBorders>
            <w:vAlign w:val="center"/>
          </w:tcPr>
          <w:p w14:paraId="1B259684" w14:textId="77777777" w:rsidR="00807992" w:rsidRPr="00950882" w:rsidRDefault="00807992" w:rsidP="00807992">
            <w:pPr>
              <w:spacing w:after="0"/>
              <w:ind w:firstLine="0"/>
              <w:jc w:val="right"/>
              <w:rPr>
                <w:rFonts w:ascii="Arial Narrow" w:hAnsi="Arial Narrow" w:cs="Calibri"/>
                <w:lang w:val="es-ES" w:eastAsia="es-ES"/>
              </w:rPr>
            </w:pPr>
            <w:r w:rsidRPr="00950882">
              <w:rPr>
                <w:rFonts w:ascii="Arial Narrow" w:hAnsi="Arial Narrow" w:cs="Calibri"/>
                <w:lang w:val="es-ES" w:eastAsia="es-ES"/>
              </w:rPr>
              <w:t>43</w:t>
            </w:r>
          </w:p>
        </w:tc>
        <w:tc>
          <w:tcPr>
            <w:tcW w:w="850" w:type="dxa"/>
            <w:tcBorders>
              <w:top w:val="single" w:sz="4" w:space="0" w:color="auto"/>
              <w:left w:val="nil"/>
              <w:bottom w:val="single" w:sz="4" w:space="0" w:color="auto"/>
              <w:right w:val="nil"/>
            </w:tcBorders>
            <w:shd w:val="clear" w:color="auto" w:fill="auto"/>
            <w:noWrap/>
            <w:vAlign w:val="center"/>
          </w:tcPr>
          <w:p w14:paraId="0C0C0F50" w14:textId="77777777" w:rsidR="00807992" w:rsidRPr="00950882" w:rsidRDefault="009C0A0F" w:rsidP="00807992">
            <w:pPr>
              <w:spacing w:after="0"/>
              <w:ind w:firstLine="0"/>
              <w:jc w:val="right"/>
              <w:rPr>
                <w:rFonts w:ascii="Arial Narrow" w:hAnsi="Arial Narrow" w:cs="Calibri"/>
                <w:lang w:val="es-ES" w:eastAsia="es-ES"/>
              </w:rPr>
            </w:pPr>
            <w:r>
              <w:rPr>
                <w:rFonts w:ascii="Arial Narrow" w:hAnsi="Arial Narrow" w:cs="Calibri"/>
                <w:lang w:val="es-ES" w:eastAsia="es-ES"/>
              </w:rPr>
              <w:t>42</w:t>
            </w:r>
          </w:p>
        </w:tc>
        <w:tc>
          <w:tcPr>
            <w:tcW w:w="1276" w:type="dxa"/>
            <w:tcBorders>
              <w:top w:val="single" w:sz="4" w:space="0" w:color="auto"/>
              <w:left w:val="nil"/>
              <w:bottom w:val="single" w:sz="4" w:space="0" w:color="auto"/>
              <w:right w:val="nil"/>
            </w:tcBorders>
            <w:vAlign w:val="center"/>
          </w:tcPr>
          <w:p w14:paraId="45B41CDF" w14:textId="77777777" w:rsidR="00807992" w:rsidRPr="00950882" w:rsidRDefault="009C0A0F" w:rsidP="00807992">
            <w:pPr>
              <w:spacing w:after="0"/>
              <w:ind w:firstLine="0"/>
              <w:jc w:val="right"/>
              <w:rPr>
                <w:rFonts w:ascii="Arial Narrow" w:hAnsi="Arial Narrow" w:cs="Calibri"/>
                <w:lang w:val="es-ES" w:eastAsia="es-ES"/>
              </w:rPr>
            </w:pPr>
            <w:r>
              <w:rPr>
                <w:rFonts w:ascii="Arial Narrow" w:hAnsi="Arial Narrow" w:cs="Calibri"/>
                <w:lang w:val="es-ES" w:eastAsia="es-ES"/>
              </w:rPr>
              <w:t>-1</w:t>
            </w:r>
          </w:p>
        </w:tc>
      </w:tr>
      <w:tr w:rsidR="00807992" w:rsidRPr="00950882" w14:paraId="6A0C3CDD" w14:textId="77777777" w:rsidTr="00995A09">
        <w:trPr>
          <w:trHeight w:val="198"/>
        </w:trPr>
        <w:tc>
          <w:tcPr>
            <w:tcW w:w="5670" w:type="dxa"/>
            <w:tcBorders>
              <w:top w:val="single" w:sz="4" w:space="0" w:color="auto"/>
              <w:left w:val="nil"/>
              <w:bottom w:val="single" w:sz="2" w:space="0" w:color="auto"/>
              <w:right w:val="nil"/>
            </w:tcBorders>
            <w:shd w:val="clear" w:color="auto" w:fill="auto"/>
            <w:noWrap/>
            <w:vAlign w:val="center"/>
            <w:hideMark/>
          </w:tcPr>
          <w:p w14:paraId="6DFC85F4" w14:textId="77777777" w:rsidR="00807992" w:rsidRPr="00950882" w:rsidRDefault="00807992" w:rsidP="00807992">
            <w:pPr>
              <w:spacing w:after="0"/>
              <w:ind w:firstLine="0"/>
              <w:jc w:val="left"/>
              <w:rPr>
                <w:rFonts w:ascii="Arial Narrow" w:hAnsi="Arial Narrow" w:cs="Calibri"/>
                <w:lang w:val="es-ES" w:eastAsia="es-ES"/>
              </w:rPr>
            </w:pPr>
            <w:r w:rsidRPr="00950882">
              <w:rPr>
                <w:rFonts w:ascii="Arial Narrow" w:hAnsi="Arial Narrow" w:cs="Calibri"/>
                <w:lang w:val="es-ES" w:eastAsia="es-ES"/>
              </w:rPr>
              <w:t>Personal funcionario</w:t>
            </w:r>
          </w:p>
        </w:tc>
        <w:tc>
          <w:tcPr>
            <w:tcW w:w="993" w:type="dxa"/>
            <w:tcBorders>
              <w:top w:val="single" w:sz="4" w:space="0" w:color="auto"/>
              <w:left w:val="nil"/>
              <w:bottom w:val="single" w:sz="2" w:space="0" w:color="auto"/>
              <w:right w:val="nil"/>
            </w:tcBorders>
            <w:vAlign w:val="center"/>
          </w:tcPr>
          <w:p w14:paraId="0BABDB41" w14:textId="77777777" w:rsidR="00807992" w:rsidRPr="00950882" w:rsidRDefault="00807992" w:rsidP="00807992">
            <w:pPr>
              <w:spacing w:after="0"/>
              <w:ind w:firstLine="0"/>
              <w:jc w:val="right"/>
              <w:rPr>
                <w:rFonts w:ascii="Arial Narrow" w:hAnsi="Arial Narrow" w:cs="Calibri"/>
                <w:lang w:val="es-ES" w:eastAsia="es-ES"/>
              </w:rPr>
            </w:pPr>
            <w:r w:rsidRPr="00950882">
              <w:rPr>
                <w:rFonts w:ascii="Arial Narrow" w:hAnsi="Arial Narrow" w:cs="Calibri"/>
                <w:lang w:val="es-ES" w:eastAsia="es-ES"/>
              </w:rPr>
              <w:t>1.346</w:t>
            </w:r>
          </w:p>
        </w:tc>
        <w:tc>
          <w:tcPr>
            <w:tcW w:w="850" w:type="dxa"/>
            <w:tcBorders>
              <w:top w:val="single" w:sz="4" w:space="0" w:color="auto"/>
              <w:left w:val="nil"/>
              <w:bottom w:val="single" w:sz="2" w:space="0" w:color="auto"/>
              <w:right w:val="nil"/>
            </w:tcBorders>
            <w:shd w:val="clear" w:color="auto" w:fill="auto"/>
            <w:noWrap/>
            <w:vAlign w:val="center"/>
          </w:tcPr>
          <w:p w14:paraId="5B06F898" w14:textId="77777777" w:rsidR="00807992" w:rsidRPr="00950882" w:rsidRDefault="009C0A0F" w:rsidP="00807992">
            <w:pPr>
              <w:spacing w:after="0"/>
              <w:ind w:firstLine="0"/>
              <w:jc w:val="right"/>
              <w:rPr>
                <w:rFonts w:ascii="Arial Narrow" w:hAnsi="Arial Narrow" w:cs="Calibri"/>
                <w:lang w:val="es-ES" w:eastAsia="es-ES"/>
              </w:rPr>
            </w:pPr>
            <w:r>
              <w:rPr>
                <w:rFonts w:ascii="Arial Narrow" w:hAnsi="Arial Narrow" w:cs="Calibri"/>
                <w:lang w:val="es-ES" w:eastAsia="es-ES"/>
              </w:rPr>
              <w:t>1.366</w:t>
            </w:r>
          </w:p>
        </w:tc>
        <w:tc>
          <w:tcPr>
            <w:tcW w:w="1276" w:type="dxa"/>
            <w:tcBorders>
              <w:top w:val="single" w:sz="4" w:space="0" w:color="auto"/>
              <w:left w:val="nil"/>
              <w:bottom w:val="single" w:sz="2" w:space="0" w:color="auto"/>
              <w:right w:val="nil"/>
            </w:tcBorders>
            <w:vAlign w:val="center"/>
          </w:tcPr>
          <w:p w14:paraId="357BD0F6" w14:textId="77777777" w:rsidR="00807992" w:rsidRPr="00950882" w:rsidRDefault="009C0A0F" w:rsidP="00807992">
            <w:pPr>
              <w:spacing w:after="0"/>
              <w:ind w:firstLine="0"/>
              <w:jc w:val="right"/>
              <w:rPr>
                <w:rFonts w:ascii="Arial Narrow" w:hAnsi="Arial Narrow" w:cs="Calibri"/>
                <w:lang w:val="es-ES" w:eastAsia="es-ES"/>
              </w:rPr>
            </w:pPr>
            <w:r>
              <w:rPr>
                <w:rFonts w:ascii="Arial Narrow" w:hAnsi="Arial Narrow" w:cs="Calibri"/>
                <w:lang w:val="es-ES" w:eastAsia="es-ES"/>
              </w:rPr>
              <w:t>20</w:t>
            </w:r>
          </w:p>
        </w:tc>
      </w:tr>
      <w:tr w:rsidR="00807992" w:rsidRPr="00950882" w14:paraId="513125DF" w14:textId="77777777" w:rsidTr="00995A09">
        <w:trPr>
          <w:trHeight w:val="198"/>
        </w:trPr>
        <w:tc>
          <w:tcPr>
            <w:tcW w:w="5670" w:type="dxa"/>
            <w:tcBorders>
              <w:top w:val="single" w:sz="2" w:space="0" w:color="auto"/>
              <w:left w:val="nil"/>
              <w:bottom w:val="single" w:sz="4" w:space="0" w:color="auto"/>
              <w:right w:val="nil"/>
            </w:tcBorders>
            <w:shd w:val="clear" w:color="auto" w:fill="auto"/>
            <w:noWrap/>
            <w:vAlign w:val="center"/>
            <w:hideMark/>
          </w:tcPr>
          <w:p w14:paraId="7287DFC5" w14:textId="77777777" w:rsidR="00807992" w:rsidRPr="00950882" w:rsidRDefault="00807992" w:rsidP="00807992">
            <w:pPr>
              <w:spacing w:after="0"/>
              <w:ind w:firstLine="0"/>
              <w:jc w:val="left"/>
              <w:rPr>
                <w:rFonts w:ascii="Arial Narrow" w:hAnsi="Arial Narrow" w:cs="Calibri"/>
                <w:lang w:val="es-ES" w:eastAsia="es-ES"/>
              </w:rPr>
            </w:pPr>
            <w:r w:rsidRPr="00950882">
              <w:rPr>
                <w:rFonts w:ascii="Arial Narrow" w:hAnsi="Arial Narrow" w:cs="Calibri"/>
                <w:lang w:val="es-ES" w:eastAsia="es-ES"/>
              </w:rPr>
              <w:t>Personal laboral</w:t>
            </w:r>
          </w:p>
        </w:tc>
        <w:tc>
          <w:tcPr>
            <w:tcW w:w="993" w:type="dxa"/>
            <w:tcBorders>
              <w:top w:val="single" w:sz="2" w:space="0" w:color="auto"/>
              <w:left w:val="nil"/>
              <w:bottom w:val="single" w:sz="4" w:space="0" w:color="auto"/>
              <w:right w:val="nil"/>
            </w:tcBorders>
            <w:vAlign w:val="center"/>
          </w:tcPr>
          <w:p w14:paraId="61A08193" w14:textId="77777777" w:rsidR="00807992" w:rsidRPr="00950882" w:rsidRDefault="00807992" w:rsidP="00807992">
            <w:pPr>
              <w:spacing w:after="0"/>
              <w:ind w:firstLine="0"/>
              <w:jc w:val="right"/>
              <w:rPr>
                <w:rFonts w:ascii="Arial Narrow" w:hAnsi="Arial Narrow" w:cs="Calibri"/>
                <w:lang w:val="es-ES" w:eastAsia="es-ES"/>
              </w:rPr>
            </w:pPr>
            <w:r w:rsidRPr="00950882">
              <w:rPr>
                <w:rFonts w:ascii="Arial Narrow" w:hAnsi="Arial Narrow" w:cs="Calibri"/>
                <w:lang w:val="es-ES" w:eastAsia="es-ES"/>
              </w:rPr>
              <w:t>236</w:t>
            </w:r>
          </w:p>
        </w:tc>
        <w:tc>
          <w:tcPr>
            <w:tcW w:w="850" w:type="dxa"/>
            <w:tcBorders>
              <w:top w:val="single" w:sz="2" w:space="0" w:color="auto"/>
              <w:left w:val="nil"/>
              <w:bottom w:val="single" w:sz="4" w:space="0" w:color="auto"/>
              <w:right w:val="nil"/>
            </w:tcBorders>
            <w:shd w:val="clear" w:color="auto" w:fill="auto"/>
            <w:noWrap/>
            <w:vAlign w:val="center"/>
          </w:tcPr>
          <w:p w14:paraId="6597CBBA" w14:textId="77777777" w:rsidR="00807992" w:rsidRPr="00950882" w:rsidRDefault="009C0A0F" w:rsidP="00807992">
            <w:pPr>
              <w:spacing w:after="0"/>
              <w:ind w:firstLine="0"/>
              <w:jc w:val="right"/>
              <w:rPr>
                <w:rFonts w:ascii="Arial Narrow" w:hAnsi="Arial Narrow" w:cs="Calibri"/>
                <w:lang w:val="es-ES" w:eastAsia="es-ES"/>
              </w:rPr>
            </w:pPr>
            <w:r>
              <w:rPr>
                <w:rFonts w:ascii="Arial Narrow" w:hAnsi="Arial Narrow" w:cs="Calibri"/>
                <w:lang w:val="es-ES" w:eastAsia="es-ES"/>
              </w:rPr>
              <w:t>42</w:t>
            </w:r>
          </w:p>
        </w:tc>
        <w:tc>
          <w:tcPr>
            <w:tcW w:w="1276" w:type="dxa"/>
            <w:tcBorders>
              <w:top w:val="single" w:sz="2" w:space="0" w:color="auto"/>
              <w:left w:val="nil"/>
              <w:bottom w:val="single" w:sz="4" w:space="0" w:color="auto"/>
              <w:right w:val="nil"/>
            </w:tcBorders>
            <w:vAlign w:val="center"/>
          </w:tcPr>
          <w:p w14:paraId="0B6F8AEC" w14:textId="77777777" w:rsidR="00807992" w:rsidRPr="00950882" w:rsidRDefault="009C0A0F" w:rsidP="00807992">
            <w:pPr>
              <w:spacing w:after="0"/>
              <w:ind w:firstLine="0"/>
              <w:jc w:val="right"/>
              <w:rPr>
                <w:rFonts w:ascii="Arial Narrow" w:hAnsi="Arial Narrow" w:cs="Calibri"/>
                <w:lang w:val="es-ES" w:eastAsia="es-ES"/>
              </w:rPr>
            </w:pPr>
            <w:r w:rsidRPr="001508F6">
              <w:rPr>
                <w:rFonts w:ascii="Arial Narrow" w:hAnsi="Arial Narrow" w:cs="Calibri"/>
                <w:lang w:val="es-ES" w:eastAsia="es-ES"/>
              </w:rPr>
              <w:t>-194</w:t>
            </w:r>
          </w:p>
        </w:tc>
      </w:tr>
      <w:tr w:rsidR="00807992" w:rsidRPr="00950882" w14:paraId="57234064" w14:textId="77777777" w:rsidTr="00995A09">
        <w:trPr>
          <w:trHeight w:val="255"/>
        </w:trPr>
        <w:tc>
          <w:tcPr>
            <w:tcW w:w="5670" w:type="dxa"/>
            <w:tcBorders>
              <w:top w:val="single" w:sz="4" w:space="0" w:color="auto"/>
              <w:left w:val="nil"/>
              <w:bottom w:val="single" w:sz="4" w:space="0" w:color="auto"/>
              <w:right w:val="nil"/>
            </w:tcBorders>
            <w:shd w:val="clear" w:color="000000" w:fill="F4B084"/>
            <w:noWrap/>
            <w:vAlign w:val="center"/>
            <w:hideMark/>
          </w:tcPr>
          <w:p w14:paraId="6586C74F" w14:textId="77777777" w:rsidR="00807992" w:rsidRPr="00950882" w:rsidRDefault="00807992" w:rsidP="00807992">
            <w:pPr>
              <w:spacing w:after="0"/>
              <w:ind w:firstLine="0"/>
              <w:jc w:val="left"/>
              <w:rPr>
                <w:rFonts w:ascii="Arial" w:hAnsi="Arial" w:cs="Arial"/>
                <w:sz w:val="18"/>
                <w:szCs w:val="18"/>
                <w:lang w:val="es-ES" w:eastAsia="es-ES"/>
              </w:rPr>
            </w:pPr>
            <w:r w:rsidRPr="00950882">
              <w:rPr>
                <w:rFonts w:ascii="Arial" w:hAnsi="Arial" w:cs="Arial"/>
                <w:sz w:val="18"/>
                <w:szCs w:val="18"/>
                <w:lang w:val="es-ES" w:eastAsia="es-ES"/>
              </w:rPr>
              <w:t xml:space="preserve">Total </w:t>
            </w:r>
          </w:p>
        </w:tc>
        <w:tc>
          <w:tcPr>
            <w:tcW w:w="993" w:type="dxa"/>
            <w:tcBorders>
              <w:top w:val="single" w:sz="4" w:space="0" w:color="auto"/>
              <w:left w:val="nil"/>
              <w:bottom w:val="single" w:sz="4" w:space="0" w:color="auto"/>
              <w:right w:val="nil"/>
            </w:tcBorders>
            <w:shd w:val="clear" w:color="000000" w:fill="F4B084"/>
            <w:vAlign w:val="center"/>
          </w:tcPr>
          <w:p w14:paraId="7E98FFBB" w14:textId="77777777" w:rsidR="00807992" w:rsidRPr="00950882" w:rsidRDefault="00807992" w:rsidP="00807992">
            <w:pPr>
              <w:spacing w:after="0"/>
              <w:ind w:firstLine="0"/>
              <w:jc w:val="right"/>
              <w:rPr>
                <w:rFonts w:ascii="Arial" w:hAnsi="Arial" w:cs="Arial"/>
                <w:sz w:val="18"/>
                <w:szCs w:val="18"/>
                <w:lang w:val="es-ES" w:eastAsia="es-ES"/>
              </w:rPr>
            </w:pPr>
            <w:r w:rsidRPr="00950882">
              <w:rPr>
                <w:rFonts w:ascii="Arial" w:hAnsi="Arial" w:cs="Arial"/>
                <w:sz w:val="18"/>
                <w:szCs w:val="18"/>
                <w:lang w:val="es-ES" w:eastAsia="es-ES"/>
              </w:rPr>
              <w:t>1.625</w:t>
            </w:r>
          </w:p>
        </w:tc>
        <w:tc>
          <w:tcPr>
            <w:tcW w:w="850" w:type="dxa"/>
            <w:tcBorders>
              <w:top w:val="single" w:sz="4" w:space="0" w:color="auto"/>
              <w:left w:val="nil"/>
              <w:bottom w:val="single" w:sz="4" w:space="0" w:color="auto"/>
              <w:right w:val="nil"/>
            </w:tcBorders>
            <w:shd w:val="clear" w:color="000000" w:fill="F4B084"/>
            <w:noWrap/>
            <w:vAlign w:val="center"/>
          </w:tcPr>
          <w:p w14:paraId="4E97A790" w14:textId="77777777" w:rsidR="00807992" w:rsidRPr="00950882" w:rsidRDefault="009C0A0F" w:rsidP="00807992">
            <w:pPr>
              <w:spacing w:after="0"/>
              <w:ind w:firstLine="0"/>
              <w:jc w:val="right"/>
              <w:rPr>
                <w:rFonts w:ascii="Arial" w:hAnsi="Arial" w:cs="Arial"/>
                <w:sz w:val="18"/>
                <w:szCs w:val="18"/>
                <w:lang w:val="es-ES" w:eastAsia="es-ES"/>
              </w:rPr>
            </w:pPr>
            <w:r>
              <w:rPr>
                <w:rFonts w:ascii="Arial" w:hAnsi="Arial" w:cs="Arial"/>
                <w:sz w:val="18"/>
                <w:szCs w:val="18"/>
                <w:lang w:val="es-ES" w:eastAsia="es-ES"/>
              </w:rPr>
              <w:t>1.450</w:t>
            </w:r>
          </w:p>
        </w:tc>
        <w:tc>
          <w:tcPr>
            <w:tcW w:w="1276" w:type="dxa"/>
            <w:tcBorders>
              <w:top w:val="single" w:sz="4" w:space="0" w:color="auto"/>
              <w:left w:val="nil"/>
              <w:bottom w:val="single" w:sz="4" w:space="0" w:color="auto"/>
              <w:right w:val="nil"/>
            </w:tcBorders>
            <w:shd w:val="clear" w:color="000000" w:fill="F4B084"/>
            <w:vAlign w:val="center"/>
          </w:tcPr>
          <w:p w14:paraId="2B041841" w14:textId="77777777" w:rsidR="00807992" w:rsidRPr="00950882" w:rsidRDefault="00152EBD" w:rsidP="00807992">
            <w:pPr>
              <w:spacing w:after="0"/>
              <w:ind w:firstLine="0"/>
              <w:jc w:val="right"/>
              <w:rPr>
                <w:rFonts w:ascii="Arial" w:hAnsi="Arial" w:cs="Arial"/>
                <w:sz w:val="18"/>
                <w:szCs w:val="18"/>
                <w:lang w:val="es-ES" w:eastAsia="es-ES"/>
              </w:rPr>
            </w:pPr>
            <w:r>
              <w:rPr>
                <w:rFonts w:ascii="Arial" w:hAnsi="Arial" w:cs="Arial"/>
                <w:sz w:val="18"/>
                <w:szCs w:val="18"/>
                <w:lang w:val="es-ES" w:eastAsia="es-ES"/>
              </w:rPr>
              <w:t>-175</w:t>
            </w:r>
          </w:p>
        </w:tc>
      </w:tr>
    </w:tbl>
    <w:p w14:paraId="7E6A20CE" w14:textId="77777777" w:rsidR="00807992" w:rsidRPr="009C0A0F" w:rsidRDefault="00807992" w:rsidP="00807992">
      <w:pPr>
        <w:pStyle w:val="Prrafodelista"/>
        <w:numPr>
          <w:ilvl w:val="0"/>
          <w:numId w:val="10"/>
        </w:numPr>
        <w:tabs>
          <w:tab w:val="center" w:pos="2835"/>
          <w:tab w:val="center" w:pos="3969"/>
          <w:tab w:val="center" w:pos="5103"/>
          <w:tab w:val="center" w:pos="6237"/>
          <w:tab w:val="center" w:pos="7371"/>
        </w:tabs>
        <w:spacing w:before="240" w:after="200"/>
        <w:rPr>
          <w:spacing w:val="6"/>
          <w:sz w:val="26"/>
          <w:szCs w:val="24"/>
          <w:lang w:val="es-ES"/>
        </w:rPr>
      </w:pPr>
      <w:r w:rsidRPr="009C0A0F">
        <w:rPr>
          <w:spacing w:val="6"/>
          <w:sz w:val="26"/>
          <w:szCs w:val="24"/>
          <w:lang w:val="es-ES"/>
        </w:rPr>
        <w:t xml:space="preserve">De los 1.450 puestos de plantilla, el </w:t>
      </w:r>
      <w:r w:rsidR="009C0A0F" w:rsidRPr="009C0A0F">
        <w:rPr>
          <w:spacing w:val="6"/>
          <w:sz w:val="26"/>
          <w:szCs w:val="24"/>
          <w:lang w:val="es-ES"/>
        </w:rPr>
        <w:t xml:space="preserve">94 </w:t>
      </w:r>
      <w:r w:rsidRPr="009C0A0F">
        <w:rPr>
          <w:spacing w:val="6"/>
          <w:sz w:val="26"/>
          <w:szCs w:val="24"/>
          <w:lang w:val="es-ES"/>
        </w:rPr>
        <w:t xml:space="preserve">por ciento son de régimen funcionarial, un </w:t>
      </w:r>
      <w:r w:rsidR="009C0A0F" w:rsidRPr="009C0A0F">
        <w:rPr>
          <w:spacing w:val="6"/>
          <w:sz w:val="26"/>
          <w:szCs w:val="24"/>
          <w:lang w:val="es-ES"/>
        </w:rPr>
        <w:t xml:space="preserve">tres </w:t>
      </w:r>
      <w:r w:rsidRPr="009C0A0F">
        <w:rPr>
          <w:spacing w:val="6"/>
          <w:sz w:val="26"/>
          <w:szCs w:val="24"/>
          <w:lang w:val="es-ES"/>
        </w:rPr>
        <w:t xml:space="preserve">por ciento de régimen laboral y el restante </w:t>
      </w:r>
      <w:r w:rsidR="009C0A0F" w:rsidRPr="009C0A0F">
        <w:rPr>
          <w:spacing w:val="6"/>
          <w:sz w:val="26"/>
          <w:szCs w:val="24"/>
          <w:lang w:val="es-ES"/>
        </w:rPr>
        <w:t xml:space="preserve">tres </w:t>
      </w:r>
      <w:r w:rsidRPr="009C0A0F">
        <w:rPr>
          <w:spacing w:val="6"/>
          <w:sz w:val="26"/>
          <w:szCs w:val="24"/>
          <w:lang w:val="es-ES"/>
        </w:rPr>
        <w:t xml:space="preserve">por ciento es personal eventual. </w:t>
      </w:r>
    </w:p>
    <w:p w14:paraId="48796EEE" w14:textId="77777777" w:rsidR="00284524" w:rsidRDefault="00807992" w:rsidP="00807992">
      <w:pPr>
        <w:pStyle w:val="Prrafodelista"/>
        <w:numPr>
          <w:ilvl w:val="0"/>
          <w:numId w:val="10"/>
        </w:numPr>
        <w:tabs>
          <w:tab w:val="center" w:pos="2835"/>
          <w:tab w:val="center" w:pos="3969"/>
          <w:tab w:val="center" w:pos="5103"/>
          <w:tab w:val="center" w:pos="6237"/>
          <w:tab w:val="center" w:pos="7371"/>
        </w:tabs>
        <w:spacing w:before="240" w:after="200"/>
        <w:rPr>
          <w:spacing w:val="6"/>
          <w:sz w:val="26"/>
          <w:szCs w:val="24"/>
          <w:lang w:val="es-ES"/>
        </w:rPr>
      </w:pPr>
      <w:r w:rsidRPr="00284524">
        <w:rPr>
          <w:spacing w:val="6"/>
          <w:sz w:val="26"/>
          <w:szCs w:val="24"/>
          <w:lang w:val="es-ES"/>
        </w:rPr>
        <w:t xml:space="preserve">Las diferencias </w:t>
      </w:r>
      <w:r w:rsidR="00CF62A2">
        <w:rPr>
          <w:spacing w:val="6"/>
          <w:sz w:val="26"/>
          <w:szCs w:val="24"/>
          <w:lang w:val="es-ES"/>
        </w:rPr>
        <w:t>en relación con el</w:t>
      </w:r>
      <w:r w:rsidR="009C0A0F" w:rsidRPr="00284524">
        <w:rPr>
          <w:spacing w:val="6"/>
          <w:sz w:val="26"/>
          <w:szCs w:val="24"/>
          <w:lang w:val="es-ES"/>
        </w:rPr>
        <w:t xml:space="preserve"> personal funcionario </w:t>
      </w:r>
      <w:r w:rsidRPr="00284524">
        <w:rPr>
          <w:spacing w:val="6"/>
          <w:sz w:val="26"/>
          <w:szCs w:val="24"/>
          <w:lang w:val="es-ES"/>
        </w:rPr>
        <w:t xml:space="preserve">están motivadas principalmente </w:t>
      </w:r>
      <w:r w:rsidR="009C0A0F" w:rsidRPr="00284524">
        <w:rPr>
          <w:spacing w:val="6"/>
          <w:sz w:val="26"/>
          <w:szCs w:val="24"/>
          <w:lang w:val="es-ES"/>
        </w:rPr>
        <w:t xml:space="preserve">por el cambio en la forma de gestión del servicio de prevención de situaciones de desprotección y conflicto social en el programa de atención a la </w:t>
      </w:r>
      <w:r w:rsidR="009C0A0F" w:rsidRPr="001508F6">
        <w:rPr>
          <w:spacing w:val="6"/>
          <w:sz w:val="26"/>
          <w:szCs w:val="24"/>
          <w:lang w:val="es-ES"/>
        </w:rPr>
        <w:t>infancia y familia, por la que se crearon</w:t>
      </w:r>
      <w:r w:rsidR="00152EBD" w:rsidRPr="001508F6">
        <w:rPr>
          <w:spacing w:val="6"/>
          <w:sz w:val="26"/>
          <w:szCs w:val="24"/>
          <w:lang w:val="es-ES"/>
        </w:rPr>
        <w:t xml:space="preserve"> 16</w:t>
      </w:r>
      <w:r w:rsidR="00284524" w:rsidRPr="001508F6">
        <w:rPr>
          <w:spacing w:val="6"/>
          <w:sz w:val="26"/>
          <w:szCs w:val="24"/>
          <w:lang w:val="es-ES"/>
        </w:rPr>
        <w:t xml:space="preserve"> puestos de funcionario. La variación </w:t>
      </w:r>
      <w:r w:rsidR="00284524">
        <w:rPr>
          <w:spacing w:val="6"/>
          <w:sz w:val="26"/>
          <w:szCs w:val="24"/>
          <w:lang w:val="es-ES"/>
        </w:rPr>
        <w:t xml:space="preserve">del personal laboral se refiere </w:t>
      </w:r>
      <w:r w:rsidR="001508F6">
        <w:rPr>
          <w:spacing w:val="6"/>
          <w:sz w:val="26"/>
          <w:szCs w:val="24"/>
          <w:lang w:val="es-ES"/>
        </w:rPr>
        <w:t xml:space="preserve">principalmente </w:t>
      </w:r>
      <w:r w:rsidR="00284524">
        <w:rPr>
          <w:spacing w:val="6"/>
          <w:sz w:val="26"/>
          <w:szCs w:val="24"/>
          <w:lang w:val="es-ES"/>
        </w:rPr>
        <w:t xml:space="preserve">al </w:t>
      </w:r>
      <w:r w:rsidR="001508F6">
        <w:rPr>
          <w:spacing w:val="6"/>
          <w:sz w:val="26"/>
          <w:szCs w:val="24"/>
          <w:lang w:val="es-ES"/>
        </w:rPr>
        <w:t>cambio de forma de gestión del s</w:t>
      </w:r>
      <w:r w:rsidR="009C0A0F" w:rsidRPr="00284524">
        <w:rPr>
          <w:spacing w:val="6"/>
          <w:sz w:val="26"/>
          <w:szCs w:val="24"/>
          <w:lang w:val="es-ES"/>
        </w:rPr>
        <w:t xml:space="preserve">ervicio de </w:t>
      </w:r>
      <w:r w:rsidR="001508F6">
        <w:rPr>
          <w:spacing w:val="6"/>
          <w:sz w:val="26"/>
          <w:szCs w:val="24"/>
          <w:lang w:val="es-ES"/>
        </w:rPr>
        <w:t>atención a d</w:t>
      </w:r>
      <w:r w:rsidR="009C0A0F" w:rsidRPr="00284524">
        <w:rPr>
          <w:spacing w:val="6"/>
          <w:sz w:val="26"/>
          <w:szCs w:val="24"/>
          <w:lang w:val="es-ES"/>
        </w:rPr>
        <w:t xml:space="preserve">omicilio que hemos </w:t>
      </w:r>
      <w:r w:rsidR="00793E57">
        <w:rPr>
          <w:spacing w:val="6"/>
          <w:sz w:val="26"/>
          <w:szCs w:val="24"/>
          <w:lang w:val="es-ES"/>
        </w:rPr>
        <w:t xml:space="preserve">citado </w:t>
      </w:r>
      <w:r w:rsidR="00284524">
        <w:rPr>
          <w:spacing w:val="6"/>
          <w:sz w:val="26"/>
          <w:szCs w:val="24"/>
          <w:lang w:val="es-ES"/>
        </w:rPr>
        <w:t xml:space="preserve">anteriormente. </w:t>
      </w:r>
    </w:p>
    <w:p w14:paraId="75A1701B" w14:textId="77777777" w:rsidR="00807992" w:rsidRPr="00667DFF" w:rsidRDefault="00807992" w:rsidP="00807992">
      <w:pPr>
        <w:tabs>
          <w:tab w:val="num" w:pos="600"/>
          <w:tab w:val="num" w:pos="720"/>
          <w:tab w:val="num" w:pos="1320"/>
        </w:tabs>
        <w:spacing w:after="120"/>
        <w:ind w:left="142" w:firstLine="0"/>
        <w:rPr>
          <w:rFonts w:cs="Arial"/>
          <w:i/>
          <w:color w:val="000000" w:themeColor="text1"/>
          <w:spacing w:val="6"/>
          <w:sz w:val="26"/>
          <w:szCs w:val="24"/>
        </w:rPr>
      </w:pPr>
      <w:r w:rsidRPr="00667DFF">
        <w:rPr>
          <w:rFonts w:cs="Arial"/>
          <w:i/>
          <w:color w:val="000000" w:themeColor="text1"/>
          <w:spacing w:val="6"/>
          <w:sz w:val="26"/>
          <w:szCs w:val="24"/>
        </w:rPr>
        <w:t>Oferta pública de empleo y análisis tasa de reposición y estabilización</w:t>
      </w:r>
    </w:p>
    <w:p w14:paraId="4D56BF3B" w14:textId="77777777" w:rsidR="00807992" w:rsidRDefault="00807992" w:rsidP="00807992">
      <w:pPr>
        <w:tabs>
          <w:tab w:val="left" w:pos="480"/>
          <w:tab w:val="num" w:pos="720"/>
          <w:tab w:val="num" w:pos="1320"/>
          <w:tab w:val="num" w:pos="1948"/>
        </w:tabs>
        <w:spacing w:before="120" w:after="120"/>
        <w:ind w:firstLine="284"/>
        <w:rPr>
          <w:color w:val="000000" w:themeColor="text1"/>
          <w:spacing w:val="6"/>
          <w:sz w:val="26"/>
          <w:szCs w:val="26"/>
        </w:rPr>
      </w:pPr>
      <w:r w:rsidRPr="00667DFF">
        <w:rPr>
          <w:rFonts w:cs="Arial"/>
          <w:spacing w:val="4"/>
          <w:sz w:val="26"/>
          <w:szCs w:val="24"/>
        </w:rPr>
        <w:t xml:space="preserve">Hemos analizado la situación de la oferta pública de empleo (OPE en adelante) de </w:t>
      </w:r>
      <w:r>
        <w:rPr>
          <w:rFonts w:cs="Arial"/>
          <w:spacing w:val="4"/>
          <w:sz w:val="26"/>
          <w:szCs w:val="24"/>
        </w:rPr>
        <w:t>2021</w:t>
      </w:r>
      <w:r w:rsidR="00CF62A2">
        <w:rPr>
          <w:rFonts w:cs="Arial"/>
          <w:spacing w:val="4"/>
          <w:sz w:val="26"/>
          <w:szCs w:val="24"/>
        </w:rPr>
        <w:t xml:space="preserve"> en relación con</w:t>
      </w:r>
      <w:r w:rsidRPr="00667DFF">
        <w:rPr>
          <w:rFonts w:cs="Arial"/>
          <w:spacing w:val="4"/>
          <w:sz w:val="26"/>
          <w:szCs w:val="24"/>
        </w:rPr>
        <w:t xml:space="preserve"> las tasas de reposición y de estabilización de empleo. </w:t>
      </w:r>
      <w:r>
        <w:rPr>
          <w:rFonts w:cs="Arial"/>
          <w:spacing w:val="4"/>
          <w:sz w:val="26"/>
          <w:szCs w:val="24"/>
        </w:rPr>
        <w:t xml:space="preserve">La aprobación de la </w:t>
      </w:r>
      <w:r w:rsidRPr="00667DFF">
        <w:rPr>
          <w:color w:val="000000" w:themeColor="text1"/>
          <w:spacing w:val="6"/>
          <w:sz w:val="26"/>
          <w:szCs w:val="26"/>
        </w:rPr>
        <w:t xml:space="preserve">OPE para </w:t>
      </w:r>
      <w:r>
        <w:rPr>
          <w:color w:val="000000" w:themeColor="text1"/>
          <w:spacing w:val="6"/>
          <w:sz w:val="26"/>
          <w:szCs w:val="26"/>
        </w:rPr>
        <w:t>2021</w:t>
      </w:r>
      <w:r w:rsidRPr="00667DFF">
        <w:rPr>
          <w:color w:val="000000" w:themeColor="text1"/>
          <w:spacing w:val="6"/>
          <w:sz w:val="26"/>
          <w:szCs w:val="26"/>
        </w:rPr>
        <w:t xml:space="preserve">, </w:t>
      </w:r>
      <w:r>
        <w:rPr>
          <w:color w:val="000000" w:themeColor="text1"/>
          <w:spacing w:val="6"/>
          <w:sz w:val="26"/>
          <w:szCs w:val="26"/>
        </w:rPr>
        <w:t xml:space="preserve">se publicó </w:t>
      </w:r>
      <w:r w:rsidRPr="00667DFF">
        <w:rPr>
          <w:color w:val="000000" w:themeColor="text1"/>
          <w:spacing w:val="6"/>
          <w:sz w:val="26"/>
          <w:szCs w:val="26"/>
        </w:rPr>
        <w:t>en el BON con fecha</w:t>
      </w:r>
      <w:r>
        <w:rPr>
          <w:color w:val="000000" w:themeColor="text1"/>
          <w:spacing w:val="6"/>
          <w:sz w:val="26"/>
          <w:szCs w:val="26"/>
        </w:rPr>
        <w:t xml:space="preserve"> 30 de diciembre de 2021</w:t>
      </w:r>
      <w:r w:rsidRPr="00667DFF">
        <w:rPr>
          <w:color w:val="000000" w:themeColor="text1"/>
          <w:spacing w:val="6"/>
          <w:sz w:val="26"/>
          <w:szCs w:val="26"/>
        </w:rPr>
        <w:t>.</w:t>
      </w:r>
    </w:p>
    <w:p w14:paraId="13F32B5B" w14:textId="77777777" w:rsidR="00807992" w:rsidRPr="00667DFF" w:rsidRDefault="00807992" w:rsidP="00807992">
      <w:pPr>
        <w:tabs>
          <w:tab w:val="left" w:pos="480"/>
          <w:tab w:val="num" w:pos="720"/>
          <w:tab w:val="num" w:pos="1320"/>
          <w:tab w:val="num" w:pos="1948"/>
        </w:tabs>
        <w:spacing w:before="120" w:after="120"/>
        <w:ind w:firstLine="284"/>
        <w:rPr>
          <w:color w:val="000000" w:themeColor="text1"/>
          <w:spacing w:val="6"/>
          <w:sz w:val="26"/>
          <w:szCs w:val="26"/>
        </w:rPr>
      </w:pPr>
      <w:r w:rsidRPr="00667DFF">
        <w:rPr>
          <w:color w:val="000000" w:themeColor="text1"/>
          <w:spacing w:val="6"/>
          <w:sz w:val="26"/>
          <w:szCs w:val="26"/>
        </w:rPr>
        <w:t>De dicho análisis destacamos los siguientes aspectos:</w:t>
      </w:r>
    </w:p>
    <w:p w14:paraId="72D2EB44" w14:textId="77777777" w:rsidR="00807992" w:rsidRDefault="00807992" w:rsidP="00807992">
      <w:pPr>
        <w:numPr>
          <w:ilvl w:val="0"/>
          <w:numId w:val="10"/>
        </w:numPr>
        <w:tabs>
          <w:tab w:val="num" w:pos="284"/>
          <w:tab w:val="num" w:pos="600"/>
          <w:tab w:val="num" w:pos="720"/>
          <w:tab w:val="num" w:pos="1320"/>
          <w:tab w:val="num" w:pos="1948"/>
        </w:tabs>
        <w:spacing w:after="120"/>
        <w:rPr>
          <w:rFonts w:cs="Arial"/>
          <w:color w:val="000000" w:themeColor="text1"/>
          <w:spacing w:val="6"/>
          <w:sz w:val="26"/>
          <w:szCs w:val="24"/>
        </w:rPr>
      </w:pPr>
      <w:r>
        <w:rPr>
          <w:rFonts w:cs="Arial"/>
          <w:color w:val="000000" w:themeColor="text1"/>
          <w:spacing w:val="6"/>
          <w:sz w:val="26"/>
          <w:szCs w:val="24"/>
        </w:rPr>
        <w:t xml:space="preserve"> La OPE incluye un total de 39 plazas, todas </w:t>
      </w:r>
      <w:r w:rsidRPr="00667DFF">
        <w:rPr>
          <w:rFonts w:cs="Arial"/>
          <w:color w:val="000000" w:themeColor="text1"/>
          <w:spacing w:val="6"/>
          <w:sz w:val="26"/>
          <w:szCs w:val="24"/>
        </w:rPr>
        <w:t>como tasa de reposición</w:t>
      </w:r>
      <w:r>
        <w:rPr>
          <w:rFonts w:cs="Arial"/>
          <w:color w:val="000000" w:themeColor="text1"/>
          <w:spacing w:val="6"/>
          <w:sz w:val="26"/>
          <w:szCs w:val="24"/>
        </w:rPr>
        <w:t>. Hemos comprobado que todas las plazas cumplían los requisitos de la Ley 11/2020 de Presupuestos Generales del Estado para 2021, a excepción de una de ellas.</w:t>
      </w:r>
    </w:p>
    <w:p w14:paraId="20988C29" w14:textId="77777777" w:rsidR="00807992" w:rsidRDefault="00807992" w:rsidP="00807992">
      <w:pPr>
        <w:numPr>
          <w:ilvl w:val="0"/>
          <w:numId w:val="10"/>
        </w:numPr>
        <w:tabs>
          <w:tab w:val="num" w:pos="284"/>
          <w:tab w:val="num" w:pos="600"/>
          <w:tab w:val="num" w:pos="720"/>
          <w:tab w:val="num" w:pos="1320"/>
          <w:tab w:val="num" w:pos="1948"/>
        </w:tabs>
        <w:spacing w:after="120"/>
        <w:rPr>
          <w:rFonts w:cs="Arial"/>
          <w:color w:val="000000" w:themeColor="text1"/>
          <w:spacing w:val="6"/>
          <w:sz w:val="26"/>
          <w:szCs w:val="24"/>
        </w:rPr>
      </w:pPr>
      <w:r>
        <w:rPr>
          <w:rFonts w:cs="Arial"/>
          <w:color w:val="000000" w:themeColor="text1"/>
          <w:spacing w:val="6"/>
          <w:sz w:val="26"/>
          <w:szCs w:val="24"/>
        </w:rPr>
        <w:t>No se ha ap</w:t>
      </w:r>
      <w:r w:rsidR="00CF62A2">
        <w:rPr>
          <w:rFonts w:cs="Arial"/>
          <w:color w:val="000000" w:themeColor="text1"/>
          <w:spacing w:val="6"/>
          <w:sz w:val="26"/>
          <w:szCs w:val="24"/>
        </w:rPr>
        <w:t>robado ninguna OPE en relación con</w:t>
      </w:r>
      <w:r>
        <w:rPr>
          <w:rFonts w:cs="Arial"/>
          <w:color w:val="000000" w:themeColor="text1"/>
          <w:spacing w:val="6"/>
          <w:sz w:val="26"/>
          <w:szCs w:val="24"/>
        </w:rPr>
        <w:t xml:space="preserve"> las tasas de estabilización previstas en el marco de la anteriormente citada ley de presupuestos.</w:t>
      </w:r>
    </w:p>
    <w:p w14:paraId="1745CF7F" w14:textId="77777777" w:rsidR="00807992" w:rsidRPr="00F60014" w:rsidRDefault="00CF62A2" w:rsidP="00F60014">
      <w:pPr>
        <w:numPr>
          <w:ilvl w:val="0"/>
          <w:numId w:val="10"/>
        </w:numPr>
        <w:tabs>
          <w:tab w:val="num" w:pos="284"/>
          <w:tab w:val="num" w:pos="600"/>
          <w:tab w:val="num" w:pos="720"/>
          <w:tab w:val="num" w:pos="1320"/>
          <w:tab w:val="num" w:pos="1948"/>
        </w:tabs>
        <w:spacing w:after="120"/>
        <w:rPr>
          <w:sz w:val="26"/>
          <w:szCs w:val="26"/>
        </w:rPr>
      </w:pPr>
      <w:r>
        <w:rPr>
          <w:sz w:val="26"/>
          <w:szCs w:val="26"/>
        </w:rPr>
        <w:t>En relación con</w:t>
      </w:r>
      <w:r w:rsidR="00807992" w:rsidRPr="00F60014">
        <w:rPr>
          <w:sz w:val="26"/>
          <w:szCs w:val="26"/>
        </w:rPr>
        <w:t xml:space="preserve"> la temporalidad del personal del ayuntamiento, que supone el 36 por ciento, el 28 de diciembre de 2021 se aprobó la Ley 20/2021, de medidas urgentes para la reducción de la temporalidad en el empleo público. El objetivo último de estas medidas es que la tasa de cobertura temporal se sitúe por debajo del ocho por ciento de las plazas estructurales.</w:t>
      </w:r>
    </w:p>
    <w:p w14:paraId="6C36035D" w14:textId="77777777" w:rsidR="00807992" w:rsidRDefault="00807992" w:rsidP="00807992">
      <w:pPr>
        <w:pStyle w:val="texto"/>
        <w:spacing w:before="120"/>
      </w:pPr>
      <w:r>
        <w:t xml:space="preserve">En aplicación de la </w:t>
      </w:r>
      <w:r w:rsidR="008F08F1">
        <w:t>citada ley,</w:t>
      </w:r>
      <w:r>
        <w:t xml:space="preserve"> la Junta de Gobierno Local aprobó en sesión extraordinaria el 12 de </w:t>
      </w:r>
      <w:r w:rsidRPr="00331803">
        <w:t xml:space="preserve">mayo </w:t>
      </w:r>
      <w:r>
        <w:t xml:space="preserve">de 2022 una OPE de estabilización de 192 plazas, </w:t>
      </w:r>
      <w:r w:rsidR="00826657">
        <w:t xml:space="preserve">publicándose </w:t>
      </w:r>
      <w:r>
        <w:t xml:space="preserve">posteriormente el sistema de provisión </w:t>
      </w:r>
      <w:r w:rsidR="001119EC">
        <w:t xml:space="preserve">en el </w:t>
      </w:r>
      <w:r>
        <w:t>BON en julio de 2022.</w:t>
      </w:r>
    </w:p>
    <w:p w14:paraId="6F2C0AE2" w14:textId="77777777" w:rsidR="00807992" w:rsidRPr="00DF7C45" w:rsidRDefault="00807992" w:rsidP="00807992">
      <w:pPr>
        <w:tabs>
          <w:tab w:val="num" w:pos="600"/>
          <w:tab w:val="num" w:pos="720"/>
          <w:tab w:val="num" w:pos="1320"/>
        </w:tabs>
        <w:spacing w:before="240" w:after="120"/>
        <w:ind w:firstLine="284"/>
        <w:rPr>
          <w:rFonts w:cs="Arial"/>
          <w:i/>
          <w:spacing w:val="6"/>
          <w:sz w:val="26"/>
          <w:szCs w:val="24"/>
        </w:rPr>
      </w:pPr>
      <w:r w:rsidRPr="00667DFF">
        <w:rPr>
          <w:rFonts w:cs="Arial"/>
          <w:i/>
          <w:spacing w:val="6"/>
          <w:sz w:val="26"/>
          <w:szCs w:val="24"/>
        </w:rPr>
        <w:t xml:space="preserve">Verificaciones </w:t>
      </w:r>
      <w:r w:rsidR="00F112DA">
        <w:rPr>
          <w:rFonts w:cs="Arial"/>
          <w:i/>
          <w:spacing w:val="6"/>
          <w:sz w:val="26"/>
          <w:szCs w:val="24"/>
        </w:rPr>
        <w:t xml:space="preserve">del </w:t>
      </w:r>
      <w:r w:rsidRPr="00667DFF">
        <w:rPr>
          <w:rFonts w:cs="Arial"/>
          <w:i/>
          <w:spacing w:val="6"/>
          <w:sz w:val="26"/>
          <w:szCs w:val="24"/>
        </w:rPr>
        <w:t xml:space="preserve">gasto </w:t>
      </w:r>
      <w:r w:rsidR="00F112DA">
        <w:rPr>
          <w:rFonts w:cs="Arial"/>
          <w:i/>
          <w:spacing w:val="6"/>
          <w:sz w:val="26"/>
          <w:szCs w:val="24"/>
        </w:rPr>
        <w:t xml:space="preserve">en </w:t>
      </w:r>
      <w:r w:rsidRPr="00667DFF">
        <w:rPr>
          <w:rFonts w:cs="Arial"/>
          <w:i/>
          <w:spacing w:val="6"/>
          <w:sz w:val="26"/>
          <w:szCs w:val="24"/>
        </w:rPr>
        <w:t>personal</w:t>
      </w:r>
    </w:p>
    <w:p w14:paraId="07AA62F0" w14:textId="77777777" w:rsidR="00807992" w:rsidRDefault="00807992" w:rsidP="00807992">
      <w:pPr>
        <w:pStyle w:val="texto"/>
        <w:rPr>
          <w:lang w:val="es-ES"/>
        </w:rPr>
      </w:pPr>
      <w:r w:rsidRPr="00331803">
        <w:rPr>
          <w:lang w:val="es-ES"/>
        </w:rPr>
        <w:t xml:space="preserve">Hemos revisado, obteniendo los datos de la aplicación informática, el importe percibido en la nómina de noviembre por los trabajadores en concepto de salario </w:t>
      </w:r>
      <w:r w:rsidR="003D644A">
        <w:rPr>
          <w:lang w:val="es-ES"/>
        </w:rPr>
        <w:lastRenderedPageBreak/>
        <w:t>base, complementos y antigüedad, que asciende a tres millones con el siguiente desglose:</w:t>
      </w:r>
    </w:p>
    <w:tbl>
      <w:tblPr>
        <w:tblW w:w="8789" w:type="dxa"/>
        <w:tblCellMar>
          <w:left w:w="70" w:type="dxa"/>
          <w:right w:w="70" w:type="dxa"/>
        </w:tblCellMar>
        <w:tblLook w:val="04A0" w:firstRow="1" w:lastRow="0" w:firstColumn="1" w:lastColumn="0" w:noHBand="0" w:noVBand="1"/>
      </w:tblPr>
      <w:tblGrid>
        <w:gridCol w:w="4900"/>
        <w:gridCol w:w="3889"/>
      </w:tblGrid>
      <w:tr w:rsidR="003D644A" w:rsidRPr="003D644A" w14:paraId="7A744787" w14:textId="77777777" w:rsidTr="00686E66">
        <w:trPr>
          <w:trHeight w:val="255"/>
        </w:trPr>
        <w:tc>
          <w:tcPr>
            <w:tcW w:w="4900" w:type="dxa"/>
            <w:tcBorders>
              <w:top w:val="single" w:sz="4" w:space="0" w:color="auto"/>
              <w:left w:val="nil"/>
              <w:bottom w:val="single" w:sz="4" w:space="0" w:color="auto"/>
              <w:right w:val="nil"/>
            </w:tcBorders>
            <w:shd w:val="clear" w:color="000000" w:fill="FABF8F"/>
            <w:noWrap/>
            <w:vAlign w:val="center"/>
            <w:hideMark/>
          </w:tcPr>
          <w:p w14:paraId="2EA234C8" w14:textId="77777777" w:rsidR="003D644A" w:rsidRPr="003D644A" w:rsidRDefault="003D644A" w:rsidP="003D644A">
            <w:pPr>
              <w:spacing w:after="0"/>
              <w:ind w:firstLine="0"/>
              <w:jc w:val="left"/>
              <w:rPr>
                <w:rFonts w:ascii="Arial" w:hAnsi="Arial" w:cs="Arial"/>
                <w:color w:val="000000"/>
                <w:sz w:val="18"/>
                <w:szCs w:val="18"/>
                <w:lang w:val="es-ES" w:eastAsia="es-ES"/>
              </w:rPr>
            </w:pPr>
            <w:r w:rsidRPr="003D644A">
              <w:rPr>
                <w:rFonts w:ascii="Arial" w:hAnsi="Arial" w:cs="Arial"/>
                <w:color w:val="000000"/>
                <w:sz w:val="18"/>
                <w:szCs w:val="18"/>
                <w:lang w:val="es-ES" w:eastAsia="es-ES"/>
              </w:rPr>
              <w:t>Concepto</w:t>
            </w:r>
          </w:p>
        </w:tc>
        <w:tc>
          <w:tcPr>
            <w:tcW w:w="3889" w:type="dxa"/>
            <w:tcBorders>
              <w:top w:val="single" w:sz="4" w:space="0" w:color="auto"/>
              <w:left w:val="nil"/>
              <w:bottom w:val="single" w:sz="4" w:space="0" w:color="auto"/>
              <w:right w:val="nil"/>
            </w:tcBorders>
            <w:shd w:val="clear" w:color="000000" w:fill="FABF8F"/>
            <w:noWrap/>
            <w:vAlign w:val="center"/>
            <w:hideMark/>
          </w:tcPr>
          <w:p w14:paraId="1FCF9AD9" w14:textId="77777777" w:rsidR="003D644A" w:rsidRPr="003D644A" w:rsidRDefault="003D644A" w:rsidP="003D644A">
            <w:pPr>
              <w:spacing w:after="0"/>
              <w:ind w:firstLine="0"/>
              <w:jc w:val="right"/>
              <w:rPr>
                <w:rFonts w:ascii="Arial" w:hAnsi="Arial" w:cs="Arial"/>
                <w:color w:val="000000"/>
                <w:sz w:val="18"/>
                <w:szCs w:val="18"/>
                <w:lang w:val="es-ES" w:eastAsia="es-ES"/>
              </w:rPr>
            </w:pPr>
            <w:r w:rsidRPr="003D644A">
              <w:rPr>
                <w:rFonts w:ascii="Arial" w:hAnsi="Arial" w:cs="Arial"/>
                <w:color w:val="000000"/>
                <w:sz w:val="18"/>
                <w:szCs w:val="18"/>
                <w:lang w:val="es-ES" w:eastAsia="es-ES"/>
              </w:rPr>
              <w:t>Importe</w:t>
            </w:r>
          </w:p>
        </w:tc>
      </w:tr>
      <w:tr w:rsidR="003D644A" w:rsidRPr="003D644A" w14:paraId="14DEF63A" w14:textId="77777777" w:rsidTr="00686E66">
        <w:trPr>
          <w:trHeight w:val="198"/>
        </w:trPr>
        <w:tc>
          <w:tcPr>
            <w:tcW w:w="4900" w:type="dxa"/>
            <w:tcBorders>
              <w:top w:val="single" w:sz="4" w:space="0" w:color="auto"/>
              <w:left w:val="nil"/>
              <w:bottom w:val="single" w:sz="2" w:space="0" w:color="auto"/>
              <w:right w:val="nil"/>
            </w:tcBorders>
            <w:shd w:val="clear" w:color="auto" w:fill="auto"/>
            <w:noWrap/>
            <w:vAlign w:val="center"/>
            <w:hideMark/>
          </w:tcPr>
          <w:p w14:paraId="59E8F7EF" w14:textId="77777777" w:rsidR="003D644A" w:rsidRPr="003D644A" w:rsidRDefault="003D644A" w:rsidP="003D644A">
            <w:pPr>
              <w:spacing w:after="0"/>
              <w:ind w:firstLine="0"/>
              <w:rPr>
                <w:rFonts w:ascii="Arial Narrow" w:hAnsi="Arial Narrow" w:cs="Calibri"/>
                <w:color w:val="000000"/>
                <w:lang w:val="es-ES" w:eastAsia="es-ES"/>
              </w:rPr>
            </w:pPr>
            <w:r w:rsidRPr="003D644A">
              <w:rPr>
                <w:rFonts w:ascii="Arial Narrow" w:hAnsi="Arial Narrow" w:cs="Calibri"/>
                <w:color w:val="000000"/>
                <w:lang w:val="es-ES" w:eastAsia="es-ES"/>
              </w:rPr>
              <w:t>Sueldo Base</w:t>
            </w:r>
          </w:p>
        </w:tc>
        <w:tc>
          <w:tcPr>
            <w:tcW w:w="3889" w:type="dxa"/>
            <w:tcBorders>
              <w:top w:val="single" w:sz="4" w:space="0" w:color="auto"/>
              <w:left w:val="nil"/>
              <w:bottom w:val="single" w:sz="2" w:space="0" w:color="auto"/>
              <w:right w:val="nil"/>
            </w:tcBorders>
            <w:shd w:val="clear" w:color="auto" w:fill="auto"/>
            <w:noWrap/>
            <w:vAlign w:val="center"/>
            <w:hideMark/>
          </w:tcPr>
          <w:p w14:paraId="597C6942"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1.997.997</w:t>
            </w:r>
          </w:p>
        </w:tc>
      </w:tr>
      <w:tr w:rsidR="003D644A" w:rsidRPr="003D644A" w14:paraId="74331632" w14:textId="77777777" w:rsidTr="00686E66">
        <w:trPr>
          <w:trHeight w:val="198"/>
        </w:trPr>
        <w:tc>
          <w:tcPr>
            <w:tcW w:w="4900" w:type="dxa"/>
            <w:tcBorders>
              <w:top w:val="single" w:sz="2" w:space="0" w:color="auto"/>
              <w:left w:val="nil"/>
              <w:bottom w:val="single" w:sz="2" w:space="0" w:color="auto"/>
              <w:right w:val="nil"/>
            </w:tcBorders>
            <w:shd w:val="clear" w:color="auto" w:fill="auto"/>
            <w:noWrap/>
            <w:vAlign w:val="center"/>
            <w:hideMark/>
          </w:tcPr>
          <w:p w14:paraId="4898BC1A" w14:textId="77777777" w:rsidR="003D644A" w:rsidRPr="003D644A" w:rsidRDefault="003D644A" w:rsidP="003D644A">
            <w:pPr>
              <w:spacing w:after="0"/>
              <w:ind w:firstLine="0"/>
              <w:rPr>
                <w:rFonts w:ascii="Arial Narrow" w:hAnsi="Arial Narrow" w:cs="Calibri"/>
                <w:color w:val="000000"/>
                <w:lang w:val="es-ES" w:eastAsia="es-ES"/>
              </w:rPr>
            </w:pPr>
            <w:r w:rsidRPr="003D644A">
              <w:rPr>
                <w:rFonts w:ascii="Arial Narrow" w:hAnsi="Arial Narrow" w:cs="Calibri"/>
                <w:color w:val="000000"/>
                <w:lang w:val="es-ES" w:eastAsia="es-ES"/>
              </w:rPr>
              <w:t>Complemento puesto trabajo</w:t>
            </w:r>
          </w:p>
        </w:tc>
        <w:tc>
          <w:tcPr>
            <w:tcW w:w="3889" w:type="dxa"/>
            <w:tcBorders>
              <w:top w:val="single" w:sz="2" w:space="0" w:color="auto"/>
              <w:left w:val="nil"/>
              <w:bottom w:val="single" w:sz="2" w:space="0" w:color="auto"/>
              <w:right w:val="nil"/>
            </w:tcBorders>
            <w:shd w:val="clear" w:color="auto" w:fill="auto"/>
            <w:noWrap/>
            <w:vAlign w:val="center"/>
            <w:hideMark/>
          </w:tcPr>
          <w:p w14:paraId="267511A8"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360.745</w:t>
            </w:r>
          </w:p>
        </w:tc>
      </w:tr>
      <w:tr w:rsidR="003D644A" w:rsidRPr="003D644A" w14:paraId="367A2667" w14:textId="77777777" w:rsidTr="00686E66">
        <w:trPr>
          <w:trHeight w:val="198"/>
        </w:trPr>
        <w:tc>
          <w:tcPr>
            <w:tcW w:w="4900" w:type="dxa"/>
            <w:tcBorders>
              <w:top w:val="single" w:sz="2" w:space="0" w:color="auto"/>
              <w:left w:val="nil"/>
              <w:bottom w:val="single" w:sz="2" w:space="0" w:color="auto"/>
              <w:right w:val="nil"/>
            </w:tcBorders>
            <w:shd w:val="clear" w:color="auto" w:fill="auto"/>
            <w:noWrap/>
            <w:vAlign w:val="center"/>
            <w:hideMark/>
          </w:tcPr>
          <w:p w14:paraId="66E776E5" w14:textId="77777777" w:rsidR="003D644A" w:rsidRPr="003D644A" w:rsidRDefault="003D644A" w:rsidP="003D644A">
            <w:pPr>
              <w:spacing w:after="0"/>
              <w:ind w:firstLine="0"/>
              <w:rPr>
                <w:rFonts w:ascii="Arial Narrow" w:hAnsi="Arial Narrow" w:cs="Calibri"/>
                <w:color w:val="000000"/>
                <w:lang w:val="es-ES" w:eastAsia="es-ES"/>
              </w:rPr>
            </w:pPr>
            <w:r w:rsidRPr="003D644A">
              <w:rPr>
                <w:rFonts w:ascii="Arial Narrow" w:hAnsi="Arial Narrow" w:cs="Calibri"/>
                <w:color w:val="000000"/>
                <w:lang w:val="es-ES" w:eastAsia="es-ES"/>
              </w:rPr>
              <w:t>Complemento específico</w:t>
            </w:r>
          </w:p>
        </w:tc>
        <w:tc>
          <w:tcPr>
            <w:tcW w:w="3889" w:type="dxa"/>
            <w:tcBorders>
              <w:top w:val="single" w:sz="2" w:space="0" w:color="auto"/>
              <w:left w:val="nil"/>
              <w:bottom w:val="single" w:sz="2" w:space="0" w:color="auto"/>
              <w:right w:val="nil"/>
            </w:tcBorders>
            <w:shd w:val="clear" w:color="auto" w:fill="auto"/>
            <w:noWrap/>
            <w:vAlign w:val="center"/>
            <w:hideMark/>
          </w:tcPr>
          <w:p w14:paraId="58C91D69"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244.047</w:t>
            </w:r>
          </w:p>
        </w:tc>
      </w:tr>
      <w:tr w:rsidR="003D644A" w:rsidRPr="003D644A" w14:paraId="6EFBBA98" w14:textId="77777777" w:rsidTr="00686E66">
        <w:trPr>
          <w:trHeight w:val="198"/>
        </w:trPr>
        <w:tc>
          <w:tcPr>
            <w:tcW w:w="4900" w:type="dxa"/>
            <w:tcBorders>
              <w:top w:val="single" w:sz="2" w:space="0" w:color="auto"/>
              <w:left w:val="nil"/>
              <w:bottom w:val="single" w:sz="2" w:space="0" w:color="auto"/>
              <w:right w:val="nil"/>
            </w:tcBorders>
            <w:shd w:val="clear" w:color="auto" w:fill="auto"/>
            <w:noWrap/>
            <w:vAlign w:val="center"/>
            <w:hideMark/>
          </w:tcPr>
          <w:p w14:paraId="07200E6B" w14:textId="77777777" w:rsidR="003D644A" w:rsidRPr="003D644A" w:rsidRDefault="003D644A" w:rsidP="003D644A">
            <w:pPr>
              <w:spacing w:after="0"/>
              <w:ind w:firstLine="0"/>
              <w:rPr>
                <w:rFonts w:ascii="Arial Narrow" w:hAnsi="Arial Narrow" w:cs="Calibri"/>
                <w:color w:val="000000"/>
                <w:lang w:val="es-ES" w:eastAsia="es-ES"/>
              </w:rPr>
            </w:pPr>
            <w:r w:rsidRPr="003D644A">
              <w:rPr>
                <w:rFonts w:ascii="Arial Narrow" w:hAnsi="Arial Narrow" w:cs="Calibri"/>
                <w:color w:val="000000"/>
                <w:lang w:val="es-ES" w:eastAsia="es-ES"/>
              </w:rPr>
              <w:t>Complemento incompatibilidad</w:t>
            </w:r>
          </w:p>
        </w:tc>
        <w:tc>
          <w:tcPr>
            <w:tcW w:w="3889" w:type="dxa"/>
            <w:tcBorders>
              <w:top w:val="single" w:sz="2" w:space="0" w:color="auto"/>
              <w:left w:val="nil"/>
              <w:bottom w:val="single" w:sz="2" w:space="0" w:color="auto"/>
              <w:right w:val="nil"/>
            </w:tcBorders>
            <w:shd w:val="clear" w:color="auto" w:fill="auto"/>
            <w:noWrap/>
            <w:vAlign w:val="center"/>
            <w:hideMark/>
          </w:tcPr>
          <w:p w14:paraId="73D5DFE8"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149.162</w:t>
            </w:r>
          </w:p>
        </w:tc>
      </w:tr>
      <w:tr w:rsidR="003D644A" w:rsidRPr="003D644A" w14:paraId="272867E9" w14:textId="77777777" w:rsidTr="00686E66">
        <w:trPr>
          <w:trHeight w:val="198"/>
        </w:trPr>
        <w:tc>
          <w:tcPr>
            <w:tcW w:w="4900" w:type="dxa"/>
            <w:tcBorders>
              <w:top w:val="single" w:sz="2" w:space="0" w:color="auto"/>
              <w:left w:val="nil"/>
              <w:bottom w:val="single" w:sz="2" w:space="0" w:color="auto"/>
              <w:right w:val="nil"/>
            </w:tcBorders>
            <w:shd w:val="clear" w:color="auto" w:fill="auto"/>
            <w:noWrap/>
            <w:vAlign w:val="center"/>
            <w:hideMark/>
          </w:tcPr>
          <w:p w14:paraId="4A32480A" w14:textId="77777777" w:rsidR="003D644A" w:rsidRPr="003D644A" w:rsidRDefault="003D644A" w:rsidP="003D644A">
            <w:pPr>
              <w:spacing w:after="0"/>
              <w:ind w:firstLine="0"/>
              <w:rPr>
                <w:rFonts w:ascii="Arial Narrow" w:hAnsi="Arial Narrow" w:cs="Calibri"/>
                <w:color w:val="000000"/>
                <w:lang w:val="es-ES" w:eastAsia="es-ES"/>
              </w:rPr>
            </w:pPr>
            <w:r w:rsidRPr="003D644A">
              <w:rPr>
                <w:rFonts w:ascii="Arial Narrow" w:hAnsi="Arial Narrow" w:cs="Calibri"/>
                <w:color w:val="000000"/>
                <w:lang w:val="es-ES" w:eastAsia="es-ES"/>
              </w:rPr>
              <w:t>Complemento ley foral</w:t>
            </w:r>
          </w:p>
        </w:tc>
        <w:tc>
          <w:tcPr>
            <w:tcW w:w="3889" w:type="dxa"/>
            <w:tcBorders>
              <w:top w:val="single" w:sz="2" w:space="0" w:color="auto"/>
              <w:left w:val="nil"/>
              <w:bottom w:val="single" w:sz="2" w:space="0" w:color="auto"/>
              <w:right w:val="nil"/>
            </w:tcBorders>
            <w:shd w:val="clear" w:color="auto" w:fill="auto"/>
            <w:noWrap/>
            <w:vAlign w:val="center"/>
            <w:hideMark/>
          </w:tcPr>
          <w:p w14:paraId="060273FD"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103.458</w:t>
            </w:r>
          </w:p>
        </w:tc>
      </w:tr>
      <w:tr w:rsidR="003D644A" w:rsidRPr="003D644A" w14:paraId="25004311" w14:textId="77777777" w:rsidTr="00686E66">
        <w:trPr>
          <w:trHeight w:val="198"/>
        </w:trPr>
        <w:tc>
          <w:tcPr>
            <w:tcW w:w="4900" w:type="dxa"/>
            <w:tcBorders>
              <w:top w:val="single" w:sz="2" w:space="0" w:color="auto"/>
              <w:left w:val="nil"/>
              <w:bottom w:val="single" w:sz="2" w:space="0" w:color="auto"/>
              <w:right w:val="nil"/>
            </w:tcBorders>
            <w:shd w:val="clear" w:color="auto" w:fill="auto"/>
            <w:noWrap/>
            <w:vAlign w:val="center"/>
            <w:hideMark/>
          </w:tcPr>
          <w:p w14:paraId="5427158F" w14:textId="77777777" w:rsidR="003D644A" w:rsidRPr="003D644A" w:rsidRDefault="003D644A" w:rsidP="003D644A">
            <w:pPr>
              <w:spacing w:after="0"/>
              <w:ind w:firstLine="0"/>
              <w:rPr>
                <w:rFonts w:ascii="Arial Narrow" w:hAnsi="Arial Narrow" w:cs="Calibri"/>
                <w:color w:val="000000"/>
                <w:lang w:val="es-ES" w:eastAsia="es-ES"/>
              </w:rPr>
            </w:pPr>
            <w:r w:rsidRPr="003D644A">
              <w:rPr>
                <w:rFonts w:ascii="Arial Narrow" w:hAnsi="Arial Narrow" w:cs="Calibri"/>
                <w:color w:val="000000"/>
                <w:lang w:val="es-ES" w:eastAsia="es-ES"/>
              </w:rPr>
              <w:t>Complemento especial riesgo</w:t>
            </w:r>
          </w:p>
        </w:tc>
        <w:tc>
          <w:tcPr>
            <w:tcW w:w="3889" w:type="dxa"/>
            <w:tcBorders>
              <w:top w:val="single" w:sz="2" w:space="0" w:color="auto"/>
              <w:left w:val="nil"/>
              <w:bottom w:val="single" w:sz="2" w:space="0" w:color="auto"/>
              <w:right w:val="nil"/>
            </w:tcBorders>
            <w:shd w:val="clear" w:color="auto" w:fill="auto"/>
            <w:noWrap/>
            <w:vAlign w:val="center"/>
            <w:hideMark/>
          </w:tcPr>
          <w:p w14:paraId="7A72E676"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38.240</w:t>
            </w:r>
          </w:p>
        </w:tc>
      </w:tr>
      <w:tr w:rsidR="003D644A" w:rsidRPr="003D644A" w14:paraId="62D9F710" w14:textId="77777777" w:rsidTr="00686E66">
        <w:trPr>
          <w:trHeight w:val="198"/>
        </w:trPr>
        <w:tc>
          <w:tcPr>
            <w:tcW w:w="4900" w:type="dxa"/>
            <w:tcBorders>
              <w:top w:val="single" w:sz="2" w:space="0" w:color="auto"/>
              <w:left w:val="nil"/>
              <w:bottom w:val="single" w:sz="2" w:space="0" w:color="auto"/>
              <w:right w:val="nil"/>
            </w:tcBorders>
            <w:shd w:val="clear" w:color="auto" w:fill="auto"/>
            <w:noWrap/>
            <w:vAlign w:val="center"/>
            <w:hideMark/>
          </w:tcPr>
          <w:p w14:paraId="1619A2F1" w14:textId="77777777" w:rsidR="003D644A" w:rsidRPr="003D644A" w:rsidRDefault="003D644A" w:rsidP="003D644A">
            <w:pPr>
              <w:spacing w:after="0"/>
              <w:ind w:firstLine="0"/>
              <w:rPr>
                <w:rFonts w:ascii="Arial Narrow" w:hAnsi="Arial Narrow" w:cs="Calibri"/>
                <w:color w:val="000000"/>
                <w:lang w:val="es-ES" w:eastAsia="es-ES"/>
              </w:rPr>
            </w:pPr>
            <w:r w:rsidRPr="003D644A">
              <w:rPr>
                <w:rFonts w:ascii="Arial Narrow" w:hAnsi="Arial Narrow" w:cs="Calibri"/>
                <w:color w:val="000000"/>
                <w:lang w:val="es-ES" w:eastAsia="es-ES"/>
              </w:rPr>
              <w:t>Complemento docencia</w:t>
            </w:r>
          </w:p>
        </w:tc>
        <w:tc>
          <w:tcPr>
            <w:tcW w:w="3889" w:type="dxa"/>
            <w:tcBorders>
              <w:top w:val="single" w:sz="2" w:space="0" w:color="auto"/>
              <w:left w:val="nil"/>
              <w:bottom w:val="single" w:sz="2" w:space="0" w:color="auto"/>
              <w:right w:val="nil"/>
            </w:tcBorders>
            <w:shd w:val="clear" w:color="auto" w:fill="auto"/>
            <w:noWrap/>
            <w:vAlign w:val="center"/>
            <w:hideMark/>
          </w:tcPr>
          <w:p w14:paraId="708CC121"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27.415</w:t>
            </w:r>
          </w:p>
        </w:tc>
      </w:tr>
      <w:tr w:rsidR="003D644A" w:rsidRPr="003D644A" w14:paraId="39FA5828" w14:textId="77777777" w:rsidTr="00686E66">
        <w:trPr>
          <w:trHeight w:val="198"/>
        </w:trPr>
        <w:tc>
          <w:tcPr>
            <w:tcW w:w="4900" w:type="dxa"/>
            <w:tcBorders>
              <w:top w:val="single" w:sz="2" w:space="0" w:color="auto"/>
              <w:left w:val="nil"/>
              <w:bottom w:val="single" w:sz="2" w:space="0" w:color="auto"/>
              <w:right w:val="nil"/>
            </w:tcBorders>
            <w:shd w:val="clear" w:color="auto" w:fill="auto"/>
            <w:noWrap/>
            <w:vAlign w:val="center"/>
            <w:hideMark/>
          </w:tcPr>
          <w:p w14:paraId="5EE80630" w14:textId="77777777" w:rsidR="003D644A" w:rsidRPr="003D644A" w:rsidRDefault="003D644A" w:rsidP="003D644A">
            <w:pPr>
              <w:spacing w:after="0"/>
              <w:ind w:firstLine="0"/>
              <w:rPr>
                <w:rFonts w:ascii="Arial Narrow" w:hAnsi="Arial Narrow" w:cs="Calibri"/>
                <w:color w:val="000000"/>
                <w:lang w:val="es-ES" w:eastAsia="es-ES"/>
              </w:rPr>
            </w:pPr>
            <w:r w:rsidRPr="003D644A">
              <w:rPr>
                <w:rFonts w:ascii="Arial Narrow" w:hAnsi="Arial Narrow" w:cs="Calibri"/>
                <w:color w:val="000000"/>
                <w:lang w:val="es-ES" w:eastAsia="es-ES"/>
              </w:rPr>
              <w:t>Complemento exclusividad</w:t>
            </w:r>
          </w:p>
        </w:tc>
        <w:tc>
          <w:tcPr>
            <w:tcW w:w="3889" w:type="dxa"/>
            <w:tcBorders>
              <w:top w:val="single" w:sz="2" w:space="0" w:color="auto"/>
              <w:left w:val="nil"/>
              <w:bottom w:val="single" w:sz="2" w:space="0" w:color="auto"/>
              <w:right w:val="nil"/>
            </w:tcBorders>
            <w:shd w:val="clear" w:color="auto" w:fill="auto"/>
            <w:noWrap/>
            <w:vAlign w:val="center"/>
            <w:hideMark/>
          </w:tcPr>
          <w:p w14:paraId="0642566D"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16.430</w:t>
            </w:r>
          </w:p>
        </w:tc>
      </w:tr>
      <w:tr w:rsidR="003D644A" w:rsidRPr="003D644A" w14:paraId="6837E533" w14:textId="77777777" w:rsidTr="00686E66">
        <w:trPr>
          <w:trHeight w:val="198"/>
        </w:trPr>
        <w:tc>
          <w:tcPr>
            <w:tcW w:w="4900" w:type="dxa"/>
            <w:tcBorders>
              <w:top w:val="single" w:sz="2" w:space="0" w:color="auto"/>
              <w:left w:val="nil"/>
              <w:bottom w:val="single" w:sz="2" w:space="0" w:color="auto"/>
              <w:right w:val="nil"/>
            </w:tcBorders>
            <w:shd w:val="clear" w:color="auto" w:fill="auto"/>
            <w:noWrap/>
            <w:vAlign w:val="center"/>
            <w:hideMark/>
          </w:tcPr>
          <w:p w14:paraId="5414D816" w14:textId="77777777" w:rsidR="003D644A" w:rsidRPr="003D644A" w:rsidRDefault="0005127C" w:rsidP="003D644A">
            <w:pPr>
              <w:spacing w:after="0"/>
              <w:ind w:firstLine="0"/>
              <w:rPr>
                <w:rFonts w:ascii="Arial Narrow" w:hAnsi="Arial Narrow" w:cs="Calibri"/>
                <w:color w:val="000000"/>
                <w:lang w:val="es-ES" w:eastAsia="es-ES"/>
              </w:rPr>
            </w:pPr>
            <w:r>
              <w:rPr>
                <w:rFonts w:ascii="Arial Narrow" w:hAnsi="Arial Narrow" w:cs="Calibri"/>
                <w:color w:val="000000"/>
                <w:lang w:val="es-ES" w:eastAsia="es-ES"/>
              </w:rPr>
              <w:t>Complemento f</w:t>
            </w:r>
            <w:r w:rsidR="003D644A" w:rsidRPr="003D644A">
              <w:rPr>
                <w:rFonts w:ascii="Arial Narrow" w:hAnsi="Arial Narrow" w:cs="Calibri"/>
                <w:color w:val="000000"/>
                <w:lang w:val="es-ES" w:eastAsia="es-ES"/>
              </w:rPr>
              <w:t>unciones del puesto</w:t>
            </w:r>
          </w:p>
        </w:tc>
        <w:tc>
          <w:tcPr>
            <w:tcW w:w="3889" w:type="dxa"/>
            <w:tcBorders>
              <w:top w:val="single" w:sz="2" w:space="0" w:color="auto"/>
              <w:left w:val="nil"/>
              <w:bottom w:val="single" w:sz="2" w:space="0" w:color="auto"/>
              <w:right w:val="nil"/>
            </w:tcBorders>
            <w:shd w:val="clear" w:color="auto" w:fill="auto"/>
            <w:noWrap/>
            <w:vAlign w:val="center"/>
            <w:hideMark/>
          </w:tcPr>
          <w:p w14:paraId="3EB2B0DD"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6.248</w:t>
            </w:r>
          </w:p>
        </w:tc>
      </w:tr>
      <w:tr w:rsidR="003D644A" w:rsidRPr="003D644A" w14:paraId="5E5D8C51" w14:textId="77777777" w:rsidTr="00686E66">
        <w:trPr>
          <w:trHeight w:val="198"/>
        </w:trPr>
        <w:tc>
          <w:tcPr>
            <w:tcW w:w="4900" w:type="dxa"/>
            <w:tcBorders>
              <w:top w:val="single" w:sz="2" w:space="0" w:color="auto"/>
              <w:left w:val="nil"/>
              <w:bottom w:val="single" w:sz="2" w:space="0" w:color="auto"/>
              <w:right w:val="nil"/>
            </w:tcBorders>
            <w:shd w:val="clear" w:color="auto" w:fill="auto"/>
            <w:noWrap/>
            <w:vAlign w:val="center"/>
            <w:hideMark/>
          </w:tcPr>
          <w:p w14:paraId="4360CA57" w14:textId="77777777" w:rsidR="003D644A" w:rsidRPr="003D644A" w:rsidRDefault="003D644A" w:rsidP="003D644A">
            <w:pPr>
              <w:spacing w:after="0"/>
              <w:ind w:firstLine="0"/>
              <w:rPr>
                <w:rFonts w:ascii="Arial Narrow" w:hAnsi="Arial Narrow" w:cs="Calibri"/>
                <w:color w:val="000000"/>
                <w:lang w:val="es-ES" w:eastAsia="es-ES"/>
              </w:rPr>
            </w:pPr>
            <w:r w:rsidRPr="003D644A">
              <w:rPr>
                <w:rFonts w:ascii="Arial Narrow" w:hAnsi="Arial Narrow" w:cs="Calibri"/>
                <w:color w:val="000000"/>
                <w:lang w:val="es-ES" w:eastAsia="es-ES"/>
              </w:rPr>
              <w:t>Complemento puesto directivo</w:t>
            </w:r>
          </w:p>
        </w:tc>
        <w:tc>
          <w:tcPr>
            <w:tcW w:w="3889" w:type="dxa"/>
            <w:tcBorders>
              <w:top w:val="single" w:sz="2" w:space="0" w:color="auto"/>
              <w:left w:val="nil"/>
              <w:bottom w:val="single" w:sz="2" w:space="0" w:color="auto"/>
              <w:right w:val="nil"/>
            </w:tcBorders>
            <w:shd w:val="clear" w:color="auto" w:fill="auto"/>
            <w:noWrap/>
            <w:vAlign w:val="center"/>
            <w:hideMark/>
          </w:tcPr>
          <w:p w14:paraId="733F4C43"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543</w:t>
            </w:r>
          </w:p>
        </w:tc>
      </w:tr>
      <w:tr w:rsidR="003D644A" w:rsidRPr="003D644A" w14:paraId="0C9FD73E" w14:textId="77777777" w:rsidTr="00686E66">
        <w:trPr>
          <w:trHeight w:val="198"/>
        </w:trPr>
        <w:tc>
          <w:tcPr>
            <w:tcW w:w="4900" w:type="dxa"/>
            <w:tcBorders>
              <w:top w:val="single" w:sz="2" w:space="0" w:color="auto"/>
              <w:left w:val="nil"/>
              <w:bottom w:val="single" w:sz="2" w:space="0" w:color="auto"/>
              <w:right w:val="nil"/>
            </w:tcBorders>
            <w:shd w:val="clear" w:color="auto" w:fill="auto"/>
            <w:noWrap/>
            <w:vAlign w:val="center"/>
            <w:hideMark/>
          </w:tcPr>
          <w:p w14:paraId="45DCE182" w14:textId="77777777" w:rsidR="003D644A" w:rsidRPr="003D644A" w:rsidRDefault="0005127C" w:rsidP="003D644A">
            <w:pPr>
              <w:spacing w:after="0"/>
              <w:ind w:firstLine="0"/>
              <w:rPr>
                <w:rFonts w:ascii="Arial Narrow" w:hAnsi="Arial Narrow" w:cs="Calibri"/>
                <w:color w:val="000000"/>
                <w:lang w:val="es-ES" w:eastAsia="es-ES"/>
              </w:rPr>
            </w:pPr>
            <w:r>
              <w:rPr>
                <w:rFonts w:ascii="Arial Narrow" w:hAnsi="Arial Narrow" w:cs="Calibri"/>
                <w:color w:val="000000"/>
                <w:lang w:val="es-ES" w:eastAsia="es-ES"/>
              </w:rPr>
              <w:t>Complemento p</w:t>
            </w:r>
            <w:r w:rsidR="003D644A" w:rsidRPr="003D644A">
              <w:rPr>
                <w:rFonts w:ascii="Arial Narrow" w:hAnsi="Arial Narrow" w:cs="Calibri"/>
                <w:color w:val="000000"/>
                <w:lang w:val="es-ES" w:eastAsia="es-ES"/>
              </w:rPr>
              <w:t>rolongación de jornada</w:t>
            </w:r>
          </w:p>
        </w:tc>
        <w:tc>
          <w:tcPr>
            <w:tcW w:w="3889" w:type="dxa"/>
            <w:tcBorders>
              <w:top w:val="single" w:sz="2" w:space="0" w:color="auto"/>
              <w:left w:val="nil"/>
              <w:bottom w:val="single" w:sz="2" w:space="0" w:color="auto"/>
              <w:right w:val="nil"/>
            </w:tcBorders>
            <w:shd w:val="clear" w:color="auto" w:fill="auto"/>
            <w:noWrap/>
            <w:vAlign w:val="center"/>
            <w:hideMark/>
          </w:tcPr>
          <w:p w14:paraId="45C40926"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396</w:t>
            </w:r>
          </w:p>
        </w:tc>
      </w:tr>
      <w:tr w:rsidR="003D644A" w:rsidRPr="003D644A" w14:paraId="4687C8BE" w14:textId="77777777" w:rsidTr="00686E66">
        <w:trPr>
          <w:trHeight w:val="198"/>
        </w:trPr>
        <w:tc>
          <w:tcPr>
            <w:tcW w:w="4900" w:type="dxa"/>
            <w:tcBorders>
              <w:top w:val="single" w:sz="2" w:space="0" w:color="auto"/>
              <w:left w:val="nil"/>
              <w:bottom w:val="single" w:sz="2" w:space="0" w:color="auto"/>
              <w:right w:val="nil"/>
            </w:tcBorders>
            <w:shd w:val="clear" w:color="auto" w:fill="auto"/>
            <w:noWrap/>
            <w:vAlign w:val="center"/>
            <w:hideMark/>
          </w:tcPr>
          <w:p w14:paraId="6B11103B" w14:textId="77777777" w:rsidR="003D644A" w:rsidRPr="003D644A" w:rsidRDefault="003D644A" w:rsidP="003D644A">
            <w:pPr>
              <w:spacing w:after="0"/>
              <w:ind w:firstLine="0"/>
              <w:rPr>
                <w:rFonts w:ascii="Arial Narrow" w:hAnsi="Arial Narrow" w:cs="Calibri"/>
                <w:color w:val="000000"/>
                <w:lang w:val="es-ES" w:eastAsia="es-ES"/>
              </w:rPr>
            </w:pPr>
            <w:r w:rsidRPr="003D644A">
              <w:rPr>
                <w:rFonts w:ascii="Arial Narrow" w:hAnsi="Arial Narrow" w:cs="Calibri"/>
                <w:color w:val="000000"/>
                <w:lang w:val="es-ES" w:eastAsia="es-ES"/>
              </w:rPr>
              <w:t>Antigüedad- Quinquenios funcionarios</w:t>
            </w:r>
          </w:p>
        </w:tc>
        <w:tc>
          <w:tcPr>
            <w:tcW w:w="3889" w:type="dxa"/>
            <w:tcBorders>
              <w:top w:val="single" w:sz="2" w:space="0" w:color="auto"/>
              <w:left w:val="nil"/>
              <w:bottom w:val="single" w:sz="2" w:space="0" w:color="auto"/>
              <w:right w:val="nil"/>
            </w:tcBorders>
            <w:shd w:val="clear" w:color="auto" w:fill="auto"/>
            <w:noWrap/>
            <w:vAlign w:val="center"/>
            <w:hideMark/>
          </w:tcPr>
          <w:p w14:paraId="08A895CF"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67.399</w:t>
            </w:r>
          </w:p>
        </w:tc>
      </w:tr>
      <w:tr w:rsidR="003D644A" w:rsidRPr="003D644A" w14:paraId="751BD627" w14:textId="77777777" w:rsidTr="00686E66">
        <w:trPr>
          <w:trHeight w:val="198"/>
        </w:trPr>
        <w:tc>
          <w:tcPr>
            <w:tcW w:w="4900" w:type="dxa"/>
            <w:tcBorders>
              <w:top w:val="single" w:sz="2" w:space="0" w:color="auto"/>
              <w:left w:val="nil"/>
              <w:bottom w:val="single" w:sz="4" w:space="0" w:color="auto"/>
              <w:right w:val="nil"/>
            </w:tcBorders>
            <w:shd w:val="clear" w:color="auto" w:fill="auto"/>
            <w:noWrap/>
            <w:vAlign w:val="center"/>
            <w:hideMark/>
          </w:tcPr>
          <w:p w14:paraId="622CF0BF" w14:textId="77777777" w:rsidR="003D644A" w:rsidRPr="003D644A" w:rsidRDefault="003D644A" w:rsidP="003D644A">
            <w:pPr>
              <w:spacing w:after="0"/>
              <w:ind w:firstLine="0"/>
              <w:rPr>
                <w:rFonts w:ascii="Arial Narrow" w:hAnsi="Arial Narrow" w:cs="Calibri"/>
                <w:color w:val="000000"/>
                <w:lang w:val="es-ES" w:eastAsia="es-ES"/>
              </w:rPr>
            </w:pPr>
            <w:r w:rsidRPr="003D644A">
              <w:rPr>
                <w:rFonts w:ascii="Arial Narrow" w:hAnsi="Arial Narrow" w:cs="Calibri"/>
                <w:color w:val="000000"/>
                <w:lang w:val="es-ES" w:eastAsia="es-ES"/>
              </w:rPr>
              <w:t>Trienios (laborales)</w:t>
            </w:r>
          </w:p>
        </w:tc>
        <w:tc>
          <w:tcPr>
            <w:tcW w:w="3889" w:type="dxa"/>
            <w:tcBorders>
              <w:top w:val="single" w:sz="2" w:space="0" w:color="auto"/>
              <w:left w:val="nil"/>
              <w:bottom w:val="single" w:sz="4" w:space="0" w:color="auto"/>
              <w:right w:val="nil"/>
            </w:tcBorders>
            <w:shd w:val="clear" w:color="auto" w:fill="auto"/>
            <w:noWrap/>
            <w:vAlign w:val="center"/>
            <w:hideMark/>
          </w:tcPr>
          <w:p w14:paraId="711CB36A" w14:textId="77777777" w:rsidR="003D644A" w:rsidRPr="003D644A" w:rsidRDefault="003D644A" w:rsidP="003D644A">
            <w:pPr>
              <w:spacing w:after="0"/>
              <w:ind w:firstLine="0"/>
              <w:jc w:val="right"/>
              <w:rPr>
                <w:rFonts w:ascii="Arial Narrow" w:hAnsi="Arial Narrow" w:cs="Calibri"/>
                <w:color w:val="000000"/>
                <w:lang w:val="es-ES" w:eastAsia="es-ES"/>
              </w:rPr>
            </w:pPr>
            <w:r w:rsidRPr="003D644A">
              <w:rPr>
                <w:rFonts w:ascii="Arial Narrow" w:hAnsi="Arial Narrow" w:cs="Calibri"/>
                <w:color w:val="000000"/>
                <w:lang w:eastAsia="es-ES"/>
              </w:rPr>
              <w:t>1.419</w:t>
            </w:r>
          </w:p>
        </w:tc>
      </w:tr>
      <w:tr w:rsidR="003D644A" w:rsidRPr="003D644A" w14:paraId="1712EAE3" w14:textId="77777777" w:rsidTr="00686E66">
        <w:trPr>
          <w:trHeight w:val="255"/>
        </w:trPr>
        <w:tc>
          <w:tcPr>
            <w:tcW w:w="4900" w:type="dxa"/>
            <w:tcBorders>
              <w:top w:val="single" w:sz="4" w:space="0" w:color="auto"/>
              <w:left w:val="nil"/>
              <w:bottom w:val="single" w:sz="4" w:space="0" w:color="auto"/>
              <w:right w:val="nil"/>
            </w:tcBorders>
            <w:shd w:val="clear" w:color="000000" w:fill="FABF8F"/>
            <w:noWrap/>
            <w:vAlign w:val="center"/>
            <w:hideMark/>
          </w:tcPr>
          <w:p w14:paraId="47F37EB1" w14:textId="77777777" w:rsidR="003D644A" w:rsidRPr="003D644A" w:rsidRDefault="003D644A" w:rsidP="003D644A">
            <w:pPr>
              <w:spacing w:after="0"/>
              <w:ind w:firstLine="0"/>
              <w:jc w:val="left"/>
              <w:rPr>
                <w:rFonts w:ascii="Arial" w:hAnsi="Arial" w:cs="Arial"/>
                <w:color w:val="000000"/>
                <w:sz w:val="18"/>
                <w:szCs w:val="18"/>
                <w:lang w:val="es-ES" w:eastAsia="es-ES"/>
              </w:rPr>
            </w:pPr>
            <w:r w:rsidRPr="003D644A">
              <w:rPr>
                <w:rFonts w:ascii="Arial" w:hAnsi="Arial" w:cs="Arial"/>
                <w:color w:val="000000"/>
                <w:sz w:val="18"/>
                <w:szCs w:val="18"/>
                <w:lang w:val="es-ES" w:eastAsia="es-ES"/>
              </w:rPr>
              <w:t xml:space="preserve">Total </w:t>
            </w:r>
          </w:p>
        </w:tc>
        <w:tc>
          <w:tcPr>
            <w:tcW w:w="3889" w:type="dxa"/>
            <w:tcBorders>
              <w:top w:val="single" w:sz="4" w:space="0" w:color="auto"/>
              <w:left w:val="nil"/>
              <w:bottom w:val="single" w:sz="4" w:space="0" w:color="auto"/>
              <w:right w:val="nil"/>
            </w:tcBorders>
            <w:shd w:val="clear" w:color="000000" w:fill="FABF8F"/>
            <w:noWrap/>
            <w:vAlign w:val="center"/>
            <w:hideMark/>
          </w:tcPr>
          <w:p w14:paraId="63503520" w14:textId="77777777" w:rsidR="003D644A" w:rsidRPr="003D644A" w:rsidRDefault="003D644A" w:rsidP="003D644A">
            <w:pPr>
              <w:spacing w:after="0"/>
              <w:ind w:firstLine="0"/>
              <w:jc w:val="right"/>
              <w:rPr>
                <w:rFonts w:ascii="Arial" w:hAnsi="Arial" w:cs="Arial"/>
                <w:color w:val="000000"/>
                <w:sz w:val="18"/>
                <w:szCs w:val="18"/>
                <w:lang w:val="es-ES" w:eastAsia="es-ES"/>
              </w:rPr>
            </w:pPr>
            <w:r w:rsidRPr="003D644A">
              <w:rPr>
                <w:rFonts w:ascii="Arial" w:hAnsi="Arial" w:cs="Arial"/>
                <w:color w:val="000000"/>
                <w:sz w:val="18"/>
                <w:szCs w:val="18"/>
                <w:lang w:eastAsia="es-ES"/>
              </w:rPr>
              <w:t>3.013.499</w:t>
            </w:r>
          </w:p>
        </w:tc>
      </w:tr>
    </w:tbl>
    <w:p w14:paraId="4BC9CD46" w14:textId="77777777" w:rsidR="003D644A" w:rsidRDefault="003D644A" w:rsidP="00807992">
      <w:pPr>
        <w:pStyle w:val="texto"/>
        <w:rPr>
          <w:lang w:val="es-ES"/>
        </w:rPr>
      </w:pPr>
    </w:p>
    <w:p w14:paraId="17D4C2DC" w14:textId="77777777" w:rsidR="004526EA" w:rsidRDefault="00807992" w:rsidP="004526EA">
      <w:pPr>
        <w:tabs>
          <w:tab w:val="center" w:pos="2835"/>
          <w:tab w:val="center" w:pos="3969"/>
          <w:tab w:val="center" w:pos="5103"/>
          <w:tab w:val="center" w:pos="6237"/>
          <w:tab w:val="center" w:pos="7371"/>
        </w:tabs>
        <w:ind w:firstLine="284"/>
        <w:rPr>
          <w:spacing w:val="6"/>
          <w:sz w:val="26"/>
          <w:szCs w:val="24"/>
          <w:lang w:val="es-ES"/>
        </w:rPr>
      </w:pPr>
      <w:r>
        <w:rPr>
          <w:spacing w:val="6"/>
          <w:sz w:val="26"/>
          <w:szCs w:val="24"/>
          <w:lang w:val="es-ES"/>
        </w:rPr>
        <w:t xml:space="preserve">En concreto, </w:t>
      </w:r>
      <w:r w:rsidRPr="00FB0EFB">
        <w:rPr>
          <w:spacing w:val="6"/>
          <w:sz w:val="26"/>
          <w:szCs w:val="24"/>
          <w:lang w:val="es-ES"/>
        </w:rPr>
        <w:t>hemos</w:t>
      </w:r>
      <w:r>
        <w:rPr>
          <w:spacing w:val="6"/>
          <w:sz w:val="26"/>
          <w:szCs w:val="24"/>
          <w:lang w:val="es-ES"/>
        </w:rPr>
        <w:t xml:space="preserve"> analizado y</w:t>
      </w:r>
      <w:r w:rsidRPr="00FB0EFB">
        <w:rPr>
          <w:spacing w:val="6"/>
          <w:sz w:val="26"/>
          <w:szCs w:val="24"/>
          <w:lang w:val="es-ES"/>
        </w:rPr>
        <w:t xml:space="preserve"> revisado </w:t>
      </w:r>
      <w:r>
        <w:rPr>
          <w:spacing w:val="6"/>
          <w:sz w:val="26"/>
          <w:szCs w:val="24"/>
          <w:lang w:val="es-ES"/>
        </w:rPr>
        <w:t xml:space="preserve">13 conceptos de nómina, correspondientes a </w:t>
      </w:r>
      <w:r w:rsidR="0048799F">
        <w:rPr>
          <w:spacing w:val="6"/>
          <w:sz w:val="26"/>
          <w:szCs w:val="24"/>
          <w:lang w:val="es-ES"/>
        </w:rPr>
        <w:t>1.</w:t>
      </w:r>
      <w:r w:rsidR="00284524">
        <w:rPr>
          <w:spacing w:val="6"/>
          <w:sz w:val="26"/>
          <w:szCs w:val="24"/>
          <w:lang w:val="es-ES"/>
        </w:rPr>
        <w:t xml:space="preserve">469 </w:t>
      </w:r>
      <w:r>
        <w:rPr>
          <w:spacing w:val="6"/>
          <w:sz w:val="26"/>
          <w:szCs w:val="24"/>
          <w:lang w:val="es-ES"/>
        </w:rPr>
        <w:t xml:space="preserve">personas contenidos en un total de </w:t>
      </w:r>
      <w:r w:rsidR="0048799F">
        <w:rPr>
          <w:spacing w:val="6"/>
          <w:sz w:val="26"/>
          <w:szCs w:val="24"/>
          <w:lang w:val="es-ES"/>
        </w:rPr>
        <w:t>5.</w:t>
      </w:r>
      <w:r w:rsidR="00284524">
        <w:rPr>
          <w:spacing w:val="6"/>
          <w:sz w:val="26"/>
          <w:szCs w:val="24"/>
          <w:lang w:val="es-ES"/>
        </w:rPr>
        <w:t>916</w:t>
      </w:r>
      <w:r>
        <w:rPr>
          <w:spacing w:val="6"/>
          <w:sz w:val="26"/>
          <w:szCs w:val="24"/>
          <w:lang w:val="es-ES"/>
        </w:rPr>
        <w:t xml:space="preserve"> registros y por un importe total de </w:t>
      </w:r>
      <w:r w:rsidR="00284524">
        <w:rPr>
          <w:spacing w:val="6"/>
          <w:sz w:val="26"/>
          <w:szCs w:val="24"/>
          <w:lang w:val="es-ES"/>
        </w:rPr>
        <w:t xml:space="preserve">3,01 </w:t>
      </w:r>
      <w:r>
        <w:rPr>
          <w:spacing w:val="6"/>
          <w:sz w:val="26"/>
          <w:szCs w:val="24"/>
          <w:lang w:val="es-ES"/>
        </w:rPr>
        <w:t xml:space="preserve">millones; este importe supone el </w:t>
      </w:r>
      <w:r w:rsidR="00284524">
        <w:rPr>
          <w:spacing w:val="6"/>
          <w:sz w:val="26"/>
          <w:szCs w:val="24"/>
          <w:lang w:val="es-ES"/>
        </w:rPr>
        <w:t>79</w:t>
      </w:r>
      <w:r>
        <w:rPr>
          <w:spacing w:val="6"/>
          <w:sz w:val="26"/>
          <w:szCs w:val="24"/>
          <w:lang w:val="es-ES"/>
        </w:rPr>
        <w:t xml:space="preserve"> por ci</w:t>
      </w:r>
      <w:r w:rsidR="00284524">
        <w:rPr>
          <w:spacing w:val="6"/>
          <w:sz w:val="26"/>
          <w:szCs w:val="24"/>
          <w:lang w:val="es-ES"/>
        </w:rPr>
        <w:t xml:space="preserve">ento de la nómina de noviembre del personal activo del ayuntamiento. Se ha revisado el cien por cien de las retribuciones asociadas a los complementos </w:t>
      </w:r>
      <w:r w:rsidR="001117EE">
        <w:rPr>
          <w:spacing w:val="6"/>
          <w:sz w:val="26"/>
          <w:szCs w:val="24"/>
          <w:lang w:val="es-ES"/>
        </w:rPr>
        <w:t xml:space="preserve">recogidos en la plantilla orgánica. </w:t>
      </w:r>
    </w:p>
    <w:p w14:paraId="58442FE3" w14:textId="77777777" w:rsidR="00942A7B" w:rsidRPr="00942A7B" w:rsidRDefault="00807992" w:rsidP="004526EA">
      <w:pPr>
        <w:tabs>
          <w:tab w:val="center" w:pos="2835"/>
          <w:tab w:val="center" w:pos="3969"/>
          <w:tab w:val="center" w:pos="5103"/>
          <w:tab w:val="center" w:pos="6237"/>
          <w:tab w:val="center" w:pos="7371"/>
        </w:tabs>
        <w:ind w:firstLine="284"/>
        <w:rPr>
          <w:spacing w:val="6"/>
          <w:sz w:val="26"/>
          <w:szCs w:val="24"/>
        </w:rPr>
      </w:pPr>
      <w:r w:rsidRPr="00331803">
        <w:rPr>
          <w:spacing w:val="6"/>
          <w:sz w:val="26"/>
          <w:szCs w:val="24"/>
        </w:rPr>
        <w:t>En términos g</w:t>
      </w:r>
      <w:r>
        <w:rPr>
          <w:spacing w:val="6"/>
          <w:sz w:val="26"/>
          <w:szCs w:val="24"/>
        </w:rPr>
        <w:t>enerales, los trabajadores del a</w:t>
      </w:r>
      <w:r w:rsidRPr="00331803">
        <w:rPr>
          <w:spacing w:val="6"/>
          <w:sz w:val="26"/>
          <w:szCs w:val="24"/>
        </w:rPr>
        <w:t xml:space="preserve">yuntamiento han percibido adecuadamente los conceptos retributivos revisados, </w:t>
      </w:r>
      <w:r>
        <w:rPr>
          <w:spacing w:val="6"/>
          <w:sz w:val="26"/>
          <w:szCs w:val="24"/>
        </w:rPr>
        <w:t>si bien</w:t>
      </w:r>
      <w:r w:rsidRPr="00667DFF">
        <w:rPr>
          <w:spacing w:val="6"/>
          <w:sz w:val="26"/>
          <w:szCs w:val="24"/>
        </w:rPr>
        <w:t xml:space="preserve"> señalamos las </w:t>
      </w:r>
      <w:r w:rsidR="00942A7B">
        <w:rPr>
          <w:spacing w:val="6"/>
          <w:sz w:val="26"/>
          <w:szCs w:val="24"/>
        </w:rPr>
        <w:t>siguientes deficien</w:t>
      </w:r>
      <w:r w:rsidR="00942A7B" w:rsidRPr="00942A7B">
        <w:rPr>
          <w:spacing w:val="6"/>
          <w:sz w:val="26"/>
          <w:szCs w:val="24"/>
        </w:rPr>
        <w:t>cias:</w:t>
      </w:r>
    </w:p>
    <w:p w14:paraId="4AEDF99F" w14:textId="77777777" w:rsidR="00942A7B" w:rsidRPr="00152EBD" w:rsidRDefault="00942A7B" w:rsidP="00942A7B">
      <w:pPr>
        <w:numPr>
          <w:ilvl w:val="0"/>
          <w:numId w:val="10"/>
        </w:numPr>
        <w:tabs>
          <w:tab w:val="num" w:pos="284"/>
          <w:tab w:val="num" w:pos="600"/>
          <w:tab w:val="num" w:pos="720"/>
          <w:tab w:val="num" w:pos="1320"/>
        </w:tabs>
        <w:spacing w:before="120" w:after="120"/>
        <w:rPr>
          <w:spacing w:val="6"/>
          <w:sz w:val="26"/>
          <w:szCs w:val="26"/>
        </w:rPr>
      </w:pPr>
      <w:r w:rsidRPr="00152EBD">
        <w:rPr>
          <w:spacing w:val="6"/>
          <w:sz w:val="26"/>
          <w:szCs w:val="26"/>
        </w:rPr>
        <w:t xml:space="preserve">Se siguen abonando retribuciones recogidas en plantilla como “complemento docente”. Este complemento únicamente se contempla en </w:t>
      </w:r>
      <w:r w:rsidR="00793E57">
        <w:rPr>
          <w:spacing w:val="6"/>
          <w:sz w:val="26"/>
          <w:szCs w:val="26"/>
        </w:rPr>
        <w:t xml:space="preserve">el </w:t>
      </w:r>
      <w:r w:rsidR="00C717BE">
        <w:rPr>
          <w:spacing w:val="6"/>
          <w:sz w:val="26"/>
          <w:szCs w:val="24"/>
          <w:lang w:val="es-ES"/>
        </w:rPr>
        <w:t>TREP</w:t>
      </w:r>
      <w:r w:rsidR="00AD7C94" w:rsidRPr="00152EBD">
        <w:rPr>
          <w:spacing w:val="6"/>
          <w:sz w:val="26"/>
          <w:szCs w:val="26"/>
        </w:rPr>
        <w:t xml:space="preserve"> </w:t>
      </w:r>
      <w:r w:rsidRPr="00152EBD">
        <w:rPr>
          <w:spacing w:val="6"/>
          <w:sz w:val="26"/>
          <w:szCs w:val="26"/>
        </w:rPr>
        <w:t>para el personal funcionario docente no universi</w:t>
      </w:r>
      <w:r w:rsidR="00F60A31">
        <w:rPr>
          <w:spacing w:val="6"/>
          <w:sz w:val="26"/>
          <w:szCs w:val="26"/>
        </w:rPr>
        <w:t>tario dependiente de la Administración de la Comunidad Foral de Navarra.</w:t>
      </w:r>
    </w:p>
    <w:p w14:paraId="268E20A8" w14:textId="77777777" w:rsidR="00AD7C94" w:rsidRDefault="00AD7C94" w:rsidP="00AD7C94">
      <w:pPr>
        <w:numPr>
          <w:ilvl w:val="0"/>
          <w:numId w:val="10"/>
        </w:numPr>
        <w:tabs>
          <w:tab w:val="num" w:pos="284"/>
          <w:tab w:val="num" w:pos="600"/>
          <w:tab w:val="num" w:pos="720"/>
          <w:tab w:val="num" w:pos="1320"/>
        </w:tabs>
        <w:spacing w:before="120" w:after="120"/>
        <w:rPr>
          <w:spacing w:val="6"/>
          <w:sz w:val="26"/>
          <w:szCs w:val="26"/>
        </w:rPr>
      </w:pPr>
      <w:r w:rsidRPr="00793E57">
        <w:rPr>
          <w:spacing w:val="6"/>
          <w:sz w:val="26"/>
          <w:szCs w:val="26"/>
        </w:rPr>
        <w:t>E</w:t>
      </w:r>
      <w:r w:rsidR="00152EBD" w:rsidRPr="00793E57">
        <w:rPr>
          <w:spacing w:val="6"/>
          <w:sz w:val="26"/>
          <w:szCs w:val="26"/>
        </w:rPr>
        <w:t>l complemento de funciones de puesto que aparece en los conceptos revisados se corresponde con carácter general con un complemento de puesto de trabajo, contemplado e</w:t>
      </w:r>
      <w:r w:rsidRPr="00793E57">
        <w:rPr>
          <w:spacing w:val="6"/>
          <w:sz w:val="26"/>
          <w:szCs w:val="26"/>
        </w:rPr>
        <w:t>n el Anexo IV</w:t>
      </w:r>
      <w:r w:rsidR="00152EBD" w:rsidRPr="00793E57">
        <w:rPr>
          <w:spacing w:val="6"/>
          <w:sz w:val="26"/>
          <w:szCs w:val="26"/>
        </w:rPr>
        <w:t>-4</w:t>
      </w:r>
      <w:r w:rsidRPr="00793E57">
        <w:rPr>
          <w:spacing w:val="6"/>
          <w:sz w:val="26"/>
          <w:szCs w:val="26"/>
        </w:rPr>
        <w:t xml:space="preserve"> </w:t>
      </w:r>
      <w:r w:rsidR="00152EBD" w:rsidRPr="00793E57">
        <w:rPr>
          <w:spacing w:val="6"/>
          <w:sz w:val="26"/>
          <w:szCs w:val="26"/>
        </w:rPr>
        <w:t xml:space="preserve">“Retribuciones complementarias de carácter provisional” </w:t>
      </w:r>
      <w:r w:rsidRPr="00793E57">
        <w:rPr>
          <w:spacing w:val="6"/>
          <w:sz w:val="26"/>
          <w:szCs w:val="26"/>
        </w:rPr>
        <w:t>de la plantilla orgánica</w:t>
      </w:r>
      <w:r w:rsidR="00152EBD" w:rsidRPr="00793E57">
        <w:rPr>
          <w:spacing w:val="6"/>
          <w:sz w:val="26"/>
          <w:szCs w:val="26"/>
        </w:rPr>
        <w:t xml:space="preserve"> que</w:t>
      </w:r>
      <w:r w:rsidR="0053252A">
        <w:rPr>
          <w:spacing w:val="6"/>
          <w:sz w:val="26"/>
          <w:szCs w:val="26"/>
        </w:rPr>
        <w:t xml:space="preserve"> se vincula a ciertas funciones;</w:t>
      </w:r>
      <w:r w:rsidRPr="00793E57">
        <w:rPr>
          <w:spacing w:val="6"/>
          <w:sz w:val="26"/>
          <w:szCs w:val="26"/>
        </w:rPr>
        <w:t xml:space="preserve"> y en algún caso</w:t>
      </w:r>
      <w:r w:rsidR="00152EBD" w:rsidRPr="00793E57">
        <w:rPr>
          <w:spacing w:val="6"/>
          <w:sz w:val="26"/>
          <w:szCs w:val="26"/>
        </w:rPr>
        <w:t>,</w:t>
      </w:r>
      <w:r w:rsidRPr="00793E57">
        <w:rPr>
          <w:spacing w:val="6"/>
          <w:sz w:val="26"/>
          <w:szCs w:val="26"/>
        </w:rPr>
        <w:t xml:space="preserve"> limi</w:t>
      </w:r>
      <w:r w:rsidR="00152EBD" w:rsidRPr="00793E57">
        <w:rPr>
          <w:spacing w:val="6"/>
          <w:sz w:val="26"/>
          <w:szCs w:val="26"/>
        </w:rPr>
        <w:t xml:space="preserve">tando el número </w:t>
      </w:r>
      <w:r w:rsidR="00F60A31">
        <w:rPr>
          <w:spacing w:val="6"/>
          <w:sz w:val="26"/>
          <w:szCs w:val="26"/>
        </w:rPr>
        <w:t>máximo de trabajadores que pueden percibirlo</w:t>
      </w:r>
      <w:r w:rsidR="00CF08F5">
        <w:rPr>
          <w:spacing w:val="6"/>
          <w:sz w:val="26"/>
          <w:szCs w:val="26"/>
        </w:rPr>
        <w:t>.</w:t>
      </w:r>
    </w:p>
    <w:p w14:paraId="358782FB" w14:textId="77777777" w:rsidR="00754803" w:rsidRDefault="00CF08F5" w:rsidP="00754803">
      <w:pPr>
        <w:tabs>
          <w:tab w:val="center" w:pos="2835"/>
          <w:tab w:val="center" w:pos="3969"/>
          <w:tab w:val="center" w:pos="5103"/>
          <w:tab w:val="center" w:pos="6237"/>
          <w:tab w:val="center" w:pos="7371"/>
        </w:tabs>
        <w:ind w:firstLine="284"/>
        <w:rPr>
          <w:spacing w:val="6"/>
          <w:sz w:val="26"/>
          <w:szCs w:val="26"/>
        </w:rPr>
      </w:pPr>
      <w:r w:rsidRPr="00CF08F5">
        <w:rPr>
          <w:spacing w:val="6"/>
          <w:sz w:val="26"/>
          <w:szCs w:val="24"/>
        </w:rPr>
        <w:t>Además, hemos observado que 26 empleados lo han percibido sin que tengan soporte en el citado anexo, si bien existen informes de servicios competentes y/o resolución expresa de autorización y abono</w:t>
      </w:r>
      <w:r>
        <w:rPr>
          <w:spacing w:val="6"/>
          <w:sz w:val="26"/>
          <w:szCs w:val="24"/>
        </w:rPr>
        <w:t xml:space="preserve">. </w:t>
      </w:r>
      <w:r w:rsidR="00754803" w:rsidRPr="00754803">
        <w:rPr>
          <w:spacing w:val="6"/>
          <w:sz w:val="26"/>
          <w:szCs w:val="24"/>
          <w:lang w:val="es-ES"/>
        </w:rPr>
        <w:t xml:space="preserve">No obstante, en el caso de los tres empleados pertenecientes al colectivo de la Policía Municipal, destacamos </w:t>
      </w:r>
      <w:proofErr w:type="gramStart"/>
      <w:r w:rsidR="00754803" w:rsidRPr="00754803">
        <w:rPr>
          <w:spacing w:val="6"/>
          <w:sz w:val="26"/>
          <w:szCs w:val="24"/>
          <w:lang w:val="es-ES"/>
        </w:rPr>
        <w:t>que</w:t>
      </w:r>
      <w:proofErr w:type="gramEnd"/>
      <w:r w:rsidR="00754803" w:rsidRPr="00754803">
        <w:rPr>
          <w:spacing w:val="6"/>
          <w:sz w:val="26"/>
          <w:szCs w:val="24"/>
          <w:lang w:val="es-ES"/>
        </w:rPr>
        <w:t xml:space="preserve"> desde la entrada en vigor en abril de 2017 del nuevo Reglamento de Organización y Funcionamiento de la Policía Municipal, se debiera haber contemplado en la </w:t>
      </w:r>
      <w:r w:rsidR="00754803" w:rsidRPr="00754803">
        <w:rPr>
          <w:spacing w:val="6"/>
          <w:sz w:val="26"/>
          <w:szCs w:val="24"/>
          <w:lang w:val="es-ES"/>
        </w:rPr>
        <w:lastRenderedPageBreak/>
        <w:t>plantilla orgánica los complementos que correspondiesen a cada puesto de trabajo en coherencia con el ejercicio de funciones establecido en el marco legal vigente.</w:t>
      </w:r>
      <w:r>
        <w:rPr>
          <w:rStyle w:val="Refdenotaalpie"/>
          <w:spacing w:val="6"/>
          <w:sz w:val="26"/>
          <w:szCs w:val="24"/>
        </w:rPr>
        <w:footnoteReference w:id="6"/>
      </w:r>
      <w:r w:rsidR="00754803" w:rsidRPr="002625D3">
        <w:rPr>
          <w:spacing w:val="6"/>
          <w:sz w:val="26"/>
          <w:szCs w:val="26"/>
        </w:rPr>
        <w:t xml:space="preserve"> </w:t>
      </w:r>
    </w:p>
    <w:p w14:paraId="2AB8A8A2" w14:textId="77777777" w:rsidR="004526EA" w:rsidRPr="002625D3" w:rsidRDefault="009838F0" w:rsidP="00754803">
      <w:pPr>
        <w:numPr>
          <w:ilvl w:val="0"/>
          <w:numId w:val="10"/>
        </w:numPr>
        <w:tabs>
          <w:tab w:val="num" w:pos="284"/>
          <w:tab w:val="num" w:pos="600"/>
          <w:tab w:val="num" w:pos="720"/>
          <w:tab w:val="num" w:pos="1320"/>
        </w:tabs>
        <w:spacing w:before="120" w:after="120"/>
        <w:rPr>
          <w:spacing w:val="6"/>
          <w:sz w:val="26"/>
          <w:szCs w:val="26"/>
        </w:rPr>
      </w:pPr>
      <w:r w:rsidRPr="002625D3">
        <w:rPr>
          <w:spacing w:val="6"/>
          <w:sz w:val="26"/>
          <w:szCs w:val="26"/>
        </w:rPr>
        <w:t xml:space="preserve">El 21 de mayo de </w:t>
      </w:r>
      <w:r w:rsidR="00807992" w:rsidRPr="002625D3">
        <w:rPr>
          <w:spacing w:val="6"/>
          <w:sz w:val="26"/>
          <w:szCs w:val="26"/>
        </w:rPr>
        <w:t>201</w:t>
      </w:r>
      <w:r w:rsidR="002317B9" w:rsidRPr="002625D3">
        <w:rPr>
          <w:spacing w:val="6"/>
          <w:sz w:val="26"/>
          <w:szCs w:val="26"/>
        </w:rPr>
        <w:t>9</w:t>
      </w:r>
      <w:r w:rsidR="008E63C4" w:rsidRPr="002625D3">
        <w:rPr>
          <w:spacing w:val="6"/>
          <w:sz w:val="26"/>
          <w:szCs w:val="26"/>
        </w:rPr>
        <w:t>,</w:t>
      </w:r>
      <w:r w:rsidR="00807992" w:rsidRPr="002625D3">
        <w:rPr>
          <w:spacing w:val="6"/>
          <w:sz w:val="26"/>
          <w:szCs w:val="26"/>
        </w:rPr>
        <w:t xml:space="preserve"> </w:t>
      </w:r>
      <w:r w:rsidR="00CE2211" w:rsidRPr="002625D3">
        <w:rPr>
          <w:spacing w:val="6"/>
          <w:sz w:val="26"/>
          <w:szCs w:val="26"/>
        </w:rPr>
        <w:t>en aplicación del “II Acuerdo Gobierno-Sindicatos para la mejora del empleo público y las condiciones de trabajo”</w:t>
      </w:r>
      <w:r w:rsidR="00CE2211" w:rsidRPr="00754803">
        <w:rPr>
          <w:spacing w:val="6"/>
          <w:sz w:val="26"/>
          <w:szCs w:val="26"/>
        </w:rPr>
        <w:footnoteReference w:id="7"/>
      </w:r>
      <w:r w:rsidR="00CE2211" w:rsidRPr="002625D3">
        <w:rPr>
          <w:spacing w:val="6"/>
          <w:sz w:val="26"/>
          <w:szCs w:val="26"/>
        </w:rPr>
        <w:t xml:space="preserve"> </w:t>
      </w:r>
      <w:r w:rsidR="00A54E24" w:rsidRPr="002625D3">
        <w:rPr>
          <w:spacing w:val="6"/>
          <w:sz w:val="26"/>
          <w:szCs w:val="26"/>
        </w:rPr>
        <w:t>aprobado</w:t>
      </w:r>
      <w:r w:rsidR="00CE2211" w:rsidRPr="002625D3">
        <w:rPr>
          <w:spacing w:val="6"/>
          <w:sz w:val="26"/>
          <w:szCs w:val="26"/>
        </w:rPr>
        <w:t xml:space="preserve"> en el Estado en marzo de 2018, </w:t>
      </w:r>
      <w:r w:rsidR="00DA7B18" w:rsidRPr="002625D3">
        <w:rPr>
          <w:spacing w:val="6"/>
          <w:sz w:val="26"/>
          <w:szCs w:val="26"/>
        </w:rPr>
        <w:t>se aprobó el</w:t>
      </w:r>
      <w:r w:rsidR="00807992" w:rsidRPr="002625D3">
        <w:rPr>
          <w:spacing w:val="6"/>
          <w:sz w:val="26"/>
          <w:szCs w:val="26"/>
        </w:rPr>
        <w:t xml:space="preserve"> </w:t>
      </w:r>
      <w:r w:rsidR="00257C3B" w:rsidRPr="002625D3">
        <w:rPr>
          <w:spacing w:val="6"/>
          <w:sz w:val="26"/>
          <w:szCs w:val="26"/>
        </w:rPr>
        <w:t>“</w:t>
      </w:r>
      <w:r w:rsidR="00807992" w:rsidRPr="002625D3">
        <w:rPr>
          <w:spacing w:val="6"/>
          <w:sz w:val="26"/>
          <w:szCs w:val="26"/>
        </w:rPr>
        <w:t>Acuerdo para la mejora del empleo público y de las condiciones de trabajo</w:t>
      </w:r>
      <w:r w:rsidR="00581F93" w:rsidRPr="002625D3">
        <w:rPr>
          <w:spacing w:val="6"/>
          <w:sz w:val="26"/>
          <w:szCs w:val="26"/>
        </w:rPr>
        <w:t xml:space="preserve"> entre el Ayuntamiento/OOAA y los sindicatos</w:t>
      </w:r>
      <w:r w:rsidR="00257C3B" w:rsidRPr="002625D3">
        <w:rPr>
          <w:spacing w:val="6"/>
          <w:sz w:val="26"/>
          <w:szCs w:val="26"/>
        </w:rPr>
        <w:t>”</w:t>
      </w:r>
      <w:r w:rsidR="00807992" w:rsidRPr="002625D3">
        <w:rPr>
          <w:spacing w:val="6"/>
          <w:sz w:val="26"/>
          <w:szCs w:val="26"/>
        </w:rPr>
        <w:t>, por el que se establecía entre otros aspectos, una serie de incrementos retributivos de carácter plurianual para el horizonte 201</w:t>
      </w:r>
      <w:r w:rsidR="00581F93" w:rsidRPr="002625D3">
        <w:rPr>
          <w:spacing w:val="6"/>
          <w:sz w:val="26"/>
          <w:szCs w:val="26"/>
        </w:rPr>
        <w:t>9</w:t>
      </w:r>
      <w:r w:rsidR="00807992" w:rsidRPr="002625D3">
        <w:rPr>
          <w:spacing w:val="6"/>
          <w:sz w:val="26"/>
          <w:szCs w:val="26"/>
        </w:rPr>
        <w:t xml:space="preserve">-2021. </w:t>
      </w:r>
      <w:r w:rsidR="007E55E1" w:rsidRPr="002625D3">
        <w:rPr>
          <w:spacing w:val="6"/>
          <w:sz w:val="26"/>
          <w:szCs w:val="26"/>
        </w:rPr>
        <w:t>Deriv</w:t>
      </w:r>
      <w:r w:rsidR="005051BB" w:rsidRPr="002625D3">
        <w:rPr>
          <w:spacing w:val="6"/>
          <w:sz w:val="26"/>
          <w:szCs w:val="26"/>
        </w:rPr>
        <w:t xml:space="preserve">ado del citado acuerdo, </w:t>
      </w:r>
      <w:r w:rsidR="00754803">
        <w:rPr>
          <w:spacing w:val="6"/>
          <w:sz w:val="26"/>
          <w:szCs w:val="26"/>
        </w:rPr>
        <w:t xml:space="preserve">y para el ejercicio </w:t>
      </w:r>
      <w:r w:rsidR="006639E5" w:rsidRPr="002625D3">
        <w:rPr>
          <w:spacing w:val="6"/>
          <w:sz w:val="26"/>
          <w:szCs w:val="26"/>
        </w:rPr>
        <w:t xml:space="preserve">2021 se </w:t>
      </w:r>
      <w:r w:rsidR="00754803">
        <w:rPr>
          <w:spacing w:val="6"/>
          <w:sz w:val="26"/>
          <w:szCs w:val="26"/>
        </w:rPr>
        <w:t xml:space="preserve">aprobó y se ha </w:t>
      </w:r>
      <w:r w:rsidR="006639E5" w:rsidRPr="002625D3">
        <w:rPr>
          <w:spacing w:val="6"/>
          <w:sz w:val="26"/>
          <w:szCs w:val="26"/>
        </w:rPr>
        <w:t>aplicado lo siguiente:</w:t>
      </w:r>
    </w:p>
    <w:p w14:paraId="092A1357" w14:textId="77777777" w:rsidR="003D644A" w:rsidRPr="00CE2211" w:rsidRDefault="003D644A" w:rsidP="00290862">
      <w:pPr>
        <w:pStyle w:val="Prrafodelista"/>
        <w:numPr>
          <w:ilvl w:val="0"/>
          <w:numId w:val="25"/>
        </w:numPr>
        <w:tabs>
          <w:tab w:val="num" w:pos="600"/>
          <w:tab w:val="num" w:pos="673"/>
          <w:tab w:val="num" w:pos="720"/>
          <w:tab w:val="num" w:pos="1320"/>
        </w:tabs>
        <w:spacing w:before="120" w:after="0"/>
        <w:rPr>
          <w:spacing w:val="6"/>
          <w:sz w:val="26"/>
          <w:szCs w:val="24"/>
        </w:rPr>
      </w:pPr>
      <w:r w:rsidRPr="00CE2211">
        <w:rPr>
          <w:spacing w:val="6"/>
          <w:sz w:val="26"/>
          <w:szCs w:val="24"/>
        </w:rPr>
        <w:t xml:space="preserve">Ayuda familiar: Se ha abonado un porcentaje superior al sueldo base del nivel E en un 2,75 por ciento. </w:t>
      </w:r>
      <w:r w:rsidR="00A72BE3" w:rsidRPr="00CE2211">
        <w:rPr>
          <w:spacing w:val="6"/>
          <w:sz w:val="26"/>
          <w:szCs w:val="24"/>
        </w:rPr>
        <w:t>No hemos podido cuantificar el exceso percibido</w:t>
      </w:r>
      <w:r w:rsidR="005051BB" w:rsidRPr="00CE2211">
        <w:rPr>
          <w:spacing w:val="6"/>
          <w:sz w:val="26"/>
          <w:szCs w:val="24"/>
        </w:rPr>
        <w:t>.</w:t>
      </w:r>
    </w:p>
    <w:p w14:paraId="2E34A4D5" w14:textId="77777777" w:rsidR="003D644A" w:rsidRPr="00CE2211" w:rsidRDefault="00807992" w:rsidP="00290862">
      <w:pPr>
        <w:pStyle w:val="Prrafodelista"/>
        <w:numPr>
          <w:ilvl w:val="0"/>
          <w:numId w:val="25"/>
        </w:numPr>
        <w:tabs>
          <w:tab w:val="num" w:pos="600"/>
          <w:tab w:val="num" w:pos="673"/>
          <w:tab w:val="num" w:pos="720"/>
          <w:tab w:val="num" w:pos="1320"/>
        </w:tabs>
        <w:spacing w:before="120" w:after="0"/>
        <w:rPr>
          <w:spacing w:val="6"/>
          <w:sz w:val="26"/>
          <w:szCs w:val="24"/>
        </w:rPr>
      </w:pPr>
      <w:r w:rsidRPr="00CE2211">
        <w:rPr>
          <w:spacing w:val="6"/>
          <w:sz w:val="26"/>
          <w:szCs w:val="24"/>
        </w:rPr>
        <w:t>Premio antigüedad</w:t>
      </w:r>
      <w:r w:rsidR="003D644A" w:rsidRPr="00CE2211">
        <w:rPr>
          <w:spacing w:val="6"/>
          <w:sz w:val="26"/>
          <w:szCs w:val="24"/>
        </w:rPr>
        <w:t>: Se ha abonado sobre el sueldo base del nivel D</w:t>
      </w:r>
      <w:r w:rsidR="00A72BE3" w:rsidRPr="00CE2211">
        <w:rPr>
          <w:spacing w:val="6"/>
          <w:sz w:val="26"/>
          <w:szCs w:val="24"/>
        </w:rPr>
        <w:t xml:space="preserve">. Hemos cuantificado el exceso percibido en </w:t>
      </w:r>
      <w:r w:rsidR="00907CF4" w:rsidRPr="00CE2211">
        <w:rPr>
          <w:spacing w:val="6"/>
          <w:sz w:val="26"/>
          <w:szCs w:val="24"/>
        </w:rPr>
        <w:t xml:space="preserve">26.650 euros. </w:t>
      </w:r>
    </w:p>
    <w:p w14:paraId="34A44A02" w14:textId="77777777" w:rsidR="008F08F1" w:rsidRPr="00FE5D89" w:rsidRDefault="003D644A" w:rsidP="003D644A">
      <w:pPr>
        <w:tabs>
          <w:tab w:val="num" w:pos="720"/>
          <w:tab w:val="num" w:pos="1320"/>
        </w:tabs>
        <w:spacing w:before="120" w:after="0"/>
        <w:ind w:firstLine="0"/>
        <w:rPr>
          <w:spacing w:val="6"/>
          <w:sz w:val="26"/>
          <w:szCs w:val="24"/>
        </w:rPr>
      </w:pPr>
      <w:r w:rsidRPr="00FE5D89">
        <w:rPr>
          <w:spacing w:val="6"/>
          <w:sz w:val="26"/>
          <w:szCs w:val="24"/>
        </w:rPr>
        <w:t xml:space="preserve">El </w:t>
      </w:r>
      <w:r w:rsidR="00907CF4" w:rsidRPr="00FE5D89">
        <w:rPr>
          <w:spacing w:val="6"/>
          <w:sz w:val="26"/>
          <w:szCs w:val="24"/>
        </w:rPr>
        <w:t xml:space="preserve">establecimiento y </w:t>
      </w:r>
      <w:r w:rsidRPr="00FE5D89">
        <w:rPr>
          <w:spacing w:val="6"/>
          <w:sz w:val="26"/>
          <w:szCs w:val="24"/>
        </w:rPr>
        <w:t xml:space="preserve">abono realizado por los citados complementos se ha realizado </w:t>
      </w:r>
      <w:r w:rsidR="008F08F1" w:rsidRPr="00FE5D89">
        <w:rPr>
          <w:spacing w:val="6"/>
          <w:sz w:val="26"/>
          <w:szCs w:val="24"/>
        </w:rPr>
        <w:t>contrariamente a lo establecido en el TREP</w:t>
      </w:r>
      <w:r w:rsidRPr="00FE5D89">
        <w:rPr>
          <w:spacing w:val="6"/>
          <w:sz w:val="26"/>
          <w:szCs w:val="24"/>
        </w:rPr>
        <w:t>, ya que son conceptos</w:t>
      </w:r>
      <w:r w:rsidR="008F08F1" w:rsidRPr="00FE5D89">
        <w:rPr>
          <w:spacing w:val="6"/>
          <w:sz w:val="26"/>
          <w:szCs w:val="24"/>
        </w:rPr>
        <w:t xml:space="preserve"> que se </w:t>
      </w:r>
      <w:r w:rsidR="008F26DB" w:rsidRPr="00FE5D89">
        <w:rPr>
          <w:spacing w:val="6"/>
          <w:sz w:val="26"/>
          <w:szCs w:val="24"/>
        </w:rPr>
        <w:t xml:space="preserve">calculan </w:t>
      </w:r>
      <w:r w:rsidR="008F08F1" w:rsidRPr="00FE5D89">
        <w:rPr>
          <w:spacing w:val="6"/>
          <w:sz w:val="26"/>
          <w:szCs w:val="24"/>
        </w:rPr>
        <w:t xml:space="preserve">sobre el </w:t>
      </w:r>
      <w:r w:rsidRPr="00FE5D89">
        <w:rPr>
          <w:spacing w:val="6"/>
          <w:sz w:val="26"/>
          <w:szCs w:val="24"/>
        </w:rPr>
        <w:t xml:space="preserve">sueldo base del </w:t>
      </w:r>
      <w:r w:rsidR="008F08F1" w:rsidRPr="00FE5D89">
        <w:rPr>
          <w:spacing w:val="6"/>
          <w:sz w:val="26"/>
          <w:szCs w:val="24"/>
        </w:rPr>
        <w:t xml:space="preserve">nivel E. </w:t>
      </w:r>
    </w:p>
    <w:p w14:paraId="1DB80545" w14:textId="77777777" w:rsidR="00807992" w:rsidRDefault="00807992" w:rsidP="00807992">
      <w:pPr>
        <w:tabs>
          <w:tab w:val="num" w:pos="600"/>
          <w:tab w:val="num" w:pos="720"/>
          <w:tab w:val="num" w:pos="1320"/>
        </w:tabs>
        <w:spacing w:before="240" w:after="120"/>
        <w:ind w:firstLine="284"/>
        <w:rPr>
          <w:rFonts w:cs="Arial"/>
          <w:i/>
          <w:spacing w:val="6"/>
          <w:sz w:val="26"/>
          <w:szCs w:val="24"/>
        </w:rPr>
      </w:pPr>
      <w:r>
        <w:rPr>
          <w:rFonts w:cs="Arial"/>
          <w:i/>
          <w:spacing w:val="6"/>
          <w:sz w:val="26"/>
          <w:szCs w:val="24"/>
        </w:rPr>
        <w:t>Revisión muestra convocatorias</w:t>
      </w:r>
    </w:p>
    <w:p w14:paraId="37AEFA0A" w14:textId="77777777" w:rsidR="00807992" w:rsidRDefault="00807992" w:rsidP="00807992">
      <w:pPr>
        <w:tabs>
          <w:tab w:val="num" w:pos="600"/>
          <w:tab w:val="num" w:pos="720"/>
          <w:tab w:val="num" w:pos="1320"/>
        </w:tabs>
        <w:spacing w:before="240" w:after="120"/>
        <w:ind w:firstLine="284"/>
        <w:rPr>
          <w:rFonts w:cs="Arial"/>
          <w:spacing w:val="6"/>
          <w:sz w:val="26"/>
          <w:szCs w:val="24"/>
        </w:rPr>
      </w:pPr>
      <w:r>
        <w:rPr>
          <w:rFonts w:cs="Arial"/>
          <w:spacing w:val="6"/>
          <w:sz w:val="26"/>
          <w:szCs w:val="24"/>
        </w:rPr>
        <w:t xml:space="preserve">Hemos revisado una convocatoria para listas de contratación de técnicos de enfermería del trabajo, resultando su desarrollo, en general, conforme con la normativa aplicable. </w:t>
      </w:r>
    </w:p>
    <w:p w14:paraId="4EBB2088" w14:textId="77777777" w:rsidR="00F760D7" w:rsidRPr="0079721A" w:rsidRDefault="00496A73" w:rsidP="00807992">
      <w:pPr>
        <w:tabs>
          <w:tab w:val="num" w:pos="600"/>
          <w:tab w:val="num" w:pos="720"/>
          <w:tab w:val="num" w:pos="1320"/>
        </w:tabs>
        <w:spacing w:before="240" w:after="120"/>
        <w:ind w:firstLine="284"/>
        <w:rPr>
          <w:rFonts w:cs="Arial"/>
          <w:spacing w:val="6"/>
          <w:sz w:val="26"/>
          <w:szCs w:val="24"/>
        </w:rPr>
      </w:pPr>
      <w:r w:rsidRPr="0079721A">
        <w:rPr>
          <w:rFonts w:cs="Arial"/>
          <w:spacing w:val="6"/>
          <w:sz w:val="26"/>
          <w:szCs w:val="24"/>
        </w:rPr>
        <w:t>Recomendamos</w:t>
      </w:r>
    </w:p>
    <w:p w14:paraId="7BDBE582" w14:textId="77777777" w:rsidR="00496A73" w:rsidRDefault="00496A73" w:rsidP="009302BE">
      <w:pPr>
        <w:numPr>
          <w:ilvl w:val="0"/>
          <w:numId w:val="10"/>
        </w:numPr>
        <w:tabs>
          <w:tab w:val="num" w:pos="284"/>
          <w:tab w:val="num" w:pos="600"/>
          <w:tab w:val="num" w:pos="720"/>
          <w:tab w:val="num" w:pos="1320"/>
        </w:tabs>
        <w:spacing w:after="120"/>
        <w:rPr>
          <w:rFonts w:cs="Arial"/>
          <w:i/>
          <w:spacing w:val="6"/>
          <w:sz w:val="26"/>
          <w:szCs w:val="24"/>
        </w:rPr>
      </w:pPr>
      <w:r w:rsidRPr="0079721A">
        <w:rPr>
          <w:rFonts w:cs="Arial"/>
          <w:i/>
          <w:spacing w:val="6"/>
          <w:sz w:val="26"/>
          <w:szCs w:val="24"/>
        </w:rPr>
        <w:t>Reflej</w:t>
      </w:r>
      <w:r w:rsidR="00907CF4" w:rsidRPr="0079721A">
        <w:rPr>
          <w:rFonts w:cs="Arial"/>
          <w:i/>
          <w:spacing w:val="6"/>
          <w:sz w:val="26"/>
          <w:szCs w:val="24"/>
        </w:rPr>
        <w:t>ar</w:t>
      </w:r>
      <w:r w:rsidR="00754803">
        <w:rPr>
          <w:rFonts w:cs="Arial"/>
          <w:i/>
          <w:spacing w:val="6"/>
          <w:sz w:val="26"/>
          <w:szCs w:val="24"/>
        </w:rPr>
        <w:t>,</w:t>
      </w:r>
      <w:r w:rsidR="00907CF4" w:rsidRPr="0079721A">
        <w:rPr>
          <w:rFonts w:cs="Arial"/>
          <w:i/>
          <w:spacing w:val="6"/>
          <w:sz w:val="26"/>
          <w:szCs w:val="24"/>
        </w:rPr>
        <w:t xml:space="preserve"> </w:t>
      </w:r>
      <w:r w:rsidR="00907CF4" w:rsidRPr="0041164D">
        <w:rPr>
          <w:rFonts w:cs="Arial"/>
          <w:i/>
          <w:spacing w:val="6"/>
          <w:sz w:val="26"/>
          <w:szCs w:val="24"/>
        </w:rPr>
        <w:t>por</w:t>
      </w:r>
      <w:r w:rsidR="00907CF4" w:rsidRPr="005E65E4">
        <w:rPr>
          <w:rFonts w:cs="Arial"/>
          <w:i/>
          <w:color w:val="FF0000"/>
          <w:spacing w:val="6"/>
          <w:sz w:val="26"/>
          <w:szCs w:val="24"/>
        </w:rPr>
        <w:t xml:space="preserve"> </w:t>
      </w:r>
      <w:r w:rsidR="00907CF4" w:rsidRPr="0079721A">
        <w:rPr>
          <w:rFonts w:cs="Arial"/>
          <w:i/>
          <w:spacing w:val="6"/>
          <w:sz w:val="26"/>
          <w:szCs w:val="24"/>
        </w:rPr>
        <w:t>claridad</w:t>
      </w:r>
      <w:r w:rsidR="00754803">
        <w:rPr>
          <w:rFonts w:cs="Arial"/>
          <w:i/>
          <w:spacing w:val="6"/>
          <w:sz w:val="26"/>
          <w:szCs w:val="24"/>
        </w:rPr>
        <w:t>,</w:t>
      </w:r>
      <w:r w:rsidR="00907CF4" w:rsidRPr="0079721A">
        <w:rPr>
          <w:rFonts w:cs="Arial"/>
          <w:i/>
          <w:spacing w:val="6"/>
          <w:sz w:val="26"/>
          <w:szCs w:val="24"/>
        </w:rPr>
        <w:t xml:space="preserve"> en la plantilla orgánica</w:t>
      </w:r>
      <w:r w:rsidR="001933A8">
        <w:rPr>
          <w:rFonts w:cs="Arial"/>
          <w:i/>
          <w:spacing w:val="6"/>
          <w:sz w:val="26"/>
          <w:szCs w:val="24"/>
        </w:rPr>
        <w:t>,</w:t>
      </w:r>
      <w:r w:rsidR="00907CF4" w:rsidRPr="0079721A">
        <w:rPr>
          <w:rFonts w:cs="Arial"/>
          <w:i/>
          <w:spacing w:val="6"/>
          <w:sz w:val="26"/>
          <w:szCs w:val="24"/>
        </w:rPr>
        <w:t xml:space="preserve"> la totalidad de los </w:t>
      </w:r>
      <w:r w:rsidR="00FC5A29" w:rsidRPr="0079721A">
        <w:rPr>
          <w:rFonts w:cs="Arial"/>
          <w:i/>
          <w:spacing w:val="6"/>
          <w:sz w:val="26"/>
          <w:szCs w:val="24"/>
        </w:rPr>
        <w:t xml:space="preserve">puestos de trabajo con los </w:t>
      </w:r>
      <w:r w:rsidRPr="0079721A">
        <w:rPr>
          <w:rFonts w:cs="Arial"/>
          <w:i/>
          <w:spacing w:val="6"/>
          <w:sz w:val="26"/>
          <w:szCs w:val="24"/>
        </w:rPr>
        <w:t>complementos retributivos previstos en el TREP</w:t>
      </w:r>
      <w:r w:rsidR="005E65E4">
        <w:rPr>
          <w:rFonts w:cs="Arial"/>
          <w:i/>
          <w:spacing w:val="6"/>
          <w:sz w:val="26"/>
          <w:szCs w:val="24"/>
        </w:rPr>
        <w:t xml:space="preserve">, </w:t>
      </w:r>
      <w:r w:rsidR="00907CF4" w:rsidRPr="0079721A">
        <w:rPr>
          <w:rFonts w:cs="Arial"/>
          <w:i/>
          <w:spacing w:val="6"/>
          <w:sz w:val="26"/>
          <w:szCs w:val="24"/>
        </w:rPr>
        <w:t>evitando su determinación y desarrollo posterior en anexos.</w:t>
      </w:r>
    </w:p>
    <w:p w14:paraId="3E009FD7" w14:textId="77777777" w:rsidR="00974B96" w:rsidRPr="0079721A" w:rsidRDefault="00974B96" w:rsidP="00974B96">
      <w:pPr>
        <w:numPr>
          <w:ilvl w:val="0"/>
          <w:numId w:val="10"/>
        </w:numPr>
        <w:tabs>
          <w:tab w:val="num" w:pos="284"/>
          <w:tab w:val="num" w:pos="600"/>
          <w:tab w:val="num" w:pos="720"/>
          <w:tab w:val="num" w:pos="1320"/>
        </w:tabs>
        <w:spacing w:after="120"/>
        <w:rPr>
          <w:rFonts w:cs="Arial"/>
          <w:i/>
          <w:spacing w:val="6"/>
          <w:sz w:val="26"/>
          <w:szCs w:val="24"/>
        </w:rPr>
      </w:pPr>
      <w:r w:rsidRPr="0079721A">
        <w:rPr>
          <w:rFonts w:cs="Arial"/>
          <w:i/>
          <w:spacing w:val="6"/>
          <w:sz w:val="26"/>
          <w:szCs w:val="24"/>
        </w:rPr>
        <w:t xml:space="preserve">Adecuar el denominado “complemento docente” por otro tipo de complemento contemplado en el marco estatutario de la función pública en la Comunidad Foral de Navarra. </w:t>
      </w:r>
    </w:p>
    <w:p w14:paraId="3900DF6F" w14:textId="77777777" w:rsidR="00FE5D89" w:rsidRPr="00754803" w:rsidRDefault="00496A73" w:rsidP="005E65E4">
      <w:pPr>
        <w:numPr>
          <w:ilvl w:val="0"/>
          <w:numId w:val="10"/>
        </w:numPr>
        <w:tabs>
          <w:tab w:val="num" w:pos="284"/>
          <w:tab w:val="num" w:pos="600"/>
          <w:tab w:val="num" w:pos="720"/>
          <w:tab w:val="num" w:pos="1320"/>
        </w:tabs>
        <w:spacing w:after="120"/>
        <w:rPr>
          <w:rFonts w:cs="Arial"/>
          <w:i/>
          <w:spacing w:val="6"/>
          <w:sz w:val="26"/>
          <w:szCs w:val="24"/>
        </w:rPr>
      </w:pPr>
      <w:r w:rsidRPr="0079721A">
        <w:rPr>
          <w:rFonts w:cs="Arial"/>
          <w:i/>
          <w:spacing w:val="6"/>
          <w:sz w:val="26"/>
          <w:szCs w:val="24"/>
        </w:rPr>
        <w:t xml:space="preserve">Limitar los pactos en materia de negociación colectiva a las materias en las </w:t>
      </w:r>
      <w:r w:rsidRPr="00754803">
        <w:rPr>
          <w:rFonts w:cs="Arial"/>
          <w:i/>
          <w:spacing w:val="6"/>
          <w:sz w:val="26"/>
          <w:szCs w:val="24"/>
        </w:rPr>
        <w:t>que el</w:t>
      </w:r>
      <w:r w:rsidR="009302BE" w:rsidRPr="00754803">
        <w:rPr>
          <w:rFonts w:cs="Arial"/>
          <w:i/>
          <w:spacing w:val="6"/>
          <w:sz w:val="26"/>
          <w:szCs w:val="24"/>
        </w:rPr>
        <w:t xml:space="preserve"> </w:t>
      </w:r>
      <w:r w:rsidR="00974B96" w:rsidRPr="00754803">
        <w:rPr>
          <w:rFonts w:cs="Arial"/>
          <w:i/>
          <w:spacing w:val="6"/>
          <w:sz w:val="26"/>
          <w:szCs w:val="24"/>
        </w:rPr>
        <w:t>ayuntamiento tenga competenci</w:t>
      </w:r>
      <w:r w:rsidR="007A3308" w:rsidRPr="00754803">
        <w:rPr>
          <w:rFonts w:cs="Arial"/>
          <w:i/>
          <w:spacing w:val="6"/>
          <w:sz w:val="26"/>
          <w:szCs w:val="24"/>
        </w:rPr>
        <w:t>a</w:t>
      </w:r>
      <w:r w:rsidR="001933A8">
        <w:rPr>
          <w:rFonts w:cs="Arial"/>
          <w:i/>
          <w:spacing w:val="6"/>
          <w:sz w:val="26"/>
          <w:szCs w:val="24"/>
        </w:rPr>
        <w:t xml:space="preserve">, respetando </w:t>
      </w:r>
      <w:r w:rsidR="00754803" w:rsidRPr="00754803">
        <w:rPr>
          <w:rFonts w:cs="Arial"/>
          <w:i/>
          <w:spacing w:val="6"/>
          <w:sz w:val="26"/>
          <w:szCs w:val="24"/>
        </w:rPr>
        <w:t>la legalidad vigente en cada momento</w:t>
      </w:r>
      <w:r w:rsidR="007A3308" w:rsidRPr="00754803">
        <w:rPr>
          <w:rFonts w:cs="Arial"/>
          <w:i/>
          <w:spacing w:val="6"/>
          <w:sz w:val="26"/>
          <w:szCs w:val="24"/>
        </w:rPr>
        <w:t xml:space="preserve">, </w:t>
      </w:r>
      <w:r w:rsidR="001933A8">
        <w:rPr>
          <w:rFonts w:cs="Arial"/>
          <w:i/>
          <w:spacing w:val="6"/>
          <w:sz w:val="26"/>
          <w:szCs w:val="24"/>
        </w:rPr>
        <w:t xml:space="preserve">y </w:t>
      </w:r>
      <w:r w:rsidR="007A3308" w:rsidRPr="00754803">
        <w:rPr>
          <w:rFonts w:cs="Arial"/>
          <w:i/>
          <w:spacing w:val="6"/>
          <w:sz w:val="26"/>
          <w:szCs w:val="24"/>
        </w:rPr>
        <w:t>procediendo a la regularización de</w:t>
      </w:r>
      <w:r w:rsidR="00584686" w:rsidRPr="00754803">
        <w:rPr>
          <w:rFonts w:cs="Arial"/>
          <w:i/>
          <w:spacing w:val="6"/>
          <w:sz w:val="26"/>
          <w:szCs w:val="24"/>
        </w:rPr>
        <w:t xml:space="preserve"> los abonos indebidos en 2021 por</w:t>
      </w:r>
      <w:r w:rsidR="00754803" w:rsidRPr="00754803">
        <w:rPr>
          <w:rFonts w:cs="Arial"/>
          <w:i/>
          <w:spacing w:val="6"/>
          <w:sz w:val="26"/>
          <w:szCs w:val="24"/>
        </w:rPr>
        <w:t xml:space="preserve"> los conceptos de </w:t>
      </w:r>
      <w:r w:rsidR="00584686" w:rsidRPr="00754803">
        <w:rPr>
          <w:rFonts w:cs="Arial"/>
          <w:i/>
          <w:spacing w:val="6"/>
          <w:sz w:val="26"/>
          <w:szCs w:val="24"/>
        </w:rPr>
        <w:t>“ayuda familiar” y “premio por antigüedad”.</w:t>
      </w:r>
    </w:p>
    <w:p w14:paraId="7188877A" w14:textId="77777777" w:rsidR="0041164D" w:rsidRPr="00754803" w:rsidRDefault="00754803" w:rsidP="005E65E4">
      <w:pPr>
        <w:numPr>
          <w:ilvl w:val="0"/>
          <w:numId w:val="10"/>
        </w:numPr>
        <w:tabs>
          <w:tab w:val="num" w:pos="284"/>
          <w:tab w:val="num" w:pos="600"/>
          <w:tab w:val="num" w:pos="720"/>
          <w:tab w:val="num" w:pos="1320"/>
        </w:tabs>
        <w:spacing w:after="120"/>
        <w:rPr>
          <w:rFonts w:cs="Arial"/>
          <w:i/>
          <w:spacing w:val="6"/>
          <w:sz w:val="26"/>
          <w:szCs w:val="24"/>
        </w:rPr>
      </w:pPr>
      <w:r w:rsidRPr="00754803">
        <w:rPr>
          <w:rFonts w:cs="Arial"/>
          <w:i/>
          <w:spacing w:val="6"/>
          <w:sz w:val="26"/>
          <w:szCs w:val="24"/>
        </w:rPr>
        <w:lastRenderedPageBreak/>
        <w:t>Contemplar</w:t>
      </w:r>
      <w:r w:rsidR="0041164D" w:rsidRPr="00754803">
        <w:rPr>
          <w:rFonts w:cs="Arial"/>
          <w:i/>
          <w:spacing w:val="6"/>
          <w:sz w:val="26"/>
          <w:szCs w:val="24"/>
        </w:rPr>
        <w:t xml:space="preserve"> en la plantilla orgánica los complementos correspondientes al ejercicio de funciones de comisario</w:t>
      </w:r>
      <w:r w:rsidR="00CC16B1" w:rsidRPr="00754803">
        <w:rPr>
          <w:rFonts w:cs="Arial"/>
          <w:i/>
          <w:spacing w:val="6"/>
          <w:sz w:val="26"/>
          <w:szCs w:val="24"/>
        </w:rPr>
        <w:t xml:space="preserve"> principal y </w:t>
      </w:r>
      <w:r w:rsidRPr="00754803">
        <w:rPr>
          <w:rFonts w:cs="Arial"/>
          <w:i/>
          <w:spacing w:val="6"/>
          <w:sz w:val="26"/>
          <w:szCs w:val="24"/>
        </w:rPr>
        <w:t>de los c</w:t>
      </w:r>
      <w:r w:rsidR="00CC16B1" w:rsidRPr="00754803">
        <w:rPr>
          <w:rFonts w:cs="Arial"/>
          <w:i/>
          <w:spacing w:val="6"/>
          <w:sz w:val="26"/>
          <w:szCs w:val="24"/>
        </w:rPr>
        <w:t>omisarios</w:t>
      </w:r>
      <w:r w:rsidR="001933A8">
        <w:rPr>
          <w:rFonts w:cs="Arial"/>
          <w:i/>
          <w:spacing w:val="6"/>
          <w:sz w:val="26"/>
          <w:szCs w:val="24"/>
        </w:rPr>
        <w:t>,</w:t>
      </w:r>
      <w:r w:rsidR="00CC16B1" w:rsidRPr="00754803">
        <w:rPr>
          <w:rFonts w:cs="Arial"/>
          <w:i/>
          <w:spacing w:val="6"/>
          <w:sz w:val="26"/>
          <w:szCs w:val="24"/>
        </w:rPr>
        <w:t xml:space="preserve"> de conformidad con el marco </w:t>
      </w:r>
      <w:r w:rsidRPr="00754803">
        <w:rPr>
          <w:rFonts w:cs="Arial"/>
          <w:i/>
          <w:spacing w:val="6"/>
          <w:sz w:val="26"/>
          <w:szCs w:val="24"/>
        </w:rPr>
        <w:t>reglamentario v</w:t>
      </w:r>
      <w:r w:rsidR="00CC16B1" w:rsidRPr="00754803">
        <w:rPr>
          <w:rFonts w:cs="Arial"/>
          <w:i/>
          <w:spacing w:val="6"/>
          <w:sz w:val="26"/>
          <w:szCs w:val="24"/>
        </w:rPr>
        <w:t xml:space="preserve">igente. </w:t>
      </w:r>
    </w:p>
    <w:p w14:paraId="1DC25194" w14:textId="77777777" w:rsidR="00807992" w:rsidRPr="00A54D1E" w:rsidRDefault="00807992" w:rsidP="00080130">
      <w:pPr>
        <w:pStyle w:val="texto"/>
      </w:pPr>
      <w:bookmarkStart w:id="140" w:name="_Toc118266033"/>
      <w:bookmarkStart w:id="141" w:name="_Toc430935369"/>
      <w:bookmarkStart w:id="142" w:name="_Toc455145999"/>
      <w:bookmarkEnd w:id="138"/>
      <w:bookmarkEnd w:id="139"/>
      <w:r w:rsidRPr="00A54D1E">
        <w:t>5.</w:t>
      </w:r>
      <w:r>
        <w:t>4</w:t>
      </w:r>
      <w:r w:rsidRPr="00A54D1E">
        <w:t>.</w:t>
      </w:r>
      <w:r w:rsidR="00C1204F">
        <w:t>3</w:t>
      </w:r>
      <w:r w:rsidRPr="00A54D1E">
        <w:t>. Gastos en bienes corrientes y servicios</w:t>
      </w:r>
      <w:bookmarkEnd w:id="140"/>
      <w:r w:rsidRPr="00A54D1E">
        <w:t xml:space="preserve"> </w:t>
      </w:r>
      <w:bookmarkEnd w:id="141"/>
      <w:bookmarkEnd w:id="142"/>
    </w:p>
    <w:p w14:paraId="42C050CA" w14:textId="77777777" w:rsidR="00807992" w:rsidRDefault="00807992" w:rsidP="00807992">
      <w:pPr>
        <w:tabs>
          <w:tab w:val="left" w:pos="142"/>
          <w:tab w:val="center" w:pos="2835"/>
          <w:tab w:val="center" w:pos="3969"/>
          <w:tab w:val="center" w:pos="5103"/>
          <w:tab w:val="center" w:pos="6237"/>
          <w:tab w:val="center" w:pos="7371"/>
        </w:tabs>
        <w:spacing w:before="120"/>
        <w:ind w:firstLine="284"/>
        <w:rPr>
          <w:spacing w:val="6"/>
          <w:sz w:val="26"/>
          <w:szCs w:val="26"/>
        </w:rPr>
      </w:pPr>
      <w:r w:rsidRPr="00667DFF">
        <w:rPr>
          <w:spacing w:val="6"/>
          <w:sz w:val="26"/>
          <w:szCs w:val="26"/>
        </w:rPr>
        <w:t xml:space="preserve">Los gastos en bienes corrientes y servicios ascendieron a </w:t>
      </w:r>
      <w:r>
        <w:rPr>
          <w:spacing w:val="6"/>
          <w:sz w:val="26"/>
          <w:szCs w:val="26"/>
        </w:rPr>
        <w:t>72,42</w:t>
      </w:r>
      <w:r w:rsidRPr="00667DFF">
        <w:rPr>
          <w:spacing w:val="6"/>
          <w:sz w:val="26"/>
          <w:szCs w:val="26"/>
        </w:rPr>
        <w:t xml:space="preserve"> millones representan el 3</w:t>
      </w:r>
      <w:r>
        <w:rPr>
          <w:spacing w:val="6"/>
          <w:sz w:val="26"/>
          <w:szCs w:val="26"/>
        </w:rPr>
        <w:t>1</w:t>
      </w:r>
      <w:r w:rsidRPr="00667DFF">
        <w:rPr>
          <w:spacing w:val="6"/>
          <w:sz w:val="26"/>
          <w:szCs w:val="26"/>
        </w:rPr>
        <w:t xml:space="preserve"> por ciento del total de obligaciones reconocidas en el ejercicio y su nivel de ejecución ha sido del 96 por ciento de los créditos definitivos.</w:t>
      </w:r>
      <w:r>
        <w:rPr>
          <w:spacing w:val="6"/>
          <w:sz w:val="26"/>
          <w:szCs w:val="26"/>
        </w:rPr>
        <w:t xml:space="preserve"> </w:t>
      </w:r>
      <w:r w:rsidRPr="00667DFF">
        <w:rPr>
          <w:spacing w:val="6"/>
          <w:sz w:val="26"/>
          <w:szCs w:val="26"/>
        </w:rPr>
        <w:t xml:space="preserve">Con respecto al ejercicio anterior, se ha producido un </w:t>
      </w:r>
      <w:r>
        <w:rPr>
          <w:spacing w:val="6"/>
          <w:sz w:val="26"/>
          <w:szCs w:val="26"/>
        </w:rPr>
        <w:t>aumento del seis</w:t>
      </w:r>
      <w:r w:rsidRPr="00667DFF">
        <w:rPr>
          <w:spacing w:val="6"/>
          <w:sz w:val="26"/>
          <w:szCs w:val="26"/>
        </w:rPr>
        <w:t xml:space="preserve"> por ciento.</w:t>
      </w:r>
    </w:p>
    <w:p w14:paraId="66E82DCC" w14:textId="77777777" w:rsidR="00807992" w:rsidRPr="00ED65EA" w:rsidRDefault="00807992" w:rsidP="00807992">
      <w:pPr>
        <w:tabs>
          <w:tab w:val="left" w:pos="142"/>
          <w:tab w:val="center" w:pos="2835"/>
          <w:tab w:val="center" w:pos="3969"/>
          <w:tab w:val="center" w:pos="5103"/>
          <w:tab w:val="center" w:pos="6237"/>
          <w:tab w:val="center" w:pos="7371"/>
        </w:tabs>
        <w:spacing w:before="120" w:after="240"/>
        <w:ind w:firstLine="284"/>
        <w:rPr>
          <w:spacing w:val="6"/>
          <w:sz w:val="26"/>
          <w:szCs w:val="26"/>
          <w:lang w:val="es-ES" w:eastAsia="es-ES"/>
        </w:rPr>
      </w:pPr>
      <w:r w:rsidRPr="00ED65EA">
        <w:rPr>
          <w:spacing w:val="6"/>
          <w:sz w:val="26"/>
          <w:szCs w:val="26"/>
          <w:lang w:val="es-ES" w:eastAsia="es-ES"/>
        </w:rPr>
        <w:t xml:space="preserve">Los principales conceptos que integran los gastos corrientes en bienes y servicios y su variación respecto al ejercicio </w:t>
      </w:r>
      <w:r>
        <w:rPr>
          <w:spacing w:val="6"/>
          <w:sz w:val="26"/>
          <w:szCs w:val="26"/>
          <w:lang w:val="es-ES" w:eastAsia="es-ES"/>
        </w:rPr>
        <w:t xml:space="preserve">2020 </w:t>
      </w:r>
      <w:r w:rsidRPr="00ED65EA">
        <w:rPr>
          <w:spacing w:val="6"/>
          <w:sz w:val="26"/>
          <w:szCs w:val="26"/>
          <w:lang w:val="es-ES" w:eastAsia="es-ES"/>
        </w:rPr>
        <w:t>son:</w:t>
      </w:r>
    </w:p>
    <w:tbl>
      <w:tblPr>
        <w:tblW w:w="0" w:type="auto"/>
        <w:tblCellMar>
          <w:left w:w="70" w:type="dxa"/>
          <w:right w:w="70" w:type="dxa"/>
        </w:tblCellMar>
        <w:tblLook w:val="04A0" w:firstRow="1" w:lastRow="0" w:firstColumn="1" w:lastColumn="0" w:noHBand="0" w:noVBand="1"/>
      </w:tblPr>
      <w:tblGrid>
        <w:gridCol w:w="4660"/>
        <w:gridCol w:w="870"/>
        <w:gridCol w:w="976"/>
        <w:gridCol w:w="993"/>
        <w:gridCol w:w="1290"/>
      </w:tblGrid>
      <w:tr w:rsidR="00807992" w:rsidRPr="00ED65EA" w14:paraId="0FE770D2" w14:textId="77777777" w:rsidTr="00995A09">
        <w:trPr>
          <w:trHeight w:val="255"/>
        </w:trPr>
        <w:tc>
          <w:tcPr>
            <w:tcW w:w="4660" w:type="dxa"/>
            <w:tcBorders>
              <w:top w:val="single" w:sz="4" w:space="0" w:color="auto"/>
              <w:left w:val="nil"/>
              <w:bottom w:val="single" w:sz="4" w:space="0" w:color="auto"/>
              <w:right w:val="nil"/>
            </w:tcBorders>
            <w:shd w:val="clear" w:color="000000" w:fill="FABF8F"/>
            <w:vAlign w:val="center"/>
            <w:hideMark/>
          </w:tcPr>
          <w:p w14:paraId="7431D1D5" w14:textId="77777777" w:rsidR="00807992" w:rsidRPr="00ED65EA" w:rsidRDefault="00807992" w:rsidP="00807992">
            <w:pPr>
              <w:spacing w:after="0"/>
              <w:ind w:firstLine="0"/>
              <w:rPr>
                <w:rFonts w:ascii="Arial" w:hAnsi="Arial" w:cs="Arial"/>
                <w:color w:val="000000"/>
                <w:sz w:val="18"/>
                <w:szCs w:val="18"/>
                <w:lang w:val="es-ES" w:eastAsia="es-ES"/>
              </w:rPr>
            </w:pPr>
            <w:r w:rsidRPr="00ED65EA">
              <w:rPr>
                <w:rFonts w:ascii="Arial" w:hAnsi="Arial" w:cs="Arial"/>
                <w:color w:val="000000"/>
                <w:sz w:val="18"/>
                <w:szCs w:val="18"/>
                <w:lang w:val="es-ES" w:eastAsia="es-ES"/>
              </w:rPr>
              <w:t xml:space="preserve">Descripción </w:t>
            </w:r>
          </w:p>
        </w:tc>
        <w:tc>
          <w:tcPr>
            <w:tcW w:w="870" w:type="dxa"/>
            <w:tcBorders>
              <w:top w:val="single" w:sz="4" w:space="0" w:color="auto"/>
              <w:left w:val="nil"/>
              <w:bottom w:val="single" w:sz="4" w:space="0" w:color="auto"/>
              <w:right w:val="nil"/>
            </w:tcBorders>
            <w:shd w:val="clear" w:color="000000" w:fill="FABF8F"/>
            <w:noWrap/>
            <w:vAlign w:val="center"/>
            <w:hideMark/>
          </w:tcPr>
          <w:p w14:paraId="364BD9B5" w14:textId="77777777" w:rsidR="00807992" w:rsidRDefault="00807992" w:rsidP="00686E66">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ORN</w:t>
            </w:r>
          </w:p>
          <w:p w14:paraId="16EBBC03" w14:textId="77777777" w:rsidR="00807992" w:rsidRPr="00ED65EA" w:rsidRDefault="00807992" w:rsidP="00686E66">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2020</w:t>
            </w:r>
          </w:p>
        </w:tc>
        <w:tc>
          <w:tcPr>
            <w:tcW w:w="976" w:type="dxa"/>
            <w:tcBorders>
              <w:top w:val="single" w:sz="4" w:space="0" w:color="auto"/>
              <w:left w:val="nil"/>
              <w:bottom w:val="single" w:sz="4" w:space="0" w:color="auto"/>
              <w:right w:val="nil"/>
            </w:tcBorders>
            <w:shd w:val="clear" w:color="000000" w:fill="FABF8F"/>
            <w:noWrap/>
            <w:vAlign w:val="center"/>
            <w:hideMark/>
          </w:tcPr>
          <w:p w14:paraId="6C988EF6" w14:textId="77777777" w:rsidR="00807992" w:rsidRPr="00ED65EA" w:rsidRDefault="00807992" w:rsidP="00686E66">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ORN 2021</w:t>
            </w:r>
          </w:p>
        </w:tc>
        <w:tc>
          <w:tcPr>
            <w:tcW w:w="993" w:type="dxa"/>
            <w:tcBorders>
              <w:top w:val="single" w:sz="4" w:space="0" w:color="auto"/>
              <w:left w:val="nil"/>
              <w:bottom w:val="single" w:sz="4" w:space="0" w:color="auto"/>
              <w:right w:val="nil"/>
            </w:tcBorders>
            <w:shd w:val="clear" w:color="000000" w:fill="FABF8F"/>
            <w:noWrap/>
            <w:vAlign w:val="center"/>
            <w:hideMark/>
          </w:tcPr>
          <w:p w14:paraId="33B16556" w14:textId="77777777" w:rsidR="00807992" w:rsidRPr="00ED65EA" w:rsidRDefault="00807992" w:rsidP="00686E66">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Variación</w:t>
            </w:r>
          </w:p>
        </w:tc>
        <w:tc>
          <w:tcPr>
            <w:tcW w:w="1290" w:type="dxa"/>
            <w:tcBorders>
              <w:top w:val="single" w:sz="4" w:space="0" w:color="auto"/>
              <w:left w:val="nil"/>
              <w:bottom w:val="single" w:sz="4" w:space="0" w:color="auto"/>
              <w:right w:val="nil"/>
            </w:tcBorders>
            <w:shd w:val="clear" w:color="000000" w:fill="FABF8F"/>
            <w:vAlign w:val="center"/>
          </w:tcPr>
          <w:p w14:paraId="3789525C" w14:textId="77777777" w:rsidR="00807992" w:rsidRDefault="00807992" w:rsidP="00686E66">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variación</w:t>
            </w:r>
          </w:p>
          <w:p w14:paraId="2A295D27" w14:textId="77777777" w:rsidR="00807992" w:rsidRPr="00ED65EA" w:rsidRDefault="00807992" w:rsidP="00686E66">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2021/2020</w:t>
            </w:r>
          </w:p>
        </w:tc>
      </w:tr>
      <w:tr w:rsidR="00807992" w:rsidRPr="00ED65EA" w14:paraId="6A63966F" w14:textId="77777777" w:rsidTr="00995A09">
        <w:trPr>
          <w:trHeight w:val="198"/>
        </w:trPr>
        <w:tc>
          <w:tcPr>
            <w:tcW w:w="4660" w:type="dxa"/>
            <w:tcBorders>
              <w:top w:val="single" w:sz="4" w:space="0" w:color="auto"/>
              <w:left w:val="nil"/>
              <w:bottom w:val="single" w:sz="2" w:space="0" w:color="auto"/>
              <w:right w:val="nil"/>
            </w:tcBorders>
            <w:shd w:val="clear" w:color="auto" w:fill="auto"/>
            <w:vAlign w:val="center"/>
            <w:hideMark/>
          </w:tcPr>
          <w:p w14:paraId="3CDFDEFD"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Contrato limpieza viaria</w:t>
            </w:r>
          </w:p>
        </w:tc>
        <w:tc>
          <w:tcPr>
            <w:tcW w:w="870" w:type="dxa"/>
            <w:tcBorders>
              <w:top w:val="single" w:sz="4" w:space="0" w:color="auto"/>
              <w:left w:val="nil"/>
              <w:bottom w:val="single" w:sz="2" w:space="0" w:color="auto"/>
              <w:right w:val="nil"/>
            </w:tcBorders>
            <w:shd w:val="clear" w:color="auto" w:fill="auto"/>
            <w:noWrap/>
            <w:vAlign w:val="center"/>
            <w:hideMark/>
          </w:tcPr>
          <w:p w14:paraId="737A5A50"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9.237.207</w:t>
            </w:r>
          </w:p>
        </w:tc>
        <w:tc>
          <w:tcPr>
            <w:tcW w:w="976" w:type="dxa"/>
            <w:tcBorders>
              <w:top w:val="single" w:sz="4" w:space="0" w:color="auto"/>
              <w:left w:val="nil"/>
              <w:bottom w:val="single" w:sz="2" w:space="0" w:color="auto"/>
              <w:right w:val="nil"/>
            </w:tcBorders>
            <w:shd w:val="clear" w:color="auto" w:fill="auto"/>
            <w:noWrap/>
            <w:vAlign w:val="center"/>
            <w:hideMark/>
          </w:tcPr>
          <w:p w14:paraId="37E79710"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9.544.679</w:t>
            </w:r>
          </w:p>
        </w:tc>
        <w:tc>
          <w:tcPr>
            <w:tcW w:w="993" w:type="dxa"/>
            <w:tcBorders>
              <w:top w:val="single" w:sz="4" w:space="0" w:color="auto"/>
              <w:left w:val="nil"/>
              <w:bottom w:val="single" w:sz="2" w:space="0" w:color="auto"/>
              <w:right w:val="nil"/>
            </w:tcBorders>
            <w:shd w:val="clear" w:color="auto" w:fill="auto"/>
            <w:noWrap/>
            <w:vAlign w:val="center"/>
            <w:hideMark/>
          </w:tcPr>
          <w:p w14:paraId="4A9B1F26"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307.472</w:t>
            </w:r>
          </w:p>
        </w:tc>
        <w:tc>
          <w:tcPr>
            <w:tcW w:w="1290" w:type="dxa"/>
            <w:tcBorders>
              <w:top w:val="single" w:sz="4" w:space="0" w:color="auto"/>
              <w:left w:val="nil"/>
              <w:bottom w:val="single" w:sz="2" w:space="0" w:color="auto"/>
              <w:right w:val="nil"/>
            </w:tcBorders>
            <w:vAlign w:val="center"/>
          </w:tcPr>
          <w:p w14:paraId="3C06C295"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3</w:t>
            </w:r>
          </w:p>
        </w:tc>
      </w:tr>
      <w:tr w:rsidR="00807992" w:rsidRPr="00ED65EA" w14:paraId="6AE84B52" w14:textId="77777777" w:rsidTr="00D751D4">
        <w:trPr>
          <w:trHeight w:val="198"/>
        </w:trPr>
        <w:tc>
          <w:tcPr>
            <w:tcW w:w="4660" w:type="dxa"/>
            <w:tcBorders>
              <w:top w:val="single" w:sz="2" w:space="0" w:color="auto"/>
              <w:left w:val="nil"/>
              <w:bottom w:val="single" w:sz="2" w:space="0" w:color="auto"/>
              <w:right w:val="nil"/>
            </w:tcBorders>
            <w:shd w:val="clear" w:color="auto" w:fill="auto"/>
            <w:vAlign w:val="center"/>
            <w:hideMark/>
          </w:tcPr>
          <w:p w14:paraId="098F0508"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Contrato gestión ORA</w:t>
            </w:r>
          </w:p>
        </w:tc>
        <w:tc>
          <w:tcPr>
            <w:tcW w:w="870" w:type="dxa"/>
            <w:tcBorders>
              <w:top w:val="single" w:sz="2" w:space="0" w:color="auto"/>
              <w:left w:val="nil"/>
              <w:bottom w:val="single" w:sz="2" w:space="0" w:color="auto"/>
              <w:right w:val="nil"/>
            </w:tcBorders>
            <w:shd w:val="clear" w:color="auto" w:fill="auto"/>
            <w:noWrap/>
            <w:vAlign w:val="center"/>
            <w:hideMark/>
          </w:tcPr>
          <w:p w14:paraId="4EC0BC2D"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7.410.028</w:t>
            </w:r>
          </w:p>
        </w:tc>
        <w:tc>
          <w:tcPr>
            <w:tcW w:w="976" w:type="dxa"/>
            <w:tcBorders>
              <w:top w:val="single" w:sz="2" w:space="0" w:color="auto"/>
              <w:left w:val="nil"/>
              <w:bottom w:val="single" w:sz="2" w:space="0" w:color="auto"/>
              <w:right w:val="nil"/>
            </w:tcBorders>
            <w:shd w:val="clear" w:color="auto" w:fill="auto"/>
            <w:noWrap/>
            <w:vAlign w:val="center"/>
            <w:hideMark/>
          </w:tcPr>
          <w:p w14:paraId="52FFF3FF"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8.762.757</w:t>
            </w:r>
          </w:p>
        </w:tc>
        <w:tc>
          <w:tcPr>
            <w:tcW w:w="993" w:type="dxa"/>
            <w:tcBorders>
              <w:top w:val="single" w:sz="2" w:space="0" w:color="auto"/>
              <w:left w:val="nil"/>
              <w:bottom w:val="single" w:sz="2" w:space="0" w:color="auto"/>
              <w:right w:val="nil"/>
            </w:tcBorders>
            <w:shd w:val="clear" w:color="auto" w:fill="auto"/>
            <w:noWrap/>
            <w:vAlign w:val="center"/>
            <w:hideMark/>
          </w:tcPr>
          <w:p w14:paraId="40405BD2"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1.352.729</w:t>
            </w:r>
          </w:p>
        </w:tc>
        <w:tc>
          <w:tcPr>
            <w:tcW w:w="1290" w:type="dxa"/>
            <w:tcBorders>
              <w:top w:val="single" w:sz="2" w:space="0" w:color="auto"/>
              <w:left w:val="nil"/>
              <w:bottom w:val="single" w:sz="2" w:space="0" w:color="auto"/>
              <w:right w:val="nil"/>
            </w:tcBorders>
            <w:vAlign w:val="center"/>
          </w:tcPr>
          <w:p w14:paraId="000F6D7F"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18</w:t>
            </w:r>
          </w:p>
        </w:tc>
      </w:tr>
      <w:tr w:rsidR="00807992" w:rsidRPr="00ED65EA" w14:paraId="1BADE487" w14:textId="77777777" w:rsidTr="00D751D4">
        <w:trPr>
          <w:trHeight w:val="198"/>
        </w:trPr>
        <w:tc>
          <w:tcPr>
            <w:tcW w:w="4660" w:type="dxa"/>
            <w:tcBorders>
              <w:top w:val="single" w:sz="2" w:space="0" w:color="auto"/>
              <w:left w:val="nil"/>
              <w:bottom w:val="single" w:sz="2" w:space="0" w:color="auto"/>
              <w:right w:val="nil"/>
            </w:tcBorders>
            <w:shd w:val="clear" w:color="auto" w:fill="auto"/>
            <w:vAlign w:val="center"/>
            <w:hideMark/>
          </w:tcPr>
          <w:p w14:paraId="6C9E6CBE"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Mantenimiento y reparación bienes uso publico</w:t>
            </w:r>
          </w:p>
        </w:tc>
        <w:tc>
          <w:tcPr>
            <w:tcW w:w="870" w:type="dxa"/>
            <w:tcBorders>
              <w:top w:val="single" w:sz="2" w:space="0" w:color="auto"/>
              <w:left w:val="nil"/>
              <w:bottom w:val="single" w:sz="2" w:space="0" w:color="auto"/>
              <w:right w:val="nil"/>
            </w:tcBorders>
            <w:shd w:val="clear" w:color="auto" w:fill="auto"/>
            <w:noWrap/>
            <w:vAlign w:val="center"/>
            <w:hideMark/>
          </w:tcPr>
          <w:p w14:paraId="14BEA87E"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8.524.557</w:t>
            </w:r>
          </w:p>
        </w:tc>
        <w:tc>
          <w:tcPr>
            <w:tcW w:w="976" w:type="dxa"/>
            <w:tcBorders>
              <w:top w:val="single" w:sz="2" w:space="0" w:color="auto"/>
              <w:left w:val="nil"/>
              <w:bottom w:val="single" w:sz="2" w:space="0" w:color="auto"/>
              <w:right w:val="nil"/>
            </w:tcBorders>
            <w:shd w:val="clear" w:color="auto" w:fill="auto"/>
            <w:noWrap/>
            <w:vAlign w:val="center"/>
            <w:hideMark/>
          </w:tcPr>
          <w:p w14:paraId="715299CD"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6.649.531</w:t>
            </w:r>
          </w:p>
        </w:tc>
        <w:tc>
          <w:tcPr>
            <w:tcW w:w="993" w:type="dxa"/>
            <w:tcBorders>
              <w:top w:val="single" w:sz="2" w:space="0" w:color="auto"/>
              <w:left w:val="nil"/>
              <w:bottom w:val="single" w:sz="2" w:space="0" w:color="auto"/>
              <w:right w:val="nil"/>
            </w:tcBorders>
            <w:shd w:val="clear" w:color="auto" w:fill="auto"/>
            <w:noWrap/>
            <w:vAlign w:val="center"/>
            <w:hideMark/>
          </w:tcPr>
          <w:p w14:paraId="08E337E0"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-1.875.026</w:t>
            </w:r>
          </w:p>
        </w:tc>
        <w:tc>
          <w:tcPr>
            <w:tcW w:w="1290" w:type="dxa"/>
            <w:tcBorders>
              <w:top w:val="single" w:sz="2" w:space="0" w:color="auto"/>
              <w:left w:val="nil"/>
              <w:bottom w:val="single" w:sz="2" w:space="0" w:color="auto"/>
              <w:right w:val="nil"/>
            </w:tcBorders>
            <w:vAlign w:val="center"/>
          </w:tcPr>
          <w:p w14:paraId="0FE33D28"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-22</w:t>
            </w:r>
          </w:p>
        </w:tc>
      </w:tr>
      <w:tr w:rsidR="00807992" w:rsidRPr="00ED65EA" w14:paraId="111A1ECD" w14:textId="77777777" w:rsidTr="00D751D4">
        <w:trPr>
          <w:trHeight w:val="198"/>
        </w:trPr>
        <w:tc>
          <w:tcPr>
            <w:tcW w:w="4660" w:type="dxa"/>
            <w:tcBorders>
              <w:top w:val="single" w:sz="2" w:space="0" w:color="auto"/>
              <w:left w:val="nil"/>
              <w:bottom w:val="single" w:sz="2" w:space="0" w:color="auto"/>
              <w:right w:val="nil"/>
            </w:tcBorders>
            <w:shd w:val="clear" w:color="auto" w:fill="auto"/>
            <w:vAlign w:val="center"/>
            <w:hideMark/>
          </w:tcPr>
          <w:p w14:paraId="7924BCF9"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Contratos limpieza y aseo</w:t>
            </w:r>
          </w:p>
        </w:tc>
        <w:tc>
          <w:tcPr>
            <w:tcW w:w="870" w:type="dxa"/>
            <w:tcBorders>
              <w:top w:val="single" w:sz="2" w:space="0" w:color="auto"/>
              <w:left w:val="nil"/>
              <w:bottom w:val="single" w:sz="2" w:space="0" w:color="auto"/>
              <w:right w:val="nil"/>
            </w:tcBorders>
            <w:shd w:val="clear" w:color="auto" w:fill="auto"/>
            <w:noWrap/>
            <w:vAlign w:val="center"/>
            <w:hideMark/>
          </w:tcPr>
          <w:p w14:paraId="11728390"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5.017.978</w:t>
            </w:r>
          </w:p>
        </w:tc>
        <w:tc>
          <w:tcPr>
            <w:tcW w:w="976" w:type="dxa"/>
            <w:tcBorders>
              <w:top w:val="single" w:sz="2" w:space="0" w:color="auto"/>
              <w:left w:val="nil"/>
              <w:bottom w:val="single" w:sz="2" w:space="0" w:color="auto"/>
              <w:right w:val="nil"/>
            </w:tcBorders>
            <w:shd w:val="clear" w:color="auto" w:fill="auto"/>
            <w:noWrap/>
            <w:vAlign w:val="center"/>
            <w:hideMark/>
          </w:tcPr>
          <w:p w14:paraId="712DDC63"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5.733.617</w:t>
            </w:r>
          </w:p>
        </w:tc>
        <w:tc>
          <w:tcPr>
            <w:tcW w:w="993" w:type="dxa"/>
            <w:tcBorders>
              <w:top w:val="single" w:sz="2" w:space="0" w:color="auto"/>
              <w:left w:val="nil"/>
              <w:bottom w:val="single" w:sz="2" w:space="0" w:color="auto"/>
              <w:right w:val="nil"/>
            </w:tcBorders>
            <w:shd w:val="clear" w:color="auto" w:fill="auto"/>
            <w:noWrap/>
            <w:vAlign w:val="center"/>
            <w:hideMark/>
          </w:tcPr>
          <w:p w14:paraId="076CC132"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715.639</w:t>
            </w:r>
          </w:p>
        </w:tc>
        <w:tc>
          <w:tcPr>
            <w:tcW w:w="1290" w:type="dxa"/>
            <w:tcBorders>
              <w:top w:val="single" w:sz="2" w:space="0" w:color="auto"/>
              <w:left w:val="nil"/>
              <w:bottom w:val="single" w:sz="2" w:space="0" w:color="auto"/>
              <w:right w:val="nil"/>
            </w:tcBorders>
            <w:vAlign w:val="center"/>
          </w:tcPr>
          <w:p w14:paraId="723C5F1F"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14</w:t>
            </w:r>
          </w:p>
        </w:tc>
      </w:tr>
      <w:tr w:rsidR="00807992" w:rsidRPr="00ED65EA" w14:paraId="7D6C5DC0" w14:textId="77777777" w:rsidTr="00D751D4">
        <w:trPr>
          <w:trHeight w:val="198"/>
        </w:trPr>
        <w:tc>
          <w:tcPr>
            <w:tcW w:w="4660" w:type="dxa"/>
            <w:tcBorders>
              <w:top w:val="single" w:sz="2" w:space="0" w:color="auto"/>
              <w:left w:val="nil"/>
              <w:bottom w:val="single" w:sz="2" w:space="0" w:color="auto"/>
              <w:right w:val="nil"/>
            </w:tcBorders>
            <w:shd w:val="clear" w:color="auto" w:fill="auto"/>
            <w:vAlign w:val="center"/>
            <w:hideMark/>
          </w:tcPr>
          <w:p w14:paraId="321C5FBD"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Estudios y trabajos Técnicos</w:t>
            </w:r>
          </w:p>
        </w:tc>
        <w:tc>
          <w:tcPr>
            <w:tcW w:w="870" w:type="dxa"/>
            <w:tcBorders>
              <w:top w:val="single" w:sz="2" w:space="0" w:color="auto"/>
              <w:left w:val="nil"/>
              <w:bottom w:val="single" w:sz="2" w:space="0" w:color="auto"/>
              <w:right w:val="nil"/>
            </w:tcBorders>
            <w:shd w:val="clear" w:color="auto" w:fill="auto"/>
            <w:noWrap/>
            <w:vAlign w:val="center"/>
            <w:hideMark/>
          </w:tcPr>
          <w:p w14:paraId="05919128"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4.216.360</w:t>
            </w:r>
          </w:p>
        </w:tc>
        <w:tc>
          <w:tcPr>
            <w:tcW w:w="976" w:type="dxa"/>
            <w:tcBorders>
              <w:top w:val="single" w:sz="2" w:space="0" w:color="auto"/>
              <w:left w:val="nil"/>
              <w:bottom w:val="single" w:sz="2" w:space="0" w:color="auto"/>
              <w:right w:val="nil"/>
            </w:tcBorders>
            <w:shd w:val="clear" w:color="auto" w:fill="auto"/>
            <w:noWrap/>
            <w:vAlign w:val="center"/>
            <w:hideMark/>
          </w:tcPr>
          <w:p w14:paraId="3C7A678D"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5.138.703</w:t>
            </w:r>
          </w:p>
        </w:tc>
        <w:tc>
          <w:tcPr>
            <w:tcW w:w="993" w:type="dxa"/>
            <w:tcBorders>
              <w:top w:val="single" w:sz="2" w:space="0" w:color="auto"/>
              <w:left w:val="nil"/>
              <w:bottom w:val="single" w:sz="2" w:space="0" w:color="auto"/>
              <w:right w:val="nil"/>
            </w:tcBorders>
            <w:shd w:val="clear" w:color="auto" w:fill="auto"/>
            <w:noWrap/>
            <w:vAlign w:val="center"/>
            <w:hideMark/>
          </w:tcPr>
          <w:p w14:paraId="3EE352A8"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922.342</w:t>
            </w:r>
          </w:p>
        </w:tc>
        <w:tc>
          <w:tcPr>
            <w:tcW w:w="1290" w:type="dxa"/>
            <w:tcBorders>
              <w:top w:val="single" w:sz="2" w:space="0" w:color="auto"/>
              <w:left w:val="nil"/>
              <w:bottom w:val="single" w:sz="2" w:space="0" w:color="auto"/>
              <w:right w:val="nil"/>
            </w:tcBorders>
            <w:vAlign w:val="center"/>
          </w:tcPr>
          <w:p w14:paraId="31E6C6FB"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22</w:t>
            </w:r>
          </w:p>
        </w:tc>
      </w:tr>
      <w:tr w:rsidR="00807992" w:rsidRPr="00ED65EA" w14:paraId="255FCE38" w14:textId="77777777" w:rsidTr="00D751D4">
        <w:trPr>
          <w:trHeight w:val="198"/>
        </w:trPr>
        <w:tc>
          <w:tcPr>
            <w:tcW w:w="4660" w:type="dxa"/>
            <w:tcBorders>
              <w:top w:val="single" w:sz="2" w:space="0" w:color="auto"/>
              <w:left w:val="nil"/>
              <w:bottom w:val="single" w:sz="2" w:space="0" w:color="auto"/>
              <w:right w:val="nil"/>
            </w:tcBorders>
            <w:shd w:val="clear" w:color="auto" w:fill="auto"/>
            <w:vAlign w:val="center"/>
            <w:hideMark/>
          </w:tcPr>
          <w:p w14:paraId="41559565"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Encomienda Servicios Informáticos</w:t>
            </w:r>
          </w:p>
        </w:tc>
        <w:tc>
          <w:tcPr>
            <w:tcW w:w="870" w:type="dxa"/>
            <w:tcBorders>
              <w:top w:val="single" w:sz="2" w:space="0" w:color="auto"/>
              <w:left w:val="nil"/>
              <w:bottom w:val="single" w:sz="2" w:space="0" w:color="auto"/>
              <w:right w:val="nil"/>
            </w:tcBorders>
            <w:shd w:val="clear" w:color="auto" w:fill="auto"/>
            <w:noWrap/>
            <w:vAlign w:val="center"/>
            <w:hideMark/>
          </w:tcPr>
          <w:p w14:paraId="0B512D45"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3.516.344</w:t>
            </w:r>
          </w:p>
        </w:tc>
        <w:tc>
          <w:tcPr>
            <w:tcW w:w="976" w:type="dxa"/>
            <w:tcBorders>
              <w:top w:val="single" w:sz="2" w:space="0" w:color="auto"/>
              <w:left w:val="nil"/>
              <w:bottom w:val="single" w:sz="2" w:space="0" w:color="auto"/>
              <w:right w:val="nil"/>
            </w:tcBorders>
            <w:shd w:val="clear" w:color="auto" w:fill="auto"/>
            <w:noWrap/>
            <w:vAlign w:val="center"/>
            <w:hideMark/>
          </w:tcPr>
          <w:p w14:paraId="444260EB"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3.633.462</w:t>
            </w:r>
          </w:p>
        </w:tc>
        <w:tc>
          <w:tcPr>
            <w:tcW w:w="993" w:type="dxa"/>
            <w:tcBorders>
              <w:top w:val="single" w:sz="2" w:space="0" w:color="auto"/>
              <w:left w:val="nil"/>
              <w:bottom w:val="single" w:sz="2" w:space="0" w:color="auto"/>
              <w:right w:val="nil"/>
            </w:tcBorders>
            <w:shd w:val="clear" w:color="auto" w:fill="auto"/>
            <w:noWrap/>
            <w:vAlign w:val="center"/>
            <w:hideMark/>
          </w:tcPr>
          <w:p w14:paraId="418D01B2"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117.118</w:t>
            </w:r>
          </w:p>
        </w:tc>
        <w:tc>
          <w:tcPr>
            <w:tcW w:w="1290" w:type="dxa"/>
            <w:tcBorders>
              <w:top w:val="single" w:sz="2" w:space="0" w:color="auto"/>
              <w:left w:val="nil"/>
              <w:bottom w:val="single" w:sz="2" w:space="0" w:color="auto"/>
              <w:right w:val="nil"/>
            </w:tcBorders>
            <w:vAlign w:val="center"/>
          </w:tcPr>
          <w:p w14:paraId="5986D9D6"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3</w:t>
            </w:r>
          </w:p>
        </w:tc>
      </w:tr>
      <w:tr w:rsidR="00807992" w:rsidRPr="00ED65EA" w14:paraId="68D262C7" w14:textId="77777777" w:rsidTr="00D751D4">
        <w:trPr>
          <w:trHeight w:val="198"/>
        </w:trPr>
        <w:tc>
          <w:tcPr>
            <w:tcW w:w="4660" w:type="dxa"/>
            <w:tcBorders>
              <w:top w:val="single" w:sz="2" w:space="0" w:color="auto"/>
              <w:left w:val="nil"/>
              <w:bottom w:val="single" w:sz="2" w:space="0" w:color="auto"/>
              <w:right w:val="nil"/>
            </w:tcBorders>
            <w:shd w:val="clear" w:color="auto" w:fill="auto"/>
            <w:vAlign w:val="center"/>
            <w:hideMark/>
          </w:tcPr>
          <w:p w14:paraId="67770E43"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Otros gastos diversos</w:t>
            </w:r>
          </w:p>
        </w:tc>
        <w:tc>
          <w:tcPr>
            <w:tcW w:w="870" w:type="dxa"/>
            <w:tcBorders>
              <w:top w:val="single" w:sz="2" w:space="0" w:color="auto"/>
              <w:left w:val="nil"/>
              <w:bottom w:val="single" w:sz="2" w:space="0" w:color="auto"/>
              <w:right w:val="nil"/>
            </w:tcBorders>
            <w:shd w:val="clear" w:color="auto" w:fill="auto"/>
            <w:noWrap/>
            <w:vAlign w:val="center"/>
            <w:hideMark/>
          </w:tcPr>
          <w:p w14:paraId="5D6B0AF6"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2.388.297</w:t>
            </w:r>
          </w:p>
        </w:tc>
        <w:tc>
          <w:tcPr>
            <w:tcW w:w="976" w:type="dxa"/>
            <w:tcBorders>
              <w:top w:val="single" w:sz="2" w:space="0" w:color="auto"/>
              <w:left w:val="nil"/>
              <w:bottom w:val="single" w:sz="2" w:space="0" w:color="auto"/>
              <w:right w:val="nil"/>
            </w:tcBorders>
            <w:shd w:val="clear" w:color="auto" w:fill="auto"/>
            <w:noWrap/>
            <w:vAlign w:val="center"/>
            <w:hideMark/>
          </w:tcPr>
          <w:p w14:paraId="6E906B69"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2.883.325</w:t>
            </w:r>
          </w:p>
        </w:tc>
        <w:tc>
          <w:tcPr>
            <w:tcW w:w="993" w:type="dxa"/>
            <w:tcBorders>
              <w:top w:val="single" w:sz="2" w:space="0" w:color="auto"/>
              <w:left w:val="nil"/>
              <w:bottom w:val="single" w:sz="2" w:space="0" w:color="auto"/>
              <w:right w:val="nil"/>
            </w:tcBorders>
            <w:shd w:val="clear" w:color="auto" w:fill="auto"/>
            <w:noWrap/>
            <w:vAlign w:val="center"/>
            <w:hideMark/>
          </w:tcPr>
          <w:p w14:paraId="35759880"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495.028</w:t>
            </w:r>
          </w:p>
        </w:tc>
        <w:tc>
          <w:tcPr>
            <w:tcW w:w="1290" w:type="dxa"/>
            <w:tcBorders>
              <w:top w:val="single" w:sz="2" w:space="0" w:color="auto"/>
              <w:left w:val="nil"/>
              <w:bottom w:val="single" w:sz="2" w:space="0" w:color="auto"/>
              <w:right w:val="nil"/>
            </w:tcBorders>
            <w:vAlign w:val="center"/>
          </w:tcPr>
          <w:p w14:paraId="7B683BFD"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21</w:t>
            </w:r>
          </w:p>
        </w:tc>
      </w:tr>
      <w:tr w:rsidR="00807992" w:rsidRPr="00ED65EA" w14:paraId="3E4B2001" w14:textId="77777777" w:rsidTr="00D751D4">
        <w:trPr>
          <w:trHeight w:val="198"/>
        </w:trPr>
        <w:tc>
          <w:tcPr>
            <w:tcW w:w="4660" w:type="dxa"/>
            <w:tcBorders>
              <w:top w:val="single" w:sz="2" w:space="0" w:color="auto"/>
              <w:left w:val="nil"/>
              <w:bottom w:val="single" w:sz="2" w:space="0" w:color="auto"/>
              <w:right w:val="nil"/>
            </w:tcBorders>
            <w:shd w:val="clear" w:color="auto" w:fill="auto"/>
            <w:vAlign w:val="center"/>
            <w:hideMark/>
          </w:tcPr>
          <w:p w14:paraId="6A244E86"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Gestión actividades sociales</w:t>
            </w:r>
          </w:p>
        </w:tc>
        <w:tc>
          <w:tcPr>
            <w:tcW w:w="870" w:type="dxa"/>
            <w:tcBorders>
              <w:top w:val="single" w:sz="2" w:space="0" w:color="auto"/>
              <w:left w:val="nil"/>
              <w:bottom w:val="single" w:sz="2" w:space="0" w:color="auto"/>
              <w:right w:val="nil"/>
            </w:tcBorders>
            <w:shd w:val="clear" w:color="auto" w:fill="auto"/>
            <w:noWrap/>
            <w:vAlign w:val="center"/>
            <w:hideMark/>
          </w:tcPr>
          <w:p w14:paraId="0DE5498B"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3.373.360</w:t>
            </w:r>
          </w:p>
        </w:tc>
        <w:tc>
          <w:tcPr>
            <w:tcW w:w="976" w:type="dxa"/>
            <w:tcBorders>
              <w:top w:val="single" w:sz="2" w:space="0" w:color="auto"/>
              <w:left w:val="nil"/>
              <w:bottom w:val="single" w:sz="2" w:space="0" w:color="auto"/>
              <w:right w:val="nil"/>
            </w:tcBorders>
            <w:shd w:val="clear" w:color="auto" w:fill="auto"/>
            <w:noWrap/>
            <w:vAlign w:val="center"/>
            <w:hideMark/>
          </w:tcPr>
          <w:p w14:paraId="30430B53"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2.831.240</w:t>
            </w:r>
          </w:p>
        </w:tc>
        <w:tc>
          <w:tcPr>
            <w:tcW w:w="993" w:type="dxa"/>
            <w:tcBorders>
              <w:top w:val="single" w:sz="2" w:space="0" w:color="auto"/>
              <w:left w:val="nil"/>
              <w:bottom w:val="single" w:sz="2" w:space="0" w:color="auto"/>
              <w:right w:val="nil"/>
            </w:tcBorders>
            <w:shd w:val="clear" w:color="auto" w:fill="auto"/>
            <w:noWrap/>
            <w:vAlign w:val="center"/>
            <w:hideMark/>
          </w:tcPr>
          <w:p w14:paraId="171640FA"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-542.120</w:t>
            </w:r>
          </w:p>
        </w:tc>
        <w:tc>
          <w:tcPr>
            <w:tcW w:w="1290" w:type="dxa"/>
            <w:tcBorders>
              <w:top w:val="single" w:sz="2" w:space="0" w:color="auto"/>
              <w:left w:val="nil"/>
              <w:bottom w:val="single" w:sz="2" w:space="0" w:color="auto"/>
              <w:right w:val="nil"/>
            </w:tcBorders>
            <w:vAlign w:val="center"/>
          </w:tcPr>
          <w:p w14:paraId="4BC777C8"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-16</w:t>
            </w:r>
          </w:p>
        </w:tc>
      </w:tr>
      <w:tr w:rsidR="00807992" w:rsidRPr="00ED65EA" w14:paraId="3424AF8B" w14:textId="77777777" w:rsidTr="00D751D4">
        <w:trPr>
          <w:trHeight w:val="198"/>
        </w:trPr>
        <w:tc>
          <w:tcPr>
            <w:tcW w:w="4660" w:type="dxa"/>
            <w:tcBorders>
              <w:top w:val="single" w:sz="2" w:space="0" w:color="auto"/>
              <w:left w:val="nil"/>
              <w:bottom w:val="single" w:sz="2" w:space="0" w:color="auto"/>
              <w:right w:val="nil"/>
            </w:tcBorders>
            <w:shd w:val="clear" w:color="auto" w:fill="auto"/>
            <w:vAlign w:val="center"/>
            <w:hideMark/>
          </w:tcPr>
          <w:p w14:paraId="631792DD"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Gestión actividades culturales</w:t>
            </w:r>
          </w:p>
        </w:tc>
        <w:tc>
          <w:tcPr>
            <w:tcW w:w="870" w:type="dxa"/>
            <w:tcBorders>
              <w:top w:val="single" w:sz="2" w:space="0" w:color="auto"/>
              <w:left w:val="nil"/>
              <w:bottom w:val="single" w:sz="2" w:space="0" w:color="auto"/>
              <w:right w:val="nil"/>
            </w:tcBorders>
            <w:shd w:val="clear" w:color="auto" w:fill="auto"/>
            <w:noWrap/>
            <w:vAlign w:val="center"/>
            <w:hideMark/>
          </w:tcPr>
          <w:p w14:paraId="1A6A1396"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2.321.105</w:t>
            </w:r>
          </w:p>
        </w:tc>
        <w:tc>
          <w:tcPr>
            <w:tcW w:w="976" w:type="dxa"/>
            <w:tcBorders>
              <w:top w:val="single" w:sz="2" w:space="0" w:color="auto"/>
              <w:left w:val="nil"/>
              <w:bottom w:val="single" w:sz="2" w:space="0" w:color="auto"/>
              <w:right w:val="nil"/>
            </w:tcBorders>
            <w:shd w:val="clear" w:color="auto" w:fill="auto"/>
            <w:noWrap/>
            <w:vAlign w:val="center"/>
            <w:hideMark/>
          </w:tcPr>
          <w:p w14:paraId="727E1929"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2.661.628</w:t>
            </w:r>
          </w:p>
        </w:tc>
        <w:tc>
          <w:tcPr>
            <w:tcW w:w="993" w:type="dxa"/>
            <w:tcBorders>
              <w:top w:val="single" w:sz="2" w:space="0" w:color="auto"/>
              <w:left w:val="nil"/>
              <w:bottom w:val="single" w:sz="2" w:space="0" w:color="auto"/>
              <w:right w:val="nil"/>
            </w:tcBorders>
            <w:shd w:val="clear" w:color="auto" w:fill="auto"/>
            <w:noWrap/>
            <w:vAlign w:val="center"/>
            <w:hideMark/>
          </w:tcPr>
          <w:p w14:paraId="6A983885"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340.522</w:t>
            </w:r>
          </w:p>
        </w:tc>
        <w:tc>
          <w:tcPr>
            <w:tcW w:w="1290" w:type="dxa"/>
            <w:tcBorders>
              <w:top w:val="single" w:sz="2" w:space="0" w:color="auto"/>
              <w:left w:val="nil"/>
              <w:bottom w:val="single" w:sz="2" w:space="0" w:color="auto"/>
              <w:right w:val="nil"/>
            </w:tcBorders>
            <w:vAlign w:val="center"/>
          </w:tcPr>
          <w:p w14:paraId="6CBD459E"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15</w:t>
            </w:r>
          </w:p>
        </w:tc>
      </w:tr>
      <w:tr w:rsidR="00807992" w:rsidRPr="00ED65EA" w14:paraId="50630C75" w14:textId="77777777" w:rsidTr="00995A09">
        <w:trPr>
          <w:trHeight w:val="198"/>
        </w:trPr>
        <w:tc>
          <w:tcPr>
            <w:tcW w:w="4660" w:type="dxa"/>
            <w:tcBorders>
              <w:top w:val="single" w:sz="2" w:space="0" w:color="auto"/>
              <w:left w:val="nil"/>
              <w:bottom w:val="single" w:sz="4" w:space="0" w:color="auto"/>
              <w:right w:val="nil"/>
            </w:tcBorders>
            <w:shd w:val="clear" w:color="auto" w:fill="auto"/>
            <w:vAlign w:val="center"/>
            <w:hideMark/>
          </w:tcPr>
          <w:p w14:paraId="7E6F25C2"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Consumo alumbrado publico</w:t>
            </w:r>
          </w:p>
        </w:tc>
        <w:tc>
          <w:tcPr>
            <w:tcW w:w="870" w:type="dxa"/>
            <w:tcBorders>
              <w:top w:val="single" w:sz="2" w:space="0" w:color="auto"/>
              <w:left w:val="nil"/>
              <w:bottom w:val="single" w:sz="4" w:space="0" w:color="auto"/>
              <w:right w:val="nil"/>
            </w:tcBorders>
            <w:shd w:val="clear" w:color="auto" w:fill="auto"/>
            <w:noWrap/>
            <w:vAlign w:val="center"/>
            <w:hideMark/>
          </w:tcPr>
          <w:p w14:paraId="09088182"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1.909.619</w:t>
            </w:r>
          </w:p>
        </w:tc>
        <w:tc>
          <w:tcPr>
            <w:tcW w:w="976" w:type="dxa"/>
            <w:tcBorders>
              <w:top w:val="single" w:sz="2" w:space="0" w:color="auto"/>
              <w:left w:val="nil"/>
              <w:bottom w:val="single" w:sz="4" w:space="0" w:color="auto"/>
              <w:right w:val="nil"/>
            </w:tcBorders>
            <w:shd w:val="clear" w:color="auto" w:fill="auto"/>
            <w:noWrap/>
            <w:vAlign w:val="center"/>
            <w:hideMark/>
          </w:tcPr>
          <w:p w14:paraId="265D1FC9"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2.535.266</w:t>
            </w:r>
          </w:p>
        </w:tc>
        <w:tc>
          <w:tcPr>
            <w:tcW w:w="993" w:type="dxa"/>
            <w:tcBorders>
              <w:top w:val="single" w:sz="2" w:space="0" w:color="auto"/>
              <w:left w:val="nil"/>
              <w:bottom w:val="single" w:sz="4" w:space="0" w:color="auto"/>
              <w:right w:val="nil"/>
            </w:tcBorders>
            <w:shd w:val="clear" w:color="auto" w:fill="auto"/>
            <w:noWrap/>
            <w:vAlign w:val="center"/>
            <w:hideMark/>
          </w:tcPr>
          <w:p w14:paraId="5D992767"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625.647</w:t>
            </w:r>
          </w:p>
        </w:tc>
        <w:tc>
          <w:tcPr>
            <w:tcW w:w="1290" w:type="dxa"/>
            <w:tcBorders>
              <w:top w:val="single" w:sz="2" w:space="0" w:color="auto"/>
              <w:left w:val="nil"/>
              <w:bottom w:val="single" w:sz="4" w:space="0" w:color="auto"/>
              <w:right w:val="nil"/>
            </w:tcBorders>
            <w:vAlign w:val="center"/>
          </w:tcPr>
          <w:p w14:paraId="57897BE6"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33</w:t>
            </w:r>
          </w:p>
        </w:tc>
      </w:tr>
      <w:tr w:rsidR="00807992" w:rsidRPr="00ED65EA" w14:paraId="4CC6F78F" w14:textId="77777777" w:rsidTr="00995A09">
        <w:trPr>
          <w:trHeight w:val="198"/>
        </w:trPr>
        <w:tc>
          <w:tcPr>
            <w:tcW w:w="4660" w:type="dxa"/>
            <w:tcBorders>
              <w:top w:val="single" w:sz="4" w:space="0" w:color="auto"/>
              <w:left w:val="nil"/>
              <w:bottom w:val="single" w:sz="4" w:space="0" w:color="auto"/>
              <w:right w:val="nil"/>
            </w:tcBorders>
            <w:shd w:val="clear" w:color="auto" w:fill="auto"/>
            <w:vAlign w:val="center"/>
            <w:hideMark/>
          </w:tcPr>
          <w:p w14:paraId="02E1BF8C"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Consumo gas</w:t>
            </w:r>
          </w:p>
        </w:tc>
        <w:tc>
          <w:tcPr>
            <w:tcW w:w="870" w:type="dxa"/>
            <w:tcBorders>
              <w:top w:val="single" w:sz="4" w:space="0" w:color="auto"/>
              <w:left w:val="nil"/>
              <w:bottom w:val="single" w:sz="4" w:space="0" w:color="auto"/>
              <w:right w:val="nil"/>
            </w:tcBorders>
            <w:shd w:val="clear" w:color="auto" w:fill="auto"/>
            <w:noWrap/>
            <w:vAlign w:val="center"/>
            <w:hideMark/>
          </w:tcPr>
          <w:p w14:paraId="297E0593"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1.318.028</w:t>
            </w:r>
          </w:p>
        </w:tc>
        <w:tc>
          <w:tcPr>
            <w:tcW w:w="976" w:type="dxa"/>
            <w:tcBorders>
              <w:top w:val="single" w:sz="4" w:space="0" w:color="auto"/>
              <w:left w:val="nil"/>
              <w:bottom w:val="single" w:sz="4" w:space="0" w:color="auto"/>
              <w:right w:val="nil"/>
            </w:tcBorders>
            <w:shd w:val="clear" w:color="auto" w:fill="auto"/>
            <w:noWrap/>
            <w:vAlign w:val="center"/>
            <w:hideMark/>
          </w:tcPr>
          <w:p w14:paraId="62A89638"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2.390.786</w:t>
            </w:r>
          </w:p>
        </w:tc>
        <w:tc>
          <w:tcPr>
            <w:tcW w:w="993" w:type="dxa"/>
            <w:tcBorders>
              <w:top w:val="single" w:sz="4" w:space="0" w:color="auto"/>
              <w:left w:val="nil"/>
              <w:bottom w:val="single" w:sz="4" w:space="0" w:color="auto"/>
              <w:right w:val="nil"/>
            </w:tcBorders>
            <w:shd w:val="clear" w:color="auto" w:fill="auto"/>
            <w:noWrap/>
            <w:vAlign w:val="center"/>
            <w:hideMark/>
          </w:tcPr>
          <w:p w14:paraId="7897CD90"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1.072.758</w:t>
            </w:r>
          </w:p>
        </w:tc>
        <w:tc>
          <w:tcPr>
            <w:tcW w:w="1290" w:type="dxa"/>
            <w:tcBorders>
              <w:top w:val="single" w:sz="4" w:space="0" w:color="auto"/>
              <w:left w:val="nil"/>
              <w:bottom w:val="single" w:sz="4" w:space="0" w:color="auto"/>
              <w:right w:val="nil"/>
            </w:tcBorders>
            <w:vAlign w:val="center"/>
          </w:tcPr>
          <w:p w14:paraId="72B60ABD"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81</w:t>
            </w:r>
          </w:p>
        </w:tc>
      </w:tr>
    </w:tbl>
    <w:p w14:paraId="08140F61" w14:textId="77777777" w:rsidR="00080130" w:rsidRDefault="00807992" w:rsidP="00807992">
      <w:pPr>
        <w:tabs>
          <w:tab w:val="left" w:pos="142"/>
          <w:tab w:val="center" w:pos="2835"/>
          <w:tab w:val="center" w:pos="3969"/>
          <w:tab w:val="center" w:pos="5103"/>
          <w:tab w:val="center" w:pos="6237"/>
          <w:tab w:val="center" w:pos="7371"/>
        </w:tabs>
        <w:spacing w:before="300" w:after="240"/>
        <w:ind w:firstLine="284"/>
        <w:rPr>
          <w:spacing w:val="6"/>
          <w:sz w:val="26"/>
          <w:szCs w:val="26"/>
          <w:lang w:val="es-ES" w:eastAsia="es-ES"/>
        </w:rPr>
      </w:pPr>
      <w:r>
        <w:rPr>
          <w:spacing w:val="6"/>
          <w:sz w:val="26"/>
          <w:szCs w:val="26"/>
          <w:lang w:val="es-ES" w:eastAsia="es-ES"/>
        </w:rPr>
        <w:t xml:space="preserve">Hemos seleccionado como muestra, las partidas que en 2021 han tenido una variación más significativa, siendo las siguientes: </w:t>
      </w:r>
    </w:p>
    <w:tbl>
      <w:tblPr>
        <w:tblW w:w="8931" w:type="dxa"/>
        <w:tblCellMar>
          <w:left w:w="70" w:type="dxa"/>
          <w:right w:w="70" w:type="dxa"/>
        </w:tblCellMar>
        <w:tblLook w:val="04A0" w:firstRow="1" w:lastRow="0" w:firstColumn="1" w:lastColumn="0" w:noHBand="0" w:noVBand="1"/>
      </w:tblPr>
      <w:tblGrid>
        <w:gridCol w:w="4501"/>
        <w:gridCol w:w="886"/>
        <w:gridCol w:w="1134"/>
        <w:gridCol w:w="1276"/>
        <w:gridCol w:w="1134"/>
      </w:tblGrid>
      <w:tr w:rsidR="00807992" w:rsidRPr="00ED65EA" w14:paraId="502BC37F" w14:textId="77777777" w:rsidTr="00995A09">
        <w:trPr>
          <w:trHeight w:val="255"/>
        </w:trPr>
        <w:tc>
          <w:tcPr>
            <w:tcW w:w="4501" w:type="dxa"/>
            <w:tcBorders>
              <w:top w:val="single" w:sz="4" w:space="0" w:color="auto"/>
              <w:left w:val="nil"/>
              <w:bottom w:val="single" w:sz="4" w:space="0" w:color="auto"/>
              <w:right w:val="nil"/>
            </w:tcBorders>
            <w:shd w:val="clear" w:color="000000" w:fill="FABF8F"/>
            <w:vAlign w:val="center"/>
            <w:hideMark/>
          </w:tcPr>
          <w:p w14:paraId="049EBB55" w14:textId="77777777" w:rsidR="00807992" w:rsidRPr="00ED65EA" w:rsidRDefault="00080130" w:rsidP="00807992">
            <w:pPr>
              <w:spacing w:after="0"/>
              <w:ind w:firstLine="0"/>
              <w:rPr>
                <w:rFonts w:ascii="Arial" w:hAnsi="Arial" w:cs="Arial"/>
                <w:color w:val="000000"/>
                <w:sz w:val="18"/>
                <w:szCs w:val="18"/>
                <w:lang w:val="es-ES" w:eastAsia="es-ES"/>
              </w:rPr>
            </w:pPr>
            <w:r>
              <w:rPr>
                <w:spacing w:val="6"/>
                <w:sz w:val="26"/>
                <w:szCs w:val="26"/>
                <w:lang w:val="es-ES" w:eastAsia="es-ES"/>
              </w:rPr>
              <w:br w:type="page"/>
            </w:r>
            <w:r w:rsidR="00807992" w:rsidRPr="00ED65EA">
              <w:rPr>
                <w:rFonts w:ascii="Arial" w:hAnsi="Arial" w:cs="Arial"/>
                <w:color w:val="000000"/>
                <w:sz w:val="18"/>
                <w:szCs w:val="18"/>
                <w:lang w:val="es-ES" w:eastAsia="es-ES"/>
              </w:rPr>
              <w:t xml:space="preserve">Descripción </w:t>
            </w:r>
          </w:p>
        </w:tc>
        <w:tc>
          <w:tcPr>
            <w:tcW w:w="886" w:type="dxa"/>
            <w:tcBorders>
              <w:top w:val="single" w:sz="4" w:space="0" w:color="auto"/>
              <w:left w:val="nil"/>
              <w:bottom w:val="single" w:sz="4" w:space="0" w:color="auto"/>
              <w:right w:val="nil"/>
            </w:tcBorders>
            <w:shd w:val="clear" w:color="000000" w:fill="FABF8F"/>
            <w:noWrap/>
            <w:vAlign w:val="center"/>
            <w:hideMark/>
          </w:tcPr>
          <w:p w14:paraId="58855D1B" w14:textId="77777777" w:rsidR="00807992" w:rsidRPr="00ED65EA" w:rsidRDefault="00807992" w:rsidP="00F60014">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ORN 2020</w:t>
            </w:r>
          </w:p>
        </w:tc>
        <w:tc>
          <w:tcPr>
            <w:tcW w:w="1134" w:type="dxa"/>
            <w:tcBorders>
              <w:top w:val="single" w:sz="4" w:space="0" w:color="auto"/>
              <w:left w:val="nil"/>
              <w:bottom w:val="single" w:sz="4" w:space="0" w:color="auto"/>
              <w:right w:val="nil"/>
            </w:tcBorders>
            <w:shd w:val="clear" w:color="000000" w:fill="FABF8F"/>
            <w:noWrap/>
            <w:vAlign w:val="center"/>
            <w:hideMark/>
          </w:tcPr>
          <w:p w14:paraId="0F51BB9D" w14:textId="77777777" w:rsidR="00807992" w:rsidRDefault="00807992" w:rsidP="00F60014">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ORN</w:t>
            </w:r>
          </w:p>
          <w:p w14:paraId="4D97319A" w14:textId="77777777" w:rsidR="00807992" w:rsidRPr="00ED65EA" w:rsidRDefault="00807992" w:rsidP="00F60014">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2021</w:t>
            </w:r>
          </w:p>
        </w:tc>
        <w:tc>
          <w:tcPr>
            <w:tcW w:w="1276" w:type="dxa"/>
            <w:tcBorders>
              <w:top w:val="single" w:sz="4" w:space="0" w:color="auto"/>
              <w:left w:val="nil"/>
              <w:bottom w:val="single" w:sz="4" w:space="0" w:color="auto"/>
              <w:right w:val="nil"/>
            </w:tcBorders>
            <w:shd w:val="clear" w:color="000000" w:fill="FABF8F"/>
            <w:noWrap/>
            <w:vAlign w:val="center"/>
            <w:hideMark/>
          </w:tcPr>
          <w:p w14:paraId="3C56CA4C" w14:textId="77777777" w:rsidR="00807992" w:rsidRPr="00ED65EA" w:rsidRDefault="00807992" w:rsidP="00F60014">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Variación</w:t>
            </w:r>
          </w:p>
        </w:tc>
        <w:tc>
          <w:tcPr>
            <w:tcW w:w="1134" w:type="dxa"/>
            <w:tcBorders>
              <w:top w:val="single" w:sz="4" w:space="0" w:color="auto"/>
              <w:left w:val="nil"/>
              <w:bottom w:val="single" w:sz="4" w:space="0" w:color="auto"/>
              <w:right w:val="nil"/>
            </w:tcBorders>
            <w:shd w:val="clear" w:color="000000" w:fill="FABF8F"/>
            <w:vAlign w:val="center"/>
          </w:tcPr>
          <w:p w14:paraId="689B87EB" w14:textId="77777777" w:rsidR="00080130" w:rsidRDefault="00807992" w:rsidP="00F60014">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 xml:space="preserve">% </w:t>
            </w:r>
            <w:r>
              <w:rPr>
                <w:rFonts w:ascii="Arial" w:hAnsi="Arial" w:cs="Arial"/>
                <w:color w:val="000000"/>
                <w:sz w:val="18"/>
                <w:szCs w:val="18"/>
                <w:lang w:val="es-ES" w:eastAsia="es-ES"/>
              </w:rPr>
              <w:t>v</w:t>
            </w:r>
            <w:r w:rsidRPr="00ED65EA">
              <w:rPr>
                <w:rFonts w:ascii="Arial" w:hAnsi="Arial" w:cs="Arial"/>
                <w:color w:val="000000"/>
                <w:sz w:val="18"/>
                <w:szCs w:val="18"/>
                <w:lang w:val="es-ES" w:eastAsia="es-ES"/>
              </w:rPr>
              <w:t>ar</w:t>
            </w:r>
            <w:r w:rsidR="00080130">
              <w:rPr>
                <w:rFonts w:ascii="Arial" w:hAnsi="Arial" w:cs="Arial"/>
                <w:color w:val="000000"/>
                <w:sz w:val="18"/>
                <w:szCs w:val="18"/>
                <w:lang w:val="es-ES" w:eastAsia="es-ES"/>
              </w:rPr>
              <w:t>iación</w:t>
            </w:r>
          </w:p>
          <w:p w14:paraId="31BA390F" w14:textId="77777777" w:rsidR="00807992" w:rsidRPr="00ED65EA" w:rsidRDefault="00807992" w:rsidP="00F60014">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2021/2020</w:t>
            </w:r>
          </w:p>
        </w:tc>
      </w:tr>
      <w:tr w:rsidR="00807992" w:rsidRPr="00ED65EA" w14:paraId="007C373C" w14:textId="77777777" w:rsidTr="00995A09">
        <w:trPr>
          <w:trHeight w:val="198"/>
        </w:trPr>
        <w:tc>
          <w:tcPr>
            <w:tcW w:w="4501" w:type="dxa"/>
            <w:tcBorders>
              <w:top w:val="single" w:sz="4" w:space="0" w:color="auto"/>
              <w:left w:val="nil"/>
              <w:bottom w:val="single" w:sz="2" w:space="0" w:color="auto"/>
              <w:right w:val="nil"/>
            </w:tcBorders>
            <w:shd w:val="clear" w:color="auto" w:fill="auto"/>
            <w:vAlign w:val="center"/>
            <w:hideMark/>
          </w:tcPr>
          <w:p w14:paraId="39F7D12E"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Contrato gestión ORA</w:t>
            </w:r>
          </w:p>
        </w:tc>
        <w:tc>
          <w:tcPr>
            <w:tcW w:w="886" w:type="dxa"/>
            <w:tcBorders>
              <w:top w:val="single" w:sz="4" w:space="0" w:color="auto"/>
              <w:left w:val="nil"/>
              <w:bottom w:val="single" w:sz="2" w:space="0" w:color="auto"/>
              <w:right w:val="nil"/>
            </w:tcBorders>
            <w:shd w:val="clear" w:color="auto" w:fill="auto"/>
            <w:noWrap/>
            <w:vAlign w:val="center"/>
            <w:hideMark/>
          </w:tcPr>
          <w:p w14:paraId="732096B8"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7.410.028</w:t>
            </w:r>
          </w:p>
        </w:tc>
        <w:tc>
          <w:tcPr>
            <w:tcW w:w="1134" w:type="dxa"/>
            <w:tcBorders>
              <w:top w:val="single" w:sz="4" w:space="0" w:color="auto"/>
              <w:left w:val="nil"/>
              <w:bottom w:val="single" w:sz="2" w:space="0" w:color="auto"/>
              <w:right w:val="nil"/>
            </w:tcBorders>
            <w:shd w:val="clear" w:color="auto" w:fill="auto"/>
            <w:noWrap/>
            <w:vAlign w:val="center"/>
            <w:hideMark/>
          </w:tcPr>
          <w:p w14:paraId="4442F5D9"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8.762.757</w:t>
            </w:r>
          </w:p>
        </w:tc>
        <w:tc>
          <w:tcPr>
            <w:tcW w:w="1276" w:type="dxa"/>
            <w:tcBorders>
              <w:top w:val="single" w:sz="4" w:space="0" w:color="auto"/>
              <w:left w:val="nil"/>
              <w:bottom w:val="single" w:sz="2" w:space="0" w:color="auto"/>
              <w:right w:val="nil"/>
            </w:tcBorders>
            <w:shd w:val="clear" w:color="auto" w:fill="auto"/>
            <w:noWrap/>
            <w:vAlign w:val="center"/>
            <w:hideMark/>
          </w:tcPr>
          <w:p w14:paraId="57DE59FA"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1.352.729</w:t>
            </w:r>
          </w:p>
        </w:tc>
        <w:tc>
          <w:tcPr>
            <w:tcW w:w="1134" w:type="dxa"/>
            <w:tcBorders>
              <w:top w:val="single" w:sz="4" w:space="0" w:color="auto"/>
              <w:left w:val="nil"/>
              <w:bottom w:val="single" w:sz="2" w:space="0" w:color="auto"/>
              <w:right w:val="nil"/>
            </w:tcBorders>
            <w:vAlign w:val="center"/>
          </w:tcPr>
          <w:p w14:paraId="082EA4FD"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18</w:t>
            </w:r>
          </w:p>
        </w:tc>
      </w:tr>
      <w:tr w:rsidR="00807992" w:rsidRPr="00ED65EA" w14:paraId="2571C5FD" w14:textId="77777777" w:rsidTr="00686E66">
        <w:trPr>
          <w:trHeight w:val="198"/>
        </w:trPr>
        <w:tc>
          <w:tcPr>
            <w:tcW w:w="4501" w:type="dxa"/>
            <w:tcBorders>
              <w:top w:val="single" w:sz="2" w:space="0" w:color="auto"/>
              <w:left w:val="nil"/>
              <w:bottom w:val="single" w:sz="2" w:space="0" w:color="auto"/>
              <w:right w:val="nil"/>
            </w:tcBorders>
            <w:shd w:val="clear" w:color="auto" w:fill="auto"/>
            <w:vAlign w:val="center"/>
            <w:hideMark/>
          </w:tcPr>
          <w:p w14:paraId="385FAA8D"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Consumo gas</w:t>
            </w:r>
          </w:p>
        </w:tc>
        <w:tc>
          <w:tcPr>
            <w:tcW w:w="886" w:type="dxa"/>
            <w:tcBorders>
              <w:top w:val="single" w:sz="2" w:space="0" w:color="auto"/>
              <w:left w:val="nil"/>
              <w:bottom w:val="single" w:sz="2" w:space="0" w:color="auto"/>
              <w:right w:val="nil"/>
            </w:tcBorders>
            <w:shd w:val="clear" w:color="auto" w:fill="auto"/>
            <w:noWrap/>
            <w:vAlign w:val="center"/>
            <w:hideMark/>
          </w:tcPr>
          <w:p w14:paraId="491EAE14"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1.318.028</w:t>
            </w:r>
          </w:p>
        </w:tc>
        <w:tc>
          <w:tcPr>
            <w:tcW w:w="1134" w:type="dxa"/>
            <w:tcBorders>
              <w:top w:val="single" w:sz="2" w:space="0" w:color="auto"/>
              <w:left w:val="nil"/>
              <w:bottom w:val="single" w:sz="2" w:space="0" w:color="auto"/>
              <w:right w:val="nil"/>
            </w:tcBorders>
            <w:shd w:val="clear" w:color="auto" w:fill="auto"/>
            <w:noWrap/>
            <w:vAlign w:val="center"/>
            <w:hideMark/>
          </w:tcPr>
          <w:p w14:paraId="390905D0"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2.390.786</w:t>
            </w:r>
          </w:p>
        </w:tc>
        <w:tc>
          <w:tcPr>
            <w:tcW w:w="1276" w:type="dxa"/>
            <w:tcBorders>
              <w:top w:val="single" w:sz="2" w:space="0" w:color="auto"/>
              <w:left w:val="nil"/>
              <w:bottom w:val="single" w:sz="2" w:space="0" w:color="auto"/>
              <w:right w:val="nil"/>
            </w:tcBorders>
            <w:shd w:val="clear" w:color="auto" w:fill="auto"/>
            <w:noWrap/>
            <w:vAlign w:val="center"/>
            <w:hideMark/>
          </w:tcPr>
          <w:p w14:paraId="2A30E085"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1.072.758</w:t>
            </w:r>
          </w:p>
        </w:tc>
        <w:tc>
          <w:tcPr>
            <w:tcW w:w="1134" w:type="dxa"/>
            <w:tcBorders>
              <w:top w:val="single" w:sz="2" w:space="0" w:color="auto"/>
              <w:left w:val="nil"/>
              <w:bottom w:val="single" w:sz="2" w:space="0" w:color="auto"/>
              <w:right w:val="nil"/>
            </w:tcBorders>
            <w:vAlign w:val="center"/>
          </w:tcPr>
          <w:p w14:paraId="30220DA2"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81</w:t>
            </w:r>
          </w:p>
        </w:tc>
      </w:tr>
      <w:tr w:rsidR="00807992" w:rsidRPr="00ED65EA" w14:paraId="0774B1EA" w14:textId="77777777" w:rsidTr="00686E66">
        <w:trPr>
          <w:trHeight w:val="198"/>
        </w:trPr>
        <w:tc>
          <w:tcPr>
            <w:tcW w:w="4501" w:type="dxa"/>
            <w:tcBorders>
              <w:top w:val="single" w:sz="2" w:space="0" w:color="auto"/>
              <w:left w:val="nil"/>
              <w:bottom w:val="single" w:sz="2" w:space="0" w:color="auto"/>
              <w:right w:val="nil"/>
            </w:tcBorders>
            <w:shd w:val="clear" w:color="auto" w:fill="auto"/>
            <w:vAlign w:val="center"/>
            <w:hideMark/>
          </w:tcPr>
          <w:p w14:paraId="18C52EFD" w14:textId="77777777" w:rsidR="00807992" w:rsidRPr="00ED65EA" w:rsidRDefault="00807992" w:rsidP="00080130">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Estudios y trabajos Técnicos</w:t>
            </w:r>
          </w:p>
        </w:tc>
        <w:tc>
          <w:tcPr>
            <w:tcW w:w="886" w:type="dxa"/>
            <w:tcBorders>
              <w:top w:val="single" w:sz="2" w:space="0" w:color="auto"/>
              <w:left w:val="nil"/>
              <w:bottom w:val="single" w:sz="2" w:space="0" w:color="auto"/>
              <w:right w:val="nil"/>
            </w:tcBorders>
            <w:shd w:val="clear" w:color="auto" w:fill="auto"/>
            <w:noWrap/>
            <w:vAlign w:val="center"/>
            <w:hideMark/>
          </w:tcPr>
          <w:p w14:paraId="5FA85C9A"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4.216.360</w:t>
            </w:r>
          </w:p>
        </w:tc>
        <w:tc>
          <w:tcPr>
            <w:tcW w:w="1134" w:type="dxa"/>
            <w:tcBorders>
              <w:top w:val="single" w:sz="2" w:space="0" w:color="auto"/>
              <w:left w:val="nil"/>
              <w:bottom w:val="single" w:sz="2" w:space="0" w:color="auto"/>
              <w:right w:val="nil"/>
            </w:tcBorders>
            <w:shd w:val="clear" w:color="auto" w:fill="auto"/>
            <w:noWrap/>
            <w:vAlign w:val="center"/>
            <w:hideMark/>
          </w:tcPr>
          <w:p w14:paraId="58F55EBA"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5.138.703</w:t>
            </w:r>
          </w:p>
        </w:tc>
        <w:tc>
          <w:tcPr>
            <w:tcW w:w="1276" w:type="dxa"/>
            <w:tcBorders>
              <w:top w:val="single" w:sz="2" w:space="0" w:color="auto"/>
              <w:left w:val="nil"/>
              <w:bottom w:val="single" w:sz="2" w:space="0" w:color="auto"/>
              <w:right w:val="nil"/>
            </w:tcBorders>
            <w:shd w:val="clear" w:color="auto" w:fill="auto"/>
            <w:noWrap/>
            <w:vAlign w:val="center"/>
            <w:hideMark/>
          </w:tcPr>
          <w:p w14:paraId="583FFD28"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922.342</w:t>
            </w:r>
          </w:p>
        </w:tc>
        <w:tc>
          <w:tcPr>
            <w:tcW w:w="1134" w:type="dxa"/>
            <w:tcBorders>
              <w:top w:val="single" w:sz="2" w:space="0" w:color="auto"/>
              <w:left w:val="nil"/>
              <w:bottom w:val="single" w:sz="2" w:space="0" w:color="auto"/>
              <w:right w:val="nil"/>
            </w:tcBorders>
            <w:vAlign w:val="center"/>
          </w:tcPr>
          <w:p w14:paraId="29DFBD7A"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22</w:t>
            </w:r>
          </w:p>
        </w:tc>
      </w:tr>
      <w:tr w:rsidR="00807992" w:rsidRPr="00ED65EA" w14:paraId="7D483B32" w14:textId="77777777" w:rsidTr="00995A09">
        <w:trPr>
          <w:trHeight w:val="198"/>
        </w:trPr>
        <w:tc>
          <w:tcPr>
            <w:tcW w:w="4501" w:type="dxa"/>
            <w:tcBorders>
              <w:top w:val="single" w:sz="2" w:space="0" w:color="auto"/>
              <w:left w:val="nil"/>
              <w:bottom w:val="single" w:sz="4" w:space="0" w:color="auto"/>
              <w:right w:val="nil"/>
            </w:tcBorders>
            <w:shd w:val="clear" w:color="auto" w:fill="auto"/>
            <w:vAlign w:val="center"/>
            <w:hideMark/>
          </w:tcPr>
          <w:p w14:paraId="22DA0127"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Contratos limpieza y aseo</w:t>
            </w:r>
          </w:p>
        </w:tc>
        <w:tc>
          <w:tcPr>
            <w:tcW w:w="886" w:type="dxa"/>
            <w:tcBorders>
              <w:top w:val="single" w:sz="2" w:space="0" w:color="auto"/>
              <w:left w:val="nil"/>
              <w:bottom w:val="single" w:sz="4" w:space="0" w:color="auto"/>
              <w:right w:val="nil"/>
            </w:tcBorders>
            <w:shd w:val="clear" w:color="auto" w:fill="auto"/>
            <w:noWrap/>
            <w:vAlign w:val="center"/>
            <w:hideMark/>
          </w:tcPr>
          <w:p w14:paraId="206AEFEA"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5.017.978</w:t>
            </w:r>
          </w:p>
        </w:tc>
        <w:tc>
          <w:tcPr>
            <w:tcW w:w="1134" w:type="dxa"/>
            <w:tcBorders>
              <w:top w:val="single" w:sz="2" w:space="0" w:color="auto"/>
              <w:left w:val="nil"/>
              <w:bottom w:val="single" w:sz="4" w:space="0" w:color="auto"/>
              <w:right w:val="nil"/>
            </w:tcBorders>
            <w:shd w:val="clear" w:color="auto" w:fill="auto"/>
            <w:noWrap/>
            <w:vAlign w:val="center"/>
            <w:hideMark/>
          </w:tcPr>
          <w:p w14:paraId="4182A712"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5.733.617</w:t>
            </w:r>
          </w:p>
        </w:tc>
        <w:tc>
          <w:tcPr>
            <w:tcW w:w="1276" w:type="dxa"/>
            <w:tcBorders>
              <w:top w:val="single" w:sz="2" w:space="0" w:color="auto"/>
              <w:left w:val="nil"/>
              <w:bottom w:val="single" w:sz="4" w:space="0" w:color="auto"/>
              <w:right w:val="nil"/>
            </w:tcBorders>
            <w:shd w:val="clear" w:color="auto" w:fill="auto"/>
            <w:noWrap/>
            <w:vAlign w:val="center"/>
            <w:hideMark/>
          </w:tcPr>
          <w:p w14:paraId="4C5026D2"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715.639</w:t>
            </w:r>
          </w:p>
        </w:tc>
        <w:tc>
          <w:tcPr>
            <w:tcW w:w="1134" w:type="dxa"/>
            <w:tcBorders>
              <w:top w:val="single" w:sz="2" w:space="0" w:color="auto"/>
              <w:left w:val="nil"/>
              <w:bottom w:val="single" w:sz="4" w:space="0" w:color="auto"/>
              <w:right w:val="nil"/>
            </w:tcBorders>
            <w:vAlign w:val="center"/>
          </w:tcPr>
          <w:p w14:paraId="39EE127E"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14</w:t>
            </w:r>
          </w:p>
        </w:tc>
      </w:tr>
      <w:tr w:rsidR="00807992" w:rsidRPr="00ED65EA" w14:paraId="195EE67B" w14:textId="77777777" w:rsidTr="00995A09">
        <w:trPr>
          <w:trHeight w:val="198"/>
        </w:trPr>
        <w:tc>
          <w:tcPr>
            <w:tcW w:w="4501" w:type="dxa"/>
            <w:tcBorders>
              <w:top w:val="single" w:sz="4" w:space="0" w:color="auto"/>
              <w:left w:val="nil"/>
              <w:bottom w:val="single" w:sz="4" w:space="0" w:color="auto"/>
              <w:right w:val="nil"/>
            </w:tcBorders>
            <w:shd w:val="clear" w:color="auto" w:fill="auto"/>
            <w:vAlign w:val="center"/>
            <w:hideMark/>
          </w:tcPr>
          <w:p w14:paraId="5713DBAF" w14:textId="77777777" w:rsidR="00807992" w:rsidRPr="00ED65EA" w:rsidRDefault="00807992" w:rsidP="00807992">
            <w:pPr>
              <w:spacing w:after="0"/>
              <w:ind w:firstLine="0"/>
              <w:rPr>
                <w:rFonts w:ascii="Arial Narrow" w:hAnsi="Arial Narrow" w:cs="Calibri"/>
                <w:color w:val="000000"/>
                <w:lang w:val="es-ES" w:eastAsia="es-ES"/>
              </w:rPr>
            </w:pPr>
            <w:r w:rsidRPr="00ED65EA">
              <w:rPr>
                <w:rFonts w:ascii="Arial Narrow" w:hAnsi="Arial Narrow" w:cs="Calibri"/>
                <w:color w:val="000000"/>
                <w:lang w:val="es-ES" w:eastAsia="es-ES"/>
              </w:rPr>
              <w:t>Mantenimiento y reparación bienes uso publico</w:t>
            </w:r>
          </w:p>
        </w:tc>
        <w:tc>
          <w:tcPr>
            <w:tcW w:w="886" w:type="dxa"/>
            <w:tcBorders>
              <w:top w:val="single" w:sz="4" w:space="0" w:color="auto"/>
              <w:left w:val="nil"/>
              <w:bottom w:val="single" w:sz="4" w:space="0" w:color="auto"/>
              <w:right w:val="nil"/>
            </w:tcBorders>
            <w:shd w:val="clear" w:color="auto" w:fill="auto"/>
            <w:noWrap/>
            <w:vAlign w:val="center"/>
            <w:hideMark/>
          </w:tcPr>
          <w:p w14:paraId="2FDF9F6B"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8.524.557</w:t>
            </w:r>
          </w:p>
        </w:tc>
        <w:tc>
          <w:tcPr>
            <w:tcW w:w="1134" w:type="dxa"/>
            <w:tcBorders>
              <w:top w:val="single" w:sz="4" w:space="0" w:color="auto"/>
              <w:left w:val="nil"/>
              <w:bottom w:val="single" w:sz="4" w:space="0" w:color="auto"/>
              <w:right w:val="nil"/>
            </w:tcBorders>
            <w:shd w:val="clear" w:color="auto" w:fill="auto"/>
            <w:noWrap/>
            <w:vAlign w:val="center"/>
            <w:hideMark/>
          </w:tcPr>
          <w:p w14:paraId="30F3935B"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6.649.531</w:t>
            </w:r>
          </w:p>
        </w:tc>
        <w:tc>
          <w:tcPr>
            <w:tcW w:w="1276" w:type="dxa"/>
            <w:tcBorders>
              <w:top w:val="single" w:sz="4" w:space="0" w:color="auto"/>
              <w:left w:val="nil"/>
              <w:bottom w:val="single" w:sz="4" w:space="0" w:color="auto"/>
              <w:right w:val="nil"/>
            </w:tcBorders>
            <w:shd w:val="clear" w:color="auto" w:fill="auto"/>
            <w:noWrap/>
            <w:vAlign w:val="center"/>
            <w:hideMark/>
          </w:tcPr>
          <w:p w14:paraId="0B68C87A"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-1.875.026</w:t>
            </w:r>
          </w:p>
        </w:tc>
        <w:tc>
          <w:tcPr>
            <w:tcW w:w="1134" w:type="dxa"/>
            <w:tcBorders>
              <w:top w:val="single" w:sz="4" w:space="0" w:color="auto"/>
              <w:left w:val="nil"/>
              <w:bottom w:val="single" w:sz="4" w:space="0" w:color="auto"/>
              <w:right w:val="nil"/>
            </w:tcBorders>
            <w:vAlign w:val="center"/>
          </w:tcPr>
          <w:p w14:paraId="4DDFAF8F" w14:textId="77777777" w:rsidR="00807992" w:rsidRPr="00ED65EA" w:rsidRDefault="00807992" w:rsidP="00807992">
            <w:pPr>
              <w:spacing w:after="0"/>
              <w:ind w:firstLine="0"/>
              <w:jc w:val="right"/>
              <w:rPr>
                <w:rFonts w:ascii="Arial Narrow" w:hAnsi="Arial Narrow" w:cs="Calibri"/>
                <w:color w:val="000000"/>
                <w:lang w:val="es-ES" w:eastAsia="es-ES"/>
              </w:rPr>
            </w:pPr>
            <w:r w:rsidRPr="00ED65EA">
              <w:rPr>
                <w:rFonts w:ascii="Arial Narrow" w:hAnsi="Arial Narrow" w:cs="Calibri"/>
                <w:color w:val="000000"/>
                <w:lang w:val="es-ES" w:eastAsia="es-ES"/>
              </w:rPr>
              <w:t>-22</w:t>
            </w:r>
          </w:p>
        </w:tc>
      </w:tr>
    </w:tbl>
    <w:p w14:paraId="68BCB4E1" w14:textId="77777777" w:rsidR="00807992" w:rsidRDefault="00807992" w:rsidP="00807992">
      <w:pPr>
        <w:tabs>
          <w:tab w:val="left" w:pos="708"/>
          <w:tab w:val="center" w:pos="2835"/>
          <w:tab w:val="center" w:pos="3969"/>
          <w:tab w:val="center" w:pos="5103"/>
          <w:tab w:val="center" w:pos="6237"/>
          <w:tab w:val="center" w:pos="7371"/>
        </w:tabs>
        <w:spacing w:before="240" w:after="160"/>
        <w:ind w:firstLine="284"/>
        <w:rPr>
          <w:spacing w:val="6"/>
          <w:sz w:val="26"/>
          <w:szCs w:val="24"/>
        </w:rPr>
      </w:pPr>
      <w:r w:rsidRPr="00667DFF">
        <w:rPr>
          <w:spacing w:val="6"/>
          <w:sz w:val="26"/>
          <w:szCs w:val="24"/>
        </w:rPr>
        <w:t xml:space="preserve">De nuestra revisión </w:t>
      </w:r>
      <w:r>
        <w:rPr>
          <w:spacing w:val="6"/>
          <w:sz w:val="26"/>
          <w:szCs w:val="24"/>
        </w:rPr>
        <w:t>hemos verificado que las variaciones son razonables por los siguientes motivos:</w:t>
      </w:r>
    </w:p>
    <w:p w14:paraId="2A73FE6C" w14:textId="77777777" w:rsidR="00754803" w:rsidRDefault="00807992" w:rsidP="00807992">
      <w:pPr>
        <w:numPr>
          <w:ilvl w:val="0"/>
          <w:numId w:val="10"/>
        </w:numPr>
        <w:tabs>
          <w:tab w:val="num" w:pos="284"/>
        </w:tabs>
        <w:ind w:firstLine="142"/>
        <w:rPr>
          <w:rFonts w:cs="Arial"/>
          <w:spacing w:val="4"/>
          <w:sz w:val="26"/>
          <w:szCs w:val="24"/>
        </w:rPr>
      </w:pPr>
      <w:r>
        <w:rPr>
          <w:rFonts w:cs="Arial"/>
          <w:spacing w:val="4"/>
          <w:sz w:val="26"/>
          <w:szCs w:val="24"/>
        </w:rPr>
        <w:t>Con carácter general son partidas</w:t>
      </w:r>
      <w:r w:rsidR="000023DA">
        <w:rPr>
          <w:rFonts w:cs="Arial"/>
          <w:spacing w:val="4"/>
          <w:sz w:val="26"/>
          <w:szCs w:val="24"/>
        </w:rPr>
        <w:t xml:space="preserve"> de gasto que se vieron afectada</w:t>
      </w:r>
      <w:r>
        <w:rPr>
          <w:rFonts w:cs="Arial"/>
          <w:spacing w:val="4"/>
          <w:sz w:val="26"/>
          <w:szCs w:val="24"/>
        </w:rPr>
        <w:t xml:space="preserve">s en el ejercicio 2020 por la declaración por el Gobierno del Estado el 14 de marzo de 2020, del estado de alarma para afrontar la situación de emergencia sanitaria provocada por la COVID-19. Esta declaración supuso limitaciones de movimiento de la ciudadanía y sus lógicas consecuencias en determinados servicios públicos que se vieron afectados en su nivel de actividad. </w:t>
      </w:r>
    </w:p>
    <w:p w14:paraId="3EF4312D" w14:textId="77777777" w:rsidR="00754803" w:rsidRDefault="00754803">
      <w:pPr>
        <w:spacing w:after="0"/>
        <w:ind w:firstLine="0"/>
        <w:jc w:val="left"/>
        <w:rPr>
          <w:rFonts w:cs="Arial"/>
          <w:spacing w:val="4"/>
          <w:sz w:val="26"/>
          <w:szCs w:val="24"/>
        </w:rPr>
      </w:pPr>
      <w:r>
        <w:rPr>
          <w:rFonts w:cs="Arial"/>
          <w:spacing w:val="4"/>
          <w:sz w:val="26"/>
          <w:szCs w:val="24"/>
        </w:rPr>
        <w:br w:type="page"/>
      </w:r>
    </w:p>
    <w:p w14:paraId="390F712D" w14:textId="77777777" w:rsidR="003D644A" w:rsidRDefault="00807992" w:rsidP="00807992">
      <w:pPr>
        <w:numPr>
          <w:ilvl w:val="0"/>
          <w:numId w:val="10"/>
        </w:numPr>
        <w:tabs>
          <w:tab w:val="num" w:pos="284"/>
        </w:tabs>
        <w:ind w:firstLine="142"/>
        <w:rPr>
          <w:rFonts w:cs="Arial"/>
          <w:spacing w:val="4"/>
          <w:sz w:val="26"/>
          <w:szCs w:val="24"/>
        </w:rPr>
      </w:pPr>
      <w:r w:rsidRPr="00952D3D">
        <w:rPr>
          <w:rFonts w:cs="Arial"/>
          <w:spacing w:val="4"/>
          <w:sz w:val="26"/>
          <w:szCs w:val="24"/>
        </w:rPr>
        <w:lastRenderedPageBreak/>
        <w:t>Con carácter particular</w:t>
      </w:r>
      <w:r w:rsidR="003D644A">
        <w:rPr>
          <w:rFonts w:cs="Arial"/>
          <w:spacing w:val="4"/>
          <w:sz w:val="26"/>
          <w:szCs w:val="24"/>
        </w:rPr>
        <w:t>:</w:t>
      </w:r>
    </w:p>
    <w:p w14:paraId="20759F6B" w14:textId="77777777" w:rsidR="003D644A" w:rsidRDefault="003D644A" w:rsidP="003D644A">
      <w:pPr>
        <w:pStyle w:val="Prrafodelista"/>
        <w:numPr>
          <w:ilvl w:val="0"/>
          <w:numId w:val="25"/>
        </w:numPr>
        <w:tabs>
          <w:tab w:val="num" w:pos="600"/>
          <w:tab w:val="num" w:pos="673"/>
          <w:tab w:val="num" w:pos="720"/>
          <w:tab w:val="num" w:pos="1320"/>
        </w:tabs>
        <w:spacing w:before="120" w:after="0"/>
        <w:rPr>
          <w:rFonts w:cs="Arial"/>
          <w:spacing w:val="4"/>
          <w:sz w:val="26"/>
          <w:szCs w:val="24"/>
        </w:rPr>
      </w:pPr>
      <w:r>
        <w:rPr>
          <w:rFonts w:cs="Arial"/>
          <w:spacing w:val="4"/>
          <w:sz w:val="26"/>
          <w:szCs w:val="24"/>
        </w:rPr>
        <w:t>E</w:t>
      </w:r>
      <w:r w:rsidR="00807992">
        <w:rPr>
          <w:rFonts w:cs="Arial"/>
          <w:spacing w:val="4"/>
          <w:sz w:val="26"/>
          <w:szCs w:val="24"/>
        </w:rPr>
        <w:t xml:space="preserve">l </w:t>
      </w:r>
      <w:r w:rsidR="00807992" w:rsidRPr="00952D3D">
        <w:rPr>
          <w:rFonts w:cs="Arial"/>
          <w:spacing w:val="4"/>
          <w:sz w:val="26"/>
          <w:szCs w:val="24"/>
        </w:rPr>
        <w:t xml:space="preserve">contrato </w:t>
      </w:r>
      <w:r>
        <w:rPr>
          <w:rFonts w:cs="Arial"/>
          <w:spacing w:val="4"/>
          <w:sz w:val="26"/>
          <w:szCs w:val="24"/>
        </w:rPr>
        <w:t xml:space="preserve">de </w:t>
      </w:r>
      <w:r w:rsidR="00807992" w:rsidRPr="00952D3D">
        <w:rPr>
          <w:rFonts w:cs="Arial"/>
          <w:spacing w:val="4"/>
          <w:sz w:val="26"/>
          <w:szCs w:val="24"/>
        </w:rPr>
        <w:t xml:space="preserve">gestión </w:t>
      </w:r>
      <w:r w:rsidR="000023DA">
        <w:rPr>
          <w:rFonts w:cs="Arial"/>
          <w:spacing w:val="4"/>
          <w:sz w:val="26"/>
          <w:szCs w:val="24"/>
        </w:rPr>
        <w:t>de estacionami</w:t>
      </w:r>
      <w:r w:rsidR="00200F87">
        <w:rPr>
          <w:rFonts w:cs="Arial"/>
          <w:spacing w:val="4"/>
          <w:sz w:val="26"/>
          <w:szCs w:val="24"/>
        </w:rPr>
        <w:t xml:space="preserve">ento regulado en la vía </w:t>
      </w:r>
      <w:proofErr w:type="gramStart"/>
      <w:r w:rsidR="00200F87">
        <w:rPr>
          <w:rFonts w:cs="Arial"/>
          <w:spacing w:val="4"/>
          <w:sz w:val="26"/>
          <w:szCs w:val="24"/>
        </w:rPr>
        <w:t>pública,</w:t>
      </w:r>
      <w:proofErr w:type="gramEnd"/>
      <w:r w:rsidR="00200F87">
        <w:rPr>
          <w:rFonts w:cs="Arial"/>
          <w:spacing w:val="4"/>
          <w:sz w:val="26"/>
          <w:szCs w:val="24"/>
        </w:rPr>
        <w:t xml:space="preserve"> </w:t>
      </w:r>
      <w:r w:rsidR="00807992" w:rsidRPr="00952D3D">
        <w:rPr>
          <w:rFonts w:cs="Arial"/>
          <w:spacing w:val="4"/>
          <w:sz w:val="26"/>
          <w:szCs w:val="24"/>
        </w:rPr>
        <w:t>fue objeto de una modificación contractual aprobada por la Junta de Gobierno Local en junio de 2021</w:t>
      </w:r>
      <w:r w:rsidR="000023DA">
        <w:rPr>
          <w:rFonts w:cs="Arial"/>
          <w:spacing w:val="4"/>
          <w:sz w:val="26"/>
          <w:szCs w:val="24"/>
        </w:rPr>
        <w:t>, como consecuencia de la incorporación de nuevas zonas reguladas</w:t>
      </w:r>
      <w:r w:rsidR="00807992" w:rsidRPr="00952D3D">
        <w:rPr>
          <w:rFonts w:cs="Arial"/>
          <w:spacing w:val="4"/>
          <w:sz w:val="26"/>
          <w:szCs w:val="24"/>
        </w:rPr>
        <w:t>.</w:t>
      </w:r>
      <w:r w:rsidR="00807992">
        <w:rPr>
          <w:rFonts w:cs="Arial"/>
          <w:spacing w:val="4"/>
          <w:sz w:val="26"/>
          <w:szCs w:val="24"/>
        </w:rPr>
        <w:t xml:space="preserve"> </w:t>
      </w:r>
    </w:p>
    <w:p w14:paraId="5B719E11" w14:textId="77777777" w:rsidR="00807992" w:rsidRDefault="00807992" w:rsidP="003D644A">
      <w:pPr>
        <w:pStyle w:val="Prrafodelista"/>
        <w:numPr>
          <w:ilvl w:val="0"/>
          <w:numId w:val="25"/>
        </w:numPr>
        <w:tabs>
          <w:tab w:val="num" w:pos="600"/>
          <w:tab w:val="num" w:pos="673"/>
          <w:tab w:val="num" w:pos="720"/>
          <w:tab w:val="num" w:pos="1320"/>
        </w:tabs>
        <w:spacing w:before="120" w:after="0"/>
        <w:rPr>
          <w:rFonts w:cs="Arial"/>
          <w:spacing w:val="4"/>
          <w:sz w:val="26"/>
          <w:szCs w:val="24"/>
        </w:rPr>
      </w:pPr>
      <w:r>
        <w:rPr>
          <w:rFonts w:cs="Arial"/>
          <w:spacing w:val="4"/>
          <w:sz w:val="26"/>
          <w:szCs w:val="24"/>
        </w:rPr>
        <w:t>En el caso del gasto por mantenimiento y reparaciones de bienes de uso público, la disminución está motivada principalmente por una serie de actuaciones extraordinarias que se realizaron en 2020</w:t>
      </w:r>
      <w:r w:rsidR="000023DA">
        <w:rPr>
          <w:rFonts w:cs="Arial"/>
          <w:spacing w:val="4"/>
          <w:sz w:val="26"/>
          <w:szCs w:val="24"/>
        </w:rPr>
        <w:t xml:space="preserve">, las cuales </w:t>
      </w:r>
      <w:r>
        <w:rPr>
          <w:rFonts w:cs="Arial"/>
          <w:spacing w:val="4"/>
          <w:sz w:val="26"/>
          <w:szCs w:val="24"/>
        </w:rPr>
        <w:t xml:space="preserve">no han tenido continuidad en el presente ejercicio. </w:t>
      </w:r>
    </w:p>
    <w:p w14:paraId="30C9D5FB" w14:textId="77777777" w:rsidR="00754803" w:rsidRDefault="00754803" w:rsidP="00807992">
      <w:pPr>
        <w:keepNext/>
        <w:spacing w:after="240"/>
        <w:ind w:left="-28" w:firstLine="0"/>
        <w:rPr>
          <w:rFonts w:ascii="Arial" w:hAnsi="Arial"/>
          <w:i/>
          <w:iCs/>
          <w:color w:val="000000"/>
          <w:spacing w:val="10"/>
          <w:kern w:val="28"/>
          <w:sz w:val="25"/>
          <w:szCs w:val="26"/>
        </w:rPr>
      </w:pPr>
    </w:p>
    <w:p w14:paraId="4A22D5ED" w14:textId="77777777" w:rsidR="00807992" w:rsidRPr="00ED65EA" w:rsidRDefault="00807992" w:rsidP="00807992">
      <w:pPr>
        <w:keepNext/>
        <w:spacing w:after="240"/>
        <w:ind w:left="-28" w:firstLine="0"/>
        <w:rPr>
          <w:rFonts w:ascii="Arial" w:hAnsi="Arial"/>
          <w:i/>
          <w:iCs/>
          <w:color w:val="000000"/>
          <w:spacing w:val="10"/>
          <w:kern w:val="28"/>
          <w:sz w:val="25"/>
          <w:szCs w:val="26"/>
        </w:rPr>
      </w:pPr>
      <w:r w:rsidRPr="00ED65EA">
        <w:rPr>
          <w:rFonts w:ascii="Arial" w:hAnsi="Arial"/>
          <w:i/>
          <w:iCs/>
          <w:color w:val="000000"/>
          <w:spacing w:val="10"/>
          <w:kern w:val="28"/>
          <w:sz w:val="25"/>
          <w:szCs w:val="26"/>
        </w:rPr>
        <w:t>Licitación y adjudicación de contratos</w:t>
      </w:r>
    </w:p>
    <w:p w14:paraId="3575B379" w14:textId="77777777" w:rsidR="00080130" w:rsidRDefault="00807992" w:rsidP="00807992">
      <w:pPr>
        <w:spacing w:after="260"/>
        <w:ind w:firstLine="284"/>
        <w:rPr>
          <w:spacing w:val="6"/>
          <w:sz w:val="26"/>
          <w:szCs w:val="24"/>
        </w:rPr>
      </w:pPr>
      <w:r w:rsidRPr="00667DFF">
        <w:rPr>
          <w:spacing w:val="6"/>
          <w:sz w:val="26"/>
          <w:szCs w:val="24"/>
        </w:rPr>
        <w:t xml:space="preserve">Hemos revisado las siguientes licitaciones, así como su adjudicación y la ejecución del gasto correspondiente en este </w:t>
      </w:r>
      <w:r>
        <w:rPr>
          <w:spacing w:val="6"/>
          <w:sz w:val="26"/>
          <w:szCs w:val="24"/>
        </w:rPr>
        <w:t>ejercicio</w:t>
      </w:r>
      <w:r w:rsidRPr="00667DFF">
        <w:rPr>
          <w:spacing w:val="6"/>
          <w:sz w:val="26"/>
          <w:szCs w:val="24"/>
        </w:rPr>
        <w:t xml:space="preserve">: </w:t>
      </w:r>
    </w:p>
    <w:tbl>
      <w:tblPr>
        <w:tblW w:w="9073" w:type="dxa"/>
        <w:tblInd w:w="-284" w:type="dxa"/>
        <w:tblCellMar>
          <w:left w:w="70" w:type="dxa"/>
          <w:right w:w="70" w:type="dxa"/>
        </w:tblCellMar>
        <w:tblLook w:val="04A0" w:firstRow="1" w:lastRow="0" w:firstColumn="1" w:lastColumn="0" w:noHBand="0" w:noVBand="1"/>
      </w:tblPr>
      <w:tblGrid>
        <w:gridCol w:w="3180"/>
        <w:gridCol w:w="1640"/>
        <w:gridCol w:w="1134"/>
        <w:gridCol w:w="993"/>
        <w:gridCol w:w="1559"/>
        <w:gridCol w:w="567"/>
      </w:tblGrid>
      <w:tr w:rsidR="00807992" w:rsidRPr="00667DFF" w14:paraId="48400F6B" w14:textId="77777777" w:rsidTr="00EE2FA3">
        <w:trPr>
          <w:trHeight w:val="255"/>
        </w:trPr>
        <w:tc>
          <w:tcPr>
            <w:tcW w:w="3180" w:type="dxa"/>
            <w:tcBorders>
              <w:top w:val="single" w:sz="4" w:space="0" w:color="auto"/>
              <w:left w:val="nil"/>
              <w:bottom w:val="single" w:sz="4" w:space="0" w:color="auto"/>
              <w:right w:val="nil"/>
            </w:tcBorders>
            <w:shd w:val="clear" w:color="000000" w:fill="F4B084"/>
            <w:vAlign w:val="center"/>
            <w:hideMark/>
          </w:tcPr>
          <w:p w14:paraId="7F7302A5" w14:textId="77777777" w:rsidR="00807992" w:rsidRPr="00667DFF" w:rsidRDefault="00080130" w:rsidP="00807992">
            <w:pPr>
              <w:spacing w:after="0"/>
              <w:ind w:firstLine="0"/>
              <w:jc w:val="left"/>
              <w:rPr>
                <w:rFonts w:ascii="Arial" w:hAnsi="Arial" w:cs="Arial"/>
                <w:color w:val="000000"/>
                <w:sz w:val="17"/>
                <w:szCs w:val="17"/>
                <w:lang w:val="es-ES" w:eastAsia="es-ES"/>
              </w:rPr>
            </w:pPr>
            <w:r>
              <w:rPr>
                <w:spacing w:val="6"/>
                <w:sz w:val="26"/>
                <w:szCs w:val="24"/>
              </w:rPr>
              <w:br w:type="page"/>
            </w:r>
            <w:r w:rsidR="00807992" w:rsidRPr="00667DFF">
              <w:rPr>
                <w:rFonts w:ascii="Arial" w:hAnsi="Arial" w:cs="Arial"/>
                <w:color w:val="000000"/>
                <w:sz w:val="17"/>
                <w:szCs w:val="17"/>
                <w:lang w:eastAsia="es-ES"/>
              </w:rPr>
              <w:t>Contrato</w:t>
            </w:r>
          </w:p>
        </w:tc>
        <w:tc>
          <w:tcPr>
            <w:tcW w:w="1640" w:type="dxa"/>
            <w:tcBorders>
              <w:top w:val="single" w:sz="4" w:space="0" w:color="auto"/>
              <w:left w:val="nil"/>
              <w:bottom w:val="single" w:sz="4" w:space="0" w:color="auto"/>
              <w:right w:val="single" w:sz="4" w:space="0" w:color="auto"/>
            </w:tcBorders>
            <w:shd w:val="clear" w:color="000000" w:fill="F4B084"/>
            <w:vAlign w:val="center"/>
            <w:hideMark/>
          </w:tcPr>
          <w:p w14:paraId="7A395E09" w14:textId="77777777" w:rsidR="00807992" w:rsidRPr="00667DFF" w:rsidRDefault="00807992" w:rsidP="00317422">
            <w:pPr>
              <w:spacing w:after="0"/>
              <w:ind w:firstLine="0"/>
              <w:jc w:val="right"/>
              <w:rPr>
                <w:rFonts w:ascii="Arial" w:hAnsi="Arial" w:cs="Arial"/>
                <w:color w:val="000000"/>
                <w:sz w:val="17"/>
                <w:szCs w:val="17"/>
                <w:lang w:val="es-ES" w:eastAsia="es-ES"/>
              </w:rPr>
            </w:pPr>
            <w:r w:rsidRPr="00667DFF">
              <w:rPr>
                <w:rFonts w:ascii="Arial" w:hAnsi="Arial" w:cs="Arial"/>
                <w:color w:val="000000"/>
                <w:sz w:val="17"/>
                <w:szCs w:val="17"/>
                <w:lang w:eastAsia="es-ES"/>
              </w:rPr>
              <w:t>Procedimiento</w:t>
            </w:r>
          </w:p>
        </w:tc>
        <w:tc>
          <w:tcPr>
            <w:tcW w:w="1134"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05D98745" w14:textId="77777777" w:rsidR="00807992" w:rsidRDefault="00807992" w:rsidP="00317422">
            <w:pPr>
              <w:spacing w:after="0"/>
              <w:ind w:firstLine="0"/>
              <w:jc w:val="right"/>
              <w:rPr>
                <w:rFonts w:ascii="Arial" w:hAnsi="Arial" w:cs="Arial"/>
                <w:color w:val="000000"/>
                <w:sz w:val="17"/>
                <w:szCs w:val="17"/>
                <w:lang w:eastAsia="es-ES"/>
              </w:rPr>
            </w:pPr>
            <w:proofErr w:type="spellStart"/>
            <w:r w:rsidRPr="00667DFF">
              <w:rPr>
                <w:rFonts w:ascii="Arial" w:hAnsi="Arial" w:cs="Arial"/>
                <w:color w:val="000000"/>
                <w:sz w:val="17"/>
                <w:szCs w:val="17"/>
                <w:lang w:eastAsia="es-ES"/>
              </w:rPr>
              <w:t>Nº</w:t>
            </w:r>
            <w:proofErr w:type="spellEnd"/>
            <w:r w:rsidRPr="00667DFF">
              <w:rPr>
                <w:rFonts w:ascii="Arial" w:hAnsi="Arial" w:cs="Arial"/>
                <w:color w:val="000000"/>
                <w:sz w:val="17"/>
                <w:szCs w:val="17"/>
                <w:lang w:eastAsia="es-ES"/>
              </w:rPr>
              <w:t xml:space="preserve"> </w:t>
            </w:r>
          </w:p>
          <w:p w14:paraId="05270942" w14:textId="77777777" w:rsidR="00807992" w:rsidRPr="00667DFF" w:rsidRDefault="00807992" w:rsidP="00317422">
            <w:pPr>
              <w:spacing w:after="0"/>
              <w:ind w:firstLine="0"/>
              <w:jc w:val="right"/>
              <w:rPr>
                <w:rFonts w:ascii="Arial" w:hAnsi="Arial" w:cs="Arial"/>
                <w:color w:val="000000"/>
                <w:sz w:val="17"/>
                <w:szCs w:val="17"/>
                <w:lang w:val="es-ES" w:eastAsia="es-ES"/>
              </w:rPr>
            </w:pPr>
            <w:r w:rsidRPr="00667DFF">
              <w:rPr>
                <w:rFonts w:ascii="Arial" w:hAnsi="Arial" w:cs="Arial"/>
                <w:color w:val="000000"/>
                <w:sz w:val="17"/>
                <w:szCs w:val="17"/>
                <w:lang w:eastAsia="es-ES"/>
              </w:rPr>
              <w:t>licitadores</w:t>
            </w:r>
          </w:p>
        </w:tc>
        <w:tc>
          <w:tcPr>
            <w:tcW w:w="993"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459ADC61" w14:textId="77777777" w:rsidR="00807992" w:rsidRDefault="00807992" w:rsidP="00317422">
            <w:pPr>
              <w:spacing w:after="0"/>
              <w:ind w:firstLine="0"/>
              <w:jc w:val="right"/>
              <w:rPr>
                <w:rFonts w:ascii="Arial" w:hAnsi="Arial" w:cs="Arial"/>
                <w:color w:val="000000"/>
                <w:sz w:val="17"/>
                <w:szCs w:val="17"/>
                <w:lang w:eastAsia="es-ES"/>
              </w:rPr>
            </w:pPr>
            <w:r w:rsidRPr="00667DFF">
              <w:rPr>
                <w:rFonts w:ascii="Arial" w:hAnsi="Arial" w:cs="Arial"/>
                <w:color w:val="000000"/>
                <w:sz w:val="17"/>
                <w:szCs w:val="17"/>
                <w:lang w:eastAsia="es-ES"/>
              </w:rPr>
              <w:t>Importe</w:t>
            </w:r>
          </w:p>
          <w:p w14:paraId="61053FF1" w14:textId="77777777" w:rsidR="00807992" w:rsidRPr="00667DFF" w:rsidRDefault="000023DA" w:rsidP="00317422">
            <w:pPr>
              <w:spacing w:after="0"/>
              <w:ind w:firstLine="0"/>
              <w:jc w:val="right"/>
              <w:rPr>
                <w:rFonts w:ascii="Arial" w:hAnsi="Arial" w:cs="Arial"/>
                <w:color w:val="000000"/>
                <w:sz w:val="17"/>
                <w:szCs w:val="17"/>
                <w:lang w:val="es-ES" w:eastAsia="es-ES"/>
              </w:rPr>
            </w:pPr>
            <w:r w:rsidRPr="00667DFF">
              <w:rPr>
                <w:rFonts w:ascii="Arial" w:hAnsi="Arial" w:cs="Arial"/>
                <w:color w:val="000000"/>
                <w:sz w:val="17"/>
                <w:szCs w:val="17"/>
                <w:lang w:eastAsia="es-ES"/>
              </w:rPr>
              <w:t>L</w:t>
            </w:r>
            <w:r w:rsidR="00807992" w:rsidRPr="00667DFF">
              <w:rPr>
                <w:rFonts w:ascii="Arial" w:hAnsi="Arial" w:cs="Arial"/>
                <w:color w:val="000000"/>
                <w:sz w:val="17"/>
                <w:szCs w:val="17"/>
                <w:lang w:eastAsia="es-ES"/>
              </w:rPr>
              <w:t>icitación</w:t>
            </w:r>
            <w:r>
              <w:rPr>
                <w:rFonts w:ascii="Arial" w:hAnsi="Arial" w:cs="Arial"/>
                <w:color w:val="000000"/>
                <w:sz w:val="17"/>
                <w:szCs w:val="17"/>
                <w:lang w:eastAsia="es-ES"/>
              </w:rPr>
              <w:t>*</w:t>
            </w:r>
          </w:p>
        </w:tc>
        <w:tc>
          <w:tcPr>
            <w:tcW w:w="1559"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2172DE10" w14:textId="77777777" w:rsidR="00807992" w:rsidRDefault="00807992" w:rsidP="00317422">
            <w:pPr>
              <w:spacing w:after="0"/>
              <w:ind w:firstLine="0"/>
              <w:jc w:val="right"/>
              <w:rPr>
                <w:rFonts w:ascii="Arial" w:hAnsi="Arial" w:cs="Arial"/>
                <w:color w:val="000000"/>
                <w:sz w:val="17"/>
                <w:szCs w:val="17"/>
                <w:lang w:eastAsia="es-ES"/>
              </w:rPr>
            </w:pPr>
            <w:r w:rsidRPr="00667DFF">
              <w:rPr>
                <w:rFonts w:ascii="Arial" w:hAnsi="Arial" w:cs="Arial"/>
                <w:color w:val="000000"/>
                <w:sz w:val="17"/>
                <w:szCs w:val="17"/>
                <w:lang w:eastAsia="es-ES"/>
              </w:rPr>
              <w:t>Precio</w:t>
            </w:r>
          </w:p>
          <w:p w14:paraId="4EBDD9AA" w14:textId="77777777" w:rsidR="00807992" w:rsidRPr="00667DFF" w:rsidRDefault="00807992" w:rsidP="00317422">
            <w:pPr>
              <w:spacing w:after="0"/>
              <w:ind w:firstLine="0"/>
              <w:jc w:val="right"/>
              <w:rPr>
                <w:rFonts w:ascii="Arial" w:hAnsi="Arial" w:cs="Arial"/>
                <w:color w:val="000000"/>
                <w:sz w:val="17"/>
                <w:szCs w:val="17"/>
                <w:lang w:val="es-ES" w:eastAsia="es-ES"/>
              </w:rPr>
            </w:pPr>
            <w:r w:rsidRPr="00667DFF">
              <w:rPr>
                <w:rFonts w:ascii="Arial" w:hAnsi="Arial" w:cs="Arial"/>
                <w:color w:val="000000"/>
                <w:sz w:val="17"/>
                <w:szCs w:val="17"/>
                <w:lang w:eastAsia="es-ES"/>
              </w:rPr>
              <w:t xml:space="preserve"> Adjudicación</w:t>
            </w:r>
            <w:r w:rsidR="000023DA">
              <w:rPr>
                <w:rFonts w:ascii="Arial" w:hAnsi="Arial" w:cs="Arial"/>
                <w:color w:val="000000"/>
                <w:sz w:val="17"/>
                <w:szCs w:val="17"/>
                <w:lang w:eastAsia="es-ES"/>
              </w:rPr>
              <w:t>*</w:t>
            </w:r>
            <w:r>
              <w:rPr>
                <w:rFonts w:ascii="Arial" w:hAnsi="Arial" w:cs="Arial"/>
                <w:color w:val="000000"/>
                <w:sz w:val="17"/>
                <w:szCs w:val="17"/>
                <w:lang w:eastAsia="es-ES"/>
              </w:rPr>
              <w:t>*</w:t>
            </w:r>
          </w:p>
        </w:tc>
        <w:tc>
          <w:tcPr>
            <w:tcW w:w="567" w:type="dxa"/>
            <w:tcBorders>
              <w:top w:val="single" w:sz="4" w:space="0" w:color="auto"/>
              <w:left w:val="single" w:sz="4" w:space="0" w:color="auto"/>
              <w:bottom w:val="single" w:sz="4" w:space="0" w:color="auto"/>
              <w:right w:val="nil"/>
            </w:tcBorders>
            <w:shd w:val="clear" w:color="000000" w:fill="F4B084"/>
            <w:vAlign w:val="center"/>
            <w:hideMark/>
          </w:tcPr>
          <w:p w14:paraId="64541E08" w14:textId="77777777" w:rsidR="000023DA" w:rsidRDefault="000023DA" w:rsidP="00317422">
            <w:pPr>
              <w:spacing w:after="0"/>
              <w:ind w:firstLine="0"/>
              <w:jc w:val="right"/>
              <w:rPr>
                <w:rFonts w:ascii="Arial" w:hAnsi="Arial" w:cs="Arial"/>
                <w:color w:val="000000"/>
                <w:sz w:val="17"/>
                <w:szCs w:val="17"/>
                <w:lang w:val="es-ES" w:eastAsia="es-ES"/>
              </w:rPr>
            </w:pPr>
            <w:r>
              <w:rPr>
                <w:rFonts w:ascii="Arial" w:hAnsi="Arial" w:cs="Arial"/>
                <w:color w:val="000000"/>
                <w:sz w:val="17"/>
                <w:szCs w:val="17"/>
                <w:lang w:val="es-ES" w:eastAsia="es-ES"/>
              </w:rPr>
              <w:t>%</w:t>
            </w:r>
          </w:p>
          <w:p w14:paraId="0A10F97E" w14:textId="77777777" w:rsidR="00807992" w:rsidRPr="00667DFF" w:rsidRDefault="00807992" w:rsidP="00317422">
            <w:pPr>
              <w:spacing w:after="0"/>
              <w:ind w:firstLine="0"/>
              <w:jc w:val="right"/>
              <w:rPr>
                <w:rFonts w:ascii="Arial" w:hAnsi="Arial" w:cs="Arial"/>
                <w:color w:val="000000"/>
                <w:sz w:val="17"/>
                <w:szCs w:val="17"/>
                <w:lang w:val="es-ES" w:eastAsia="es-ES"/>
              </w:rPr>
            </w:pPr>
            <w:r w:rsidRPr="00667DFF">
              <w:rPr>
                <w:rFonts w:ascii="Arial" w:hAnsi="Arial" w:cs="Arial"/>
                <w:color w:val="000000"/>
                <w:sz w:val="17"/>
                <w:szCs w:val="17"/>
                <w:lang w:val="es-ES" w:eastAsia="es-ES"/>
              </w:rPr>
              <w:t>Baja</w:t>
            </w:r>
          </w:p>
        </w:tc>
      </w:tr>
      <w:tr w:rsidR="00807992" w:rsidRPr="00667DFF" w14:paraId="4EE21519" w14:textId="77777777" w:rsidTr="00EE2FA3">
        <w:trPr>
          <w:trHeight w:val="540"/>
        </w:trPr>
        <w:tc>
          <w:tcPr>
            <w:tcW w:w="3180" w:type="dxa"/>
            <w:tcBorders>
              <w:top w:val="single" w:sz="4" w:space="0" w:color="auto"/>
              <w:left w:val="nil"/>
              <w:bottom w:val="single" w:sz="2" w:space="0" w:color="auto"/>
              <w:right w:val="nil"/>
            </w:tcBorders>
            <w:shd w:val="clear" w:color="auto" w:fill="auto"/>
            <w:vAlign w:val="center"/>
          </w:tcPr>
          <w:p w14:paraId="5C9C61FF"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 xml:space="preserve">Contrato servicios centro </w:t>
            </w:r>
            <w:proofErr w:type="spellStart"/>
            <w:r>
              <w:rPr>
                <w:rFonts w:ascii="Arial Narrow" w:hAnsi="Arial Narrow" w:cs="Calibri"/>
                <w:color w:val="000000"/>
                <w:sz w:val="18"/>
                <w:szCs w:val="18"/>
                <w:lang w:val="es-ES" w:eastAsia="es-ES"/>
              </w:rPr>
              <w:t>Harrotu</w:t>
            </w:r>
            <w:proofErr w:type="spellEnd"/>
          </w:p>
        </w:tc>
        <w:tc>
          <w:tcPr>
            <w:tcW w:w="1640" w:type="dxa"/>
            <w:tcBorders>
              <w:top w:val="single" w:sz="4" w:space="0" w:color="auto"/>
              <w:left w:val="nil"/>
              <w:bottom w:val="single" w:sz="2" w:space="0" w:color="auto"/>
              <w:right w:val="single" w:sz="4" w:space="0" w:color="auto"/>
            </w:tcBorders>
            <w:shd w:val="clear" w:color="auto" w:fill="auto"/>
            <w:vAlign w:val="center"/>
          </w:tcPr>
          <w:p w14:paraId="76686394" w14:textId="77777777" w:rsidR="00807992"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 xml:space="preserve">Abierto con </w:t>
            </w:r>
          </w:p>
          <w:p w14:paraId="1DC10CD8"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publicidad europea</w:t>
            </w:r>
          </w:p>
        </w:tc>
        <w:tc>
          <w:tcPr>
            <w:tcW w:w="1134" w:type="dxa"/>
            <w:tcBorders>
              <w:top w:val="single" w:sz="4" w:space="0" w:color="auto"/>
              <w:left w:val="single" w:sz="4" w:space="0" w:color="auto"/>
              <w:bottom w:val="single" w:sz="2" w:space="0" w:color="auto"/>
              <w:right w:val="single" w:sz="4" w:space="0" w:color="auto"/>
            </w:tcBorders>
            <w:shd w:val="clear" w:color="auto" w:fill="auto"/>
            <w:vAlign w:val="center"/>
          </w:tcPr>
          <w:p w14:paraId="1216797D"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w:t>
            </w: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14:paraId="033F5AAC"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159.233</w:t>
            </w:r>
          </w:p>
        </w:tc>
        <w:tc>
          <w:tcPr>
            <w:tcW w:w="1559" w:type="dxa"/>
            <w:tcBorders>
              <w:top w:val="single" w:sz="4" w:space="0" w:color="auto"/>
              <w:left w:val="single" w:sz="4" w:space="0" w:color="auto"/>
              <w:bottom w:val="single" w:sz="2" w:space="0" w:color="auto"/>
              <w:right w:val="single" w:sz="4" w:space="0" w:color="auto"/>
            </w:tcBorders>
            <w:shd w:val="clear" w:color="auto" w:fill="auto"/>
            <w:noWrap/>
            <w:vAlign w:val="center"/>
          </w:tcPr>
          <w:p w14:paraId="30863D0C"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159.233</w:t>
            </w:r>
          </w:p>
        </w:tc>
        <w:tc>
          <w:tcPr>
            <w:tcW w:w="567" w:type="dxa"/>
            <w:tcBorders>
              <w:top w:val="single" w:sz="4" w:space="0" w:color="auto"/>
              <w:left w:val="single" w:sz="4" w:space="0" w:color="auto"/>
              <w:bottom w:val="single" w:sz="2" w:space="0" w:color="auto"/>
              <w:right w:val="nil"/>
            </w:tcBorders>
            <w:shd w:val="clear" w:color="auto" w:fill="auto"/>
            <w:noWrap/>
            <w:vAlign w:val="center"/>
          </w:tcPr>
          <w:p w14:paraId="28E0B08F"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w:t>
            </w:r>
          </w:p>
        </w:tc>
      </w:tr>
      <w:tr w:rsidR="00807992" w:rsidRPr="00667DFF" w14:paraId="3498AE12" w14:textId="77777777" w:rsidTr="00EE2FA3">
        <w:trPr>
          <w:trHeight w:val="540"/>
        </w:trPr>
        <w:tc>
          <w:tcPr>
            <w:tcW w:w="3180" w:type="dxa"/>
            <w:tcBorders>
              <w:top w:val="single" w:sz="2" w:space="0" w:color="auto"/>
              <w:left w:val="nil"/>
              <w:bottom w:val="single" w:sz="2" w:space="0" w:color="auto"/>
              <w:right w:val="nil"/>
            </w:tcBorders>
            <w:shd w:val="clear" w:color="auto" w:fill="auto"/>
            <w:vAlign w:val="center"/>
          </w:tcPr>
          <w:p w14:paraId="52502DEF"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Consultoría para la elaboración de un estudio para la mejora de los complejos deportivos municipales de Aranzadi y San Jorge</w:t>
            </w:r>
          </w:p>
        </w:tc>
        <w:tc>
          <w:tcPr>
            <w:tcW w:w="1640" w:type="dxa"/>
            <w:tcBorders>
              <w:top w:val="single" w:sz="2" w:space="0" w:color="auto"/>
              <w:left w:val="nil"/>
              <w:bottom w:val="single" w:sz="2" w:space="0" w:color="auto"/>
              <w:right w:val="single" w:sz="4" w:space="0" w:color="auto"/>
            </w:tcBorders>
            <w:shd w:val="clear" w:color="auto" w:fill="auto"/>
            <w:vAlign w:val="center"/>
          </w:tcPr>
          <w:p w14:paraId="68FEF919" w14:textId="77777777" w:rsidR="00807992"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 xml:space="preserve">Abierto sin </w:t>
            </w:r>
          </w:p>
          <w:p w14:paraId="18A714AB"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publicidad europea</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14:paraId="5CD09CC4"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4</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14:paraId="4A1AF155"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66.500</w:t>
            </w:r>
          </w:p>
        </w:tc>
        <w:tc>
          <w:tcPr>
            <w:tcW w:w="155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06A91376"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60.500</w:t>
            </w:r>
          </w:p>
        </w:tc>
        <w:tc>
          <w:tcPr>
            <w:tcW w:w="567" w:type="dxa"/>
            <w:tcBorders>
              <w:top w:val="single" w:sz="2" w:space="0" w:color="auto"/>
              <w:left w:val="single" w:sz="4" w:space="0" w:color="auto"/>
              <w:bottom w:val="single" w:sz="2" w:space="0" w:color="auto"/>
              <w:right w:val="nil"/>
            </w:tcBorders>
            <w:shd w:val="clear" w:color="auto" w:fill="auto"/>
            <w:noWrap/>
            <w:vAlign w:val="center"/>
          </w:tcPr>
          <w:p w14:paraId="1F5C5795" w14:textId="77777777" w:rsidR="00807992" w:rsidRPr="00667DFF" w:rsidRDefault="00807992" w:rsidP="000023DA">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9</w:t>
            </w:r>
          </w:p>
        </w:tc>
      </w:tr>
      <w:tr w:rsidR="00807992" w:rsidRPr="00667DFF" w14:paraId="5F77F718" w14:textId="77777777" w:rsidTr="00EE2FA3">
        <w:trPr>
          <w:trHeight w:val="540"/>
        </w:trPr>
        <w:tc>
          <w:tcPr>
            <w:tcW w:w="3180" w:type="dxa"/>
            <w:tcBorders>
              <w:top w:val="single" w:sz="2" w:space="0" w:color="auto"/>
              <w:left w:val="nil"/>
              <w:bottom w:val="single" w:sz="2" w:space="0" w:color="auto"/>
              <w:right w:val="nil"/>
            </w:tcBorders>
            <w:shd w:val="clear" w:color="auto" w:fill="auto"/>
            <w:vAlign w:val="center"/>
          </w:tcPr>
          <w:p w14:paraId="605AB231"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sidRPr="00095FE4">
              <w:rPr>
                <w:rFonts w:ascii="Arial Narrow" w:hAnsi="Arial Narrow" w:cs="Arial"/>
              </w:rPr>
              <w:t>Acuerdo marco para la selección de empresa o profesional para la contratación de servicios auxiliares para eventos y actividades culturales en ciudadela y otros emplazamientos en el verano 2021</w:t>
            </w:r>
          </w:p>
        </w:tc>
        <w:tc>
          <w:tcPr>
            <w:tcW w:w="1640" w:type="dxa"/>
            <w:tcBorders>
              <w:top w:val="single" w:sz="2" w:space="0" w:color="auto"/>
              <w:left w:val="nil"/>
              <w:bottom w:val="single" w:sz="2" w:space="0" w:color="auto"/>
              <w:right w:val="single" w:sz="4" w:space="0" w:color="auto"/>
            </w:tcBorders>
            <w:shd w:val="clear" w:color="auto" w:fill="auto"/>
            <w:vAlign w:val="center"/>
          </w:tcPr>
          <w:p w14:paraId="1272F0D9" w14:textId="77777777" w:rsidR="00807992" w:rsidRPr="00667DFF" w:rsidRDefault="003D644A"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S</w:t>
            </w:r>
            <w:r w:rsidR="00807992">
              <w:rPr>
                <w:rFonts w:ascii="Arial Narrow" w:hAnsi="Arial Narrow" w:cs="Calibri"/>
                <w:color w:val="000000"/>
                <w:sz w:val="18"/>
                <w:szCs w:val="18"/>
                <w:lang w:val="es-ES" w:eastAsia="es-ES"/>
              </w:rPr>
              <w:t>implificado sin publicidad europea</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14:paraId="5E8E6FA6"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3</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14:paraId="195E23B3"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N/A</w:t>
            </w:r>
          </w:p>
        </w:tc>
        <w:tc>
          <w:tcPr>
            <w:tcW w:w="155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4B8C4F30" w14:textId="77777777" w:rsidR="00807992" w:rsidRPr="00667DFF" w:rsidRDefault="00807992" w:rsidP="003D644A">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16-23,20</w:t>
            </w:r>
          </w:p>
        </w:tc>
        <w:tc>
          <w:tcPr>
            <w:tcW w:w="567" w:type="dxa"/>
            <w:tcBorders>
              <w:top w:val="single" w:sz="2" w:space="0" w:color="auto"/>
              <w:left w:val="single" w:sz="4" w:space="0" w:color="auto"/>
              <w:bottom w:val="single" w:sz="2" w:space="0" w:color="auto"/>
              <w:right w:val="nil"/>
            </w:tcBorders>
            <w:shd w:val="clear" w:color="auto" w:fill="auto"/>
            <w:noWrap/>
            <w:vAlign w:val="center"/>
          </w:tcPr>
          <w:p w14:paraId="60C6B103" w14:textId="77777777" w:rsidR="00807992"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Baja</w:t>
            </w:r>
          </w:p>
          <w:p w14:paraId="4181B25B" w14:textId="77777777" w:rsidR="00807992"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Media</w:t>
            </w:r>
          </w:p>
          <w:p w14:paraId="27A426F9" w14:textId="77777777" w:rsidR="00807992" w:rsidRPr="00667DFF" w:rsidRDefault="000023DA" w:rsidP="000023DA">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 xml:space="preserve"> 20</w:t>
            </w:r>
          </w:p>
        </w:tc>
      </w:tr>
      <w:tr w:rsidR="00807992" w:rsidRPr="00667DFF" w14:paraId="43B29AC3" w14:textId="77777777" w:rsidTr="00EE2FA3">
        <w:trPr>
          <w:trHeight w:val="540"/>
        </w:trPr>
        <w:tc>
          <w:tcPr>
            <w:tcW w:w="3180" w:type="dxa"/>
            <w:tcBorders>
              <w:top w:val="single" w:sz="2" w:space="0" w:color="auto"/>
              <w:left w:val="nil"/>
              <w:bottom w:val="single" w:sz="2" w:space="0" w:color="auto"/>
              <w:right w:val="nil"/>
            </w:tcBorders>
            <w:shd w:val="clear" w:color="auto" w:fill="auto"/>
            <w:vAlign w:val="center"/>
          </w:tcPr>
          <w:p w14:paraId="184F4F5A" w14:textId="77777777" w:rsidR="00807992" w:rsidRPr="00095FE4" w:rsidRDefault="00807992" w:rsidP="00807992">
            <w:pPr>
              <w:ind w:firstLine="0"/>
              <w:rPr>
                <w:rFonts w:ascii="Arial Narrow" w:hAnsi="Arial Narrow" w:cs="Arial"/>
              </w:rPr>
            </w:pPr>
            <w:r>
              <w:rPr>
                <w:rFonts w:ascii="Arial Narrow" w:hAnsi="Arial Narrow" w:cs="Arial"/>
              </w:rPr>
              <w:t>G</w:t>
            </w:r>
            <w:r w:rsidRPr="00095FE4">
              <w:rPr>
                <w:rFonts w:ascii="Arial Narrow" w:hAnsi="Arial Narrow" w:cs="Arial"/>
              </w:rPr>
              <w:t>estión de los cursos municipales de gimnasia aeróbica moderna dentro del programa municipal de deporte terapéutico &lt;</w:t>
            </w:r>
            <w:proofErr w:type="spellStart"/>
            <w:r w:rsidRPr="00095FE4">
              <w:rPr>
                <w:rFonts w:ascii="Arial Narrow" w:hAnsi="Arial Narrow" w:cs="Arial"/>
              </w:rPr>
              <w:t>citius</w:t>
            </w:r>
            <w:proofErr w:type="spellEnd"/>
            <w:r w:rsidRPr="00095FE4">
              <w:rPr>
                <w:rFonts w:ascii="Arial Narrow" w:hAnsi="Arial Narrow" w:cs="Arial"/>
              </w:rPr>
              <w:t xml:space="preserve">, </w:t>
            </w:r>
            <w:proofErr w:type="spellStart"/>
            <w:r w:rsidRPr="00095FE4">
              <w:rPr>
                <w:rFonts w:ascii="Arial Narrow" w:hAnsi="Arial Narrow" w:cs="Arial"/>
              </w:rPr>
              <w:t>longaevus</w:t>
            </w:r>
            <w:proofErr w:type="spellEnd"/>
            <w:r w:rsidRPr="00095FE4">
              <w:rPr>
                <w:rFonts w:ascii="Arial Narrow" w:hAnsi="Arial Narrow" w:cs="Arial"/>
              </w:rPr>
              <w:t xml:space="preserve">, </w:t>
            </w:r>
            <w:proofErr w:type="spellStart"/>
            <w:r w:rsidRPr="00095FE4">
              <w:rPr>
                <w:rFonts w:ascii="Arial Narrow" w:hAnsi="Arial Narrow" w:cs="Arial"/>
              </w:rPr>
              <w:t>fortius</w:t>
            </w:r>
            <w:proofErr w:type="spellEnd"/>
            <w:r w:rsidRPr="00095FE4">
              <w:rPr>
                <w:rFonts w:ascii="Arial Narrow" w:hAnsi="Arial Narrow" w:cs="Arial"/>
              </w:rPr>
              <w:t>&gt;</w:t>
            </w:r>
          </w:p>
        </w:tc>
        <w:tc>
          <w:tcPr>
            <w:tcW w:w="1640" w:type="dxa"/>
            <w:tcBorders>
              <w:top w:val="single" w:sz="2" w:space="0" w:color="auto"/>
              <w:left w:val="nil"/>
              <w:bottom w:val="single" w:sz="2" w:space="0" w:color="auto"/>
              <w:right w:val="single" w:sz="4" w:space="0" w:color="auto"/>
            </w:tcBorders>
            <w:shd w:val="clear" w:color="auto" w:fill="auto"/>
            <w:vAlign w:val="center"/>
          </w:tcPr>
          <w:p w14:paraId="35A3FE4C"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Abierto con publicidad europea</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14:paraId="6F5F71D6"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2</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14:paraId="3B9F22D7"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155.684</w:t>
            </w:r>
          </w:p>
        </w:tc>
        <w:tc>
          <w:tcPr>
            <w:tcW w:w="1559" w:type="dxa"/>
            <w:tcBorders>
              <w:top w:val="single" w:sz="2" w:space="0" w:color="auto"/>
              <w:left w:val="single" w:sz="4" w:space="0" w:color="auto"/>
              <w:bottom w:val="single" w:sz="2" w:space="0" w:color="auto"/>
              <w:right w:val="single" w:sz="4" w:space="0" w:color="auto"/>
            </w:tcBorders>
            <w:shd w:val="clear" w:color="auto" w:fill="auto"/>
            <w:noWrap/>
            <w:vAlign w:val="center"/>
          </w:tcPr>
          <w:p w14:paraId="630874EF"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41,5</w:t>
            </w:r>
          </w:p>
        </w:tc>
        <w:tc>
          <w:tcPr>
            <w:tcW w:w="567" w:type="dxa"/>
            <w:tcBorders>
              <w:top w:val="single" w:sz="2" w:space="0" w:color="auto"/>
              <w:left w:val="single" w:sz="4" w:space="0" w:color="auto"/>
              <w:bottom w:val="single" w:sz="2" w:space="0" w:color="auto"/>
              <w:right w:val="nil"/>
            </w:tcBorders>
            <w:shd w:val="clear" w:color="auto" w:fill="auto"/>
            <w:noWrap/>
            <w:vAlign w:val="center"/>
          </w:tcPr>
          <w:p w14:paraId="567AE511" w14:textId="77777777" w:rsidR="00807992" w:rsidRPr="00667DFF" w:rsidRDefault="00807992" w:rsidP="000023DA">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20</w:t>
            </w:r>
          </w:p>
        </w:tc>
      </w:tr>
      <w:tr w:rsidR="00807992" w:rsidRPr="00667DFF" w14:paraId="4186FCC8" w14:textId="77777777" w:rsidTr="00317422">
        <w:trPr>
          <w:trHeight w:val="540"/>
        </w:trPr>
        <w:tc>
          <w:tcPr>
            <w:tcW w:w="3180" w:type="dxa"/>
            <w:tcBorders>
              <w:top w:val="single" w:sz="2" w:space="0" w:color="auto"/>
              <w:left w:val="nil"/>
              <w:bottom w:val="single" w:sz="4" w:space="0" w:color="auto"/>
              <w:right w:val="nil"/>
            </w:tcBorders>
            <w:shd w:val="clear" w:color="auto" w:fill="auto"/>
            <w:vAlign w:val="center"/>
          </w:tcPr>
          <w:p w14:paraId="35E7FFA9" w14:textId="77777777" w:rsidR="00807992" w:rsidRPr="00095FE4" w:rsidRDefault="00807992" w:rsidP="00807992">
            <w:pPr>
              <w:ind w:firstLine="0"/>
              <w:rPr>
                <w:rFonts w:ascii="Arial Narrow" w:hAnsi="Arial Narrow" w:cs="Arial"/>
              </w:rPr>
            </w:pPr>
            <w:r>
              <w:rPr>
                <w:rFonts w:ascii="Arial Narrow" w:hAnsi="Arial Narrow" w:cs="Arial"/>
              </w:rPr>
              <w:t>O</w:t>
            </w:r>
            <w:r w:rsidRPr="00095FE4">
              <w:rPr>
                <w:rFonts w:ascii="Arial Narrow" w:hAnsi="Arial Narrow" w:cs="Arial"/>
              </w:rPr>
              <w:t>rganización y desarrollo de campamentos urbanos 2021</w:t>
            </w:r>
          </w:p>
        </w:tc>
        <w:tc>
          <w:tcPr>
            <w:tcW w:w="1640" w:type="dxa"/>
            <w:tcBorders>
              <w:top w:val="single" w:sz="2" w:space="0" w:color="auto"/>
              <w:left w:val="nil"/>
              <w:bottom w:val="single" w:sz="4" w:space="0" w:color="auto"/>
              <w:right w:val="single" w:sz="4" w:space="0" w:color="auto"/>
            </w:tcBorders>
            <w:shd w:val="clear" w:color="auto" w:fill="auto"/>
            <w:vAlign w:val="center"/>
          </w:tcPr>
          <w:p w14:paraId="2047C18D"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Abierto sin publicidad europea</w:t>
            </w:r>
          </w:p>
        </w:tc>
        <w:tc>
          <w:tcPr>
            <w:tcW w:w="1134" w:type="dxa"/>
            <w:tcBorders>
              <w:top w:val="single" w:sz="2" w:space="0" w:color="auto"/>
              <w:left w:val="single" w:sz="4" w:space="0" w:color="auto"/>
              <w:bottom w:val="single" w:sz="4" w:space="0" w:color="auto"/>
              <w:right w:val="single" w:sz="4" w:space="0" w:color="auto"/>
            </w:tcBorders>
            <w:shd w:val="clear" w:color="auto" w:fill="auto"/>
            <w:vAlign w:val="center"/>
          </w:tcPr>
          <w:p w14:paraId="7BD8F8D0"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w:t>
            </w:r>
          </w:p>
        </w:tc>
        <w:tc>
          <w:tcPr>
            <w:tcW w:w="993" w:type="dxa"/>
            <w:tcBorders>
              <w:top w:val="single" w:sz="2" w:space="0" w:color="auto"/>
              <w:left w:val="single" w:sz="4" w:space="0" w:color="auto"/>
              <w:bottom w:val="single" w:sz="4" w:space="0" w:color="auto"/>
              <w:right w:val="single" w:sz="4" w:space="0" w:color="auto"/>
            </w:tcBorders>
            <w:shd w:val="clear" w:color="auto" w:fill="auto"/>
            <w:vAlign w:val="center"/>
          </w:tcPr>
          <w:p w14:paraId="4DCE456A"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129.360</w:t>
            </w:r>
          </w:p>
        </w:tc>
        <w:tc>
          <w:tcPr>
            <w:tcW w:w="1559" w:type="dxa"/>
            <w:tcBorders>
              <w:top w:val="single" w:sz="2" w:space="0" w:color="auto"/>
              <w:left w:val="single" w:sz="4" w:space="0" w:color="auto"/>
              <w:bottom w:val="single" w:sz="4" w:space="0" w:color="auto"/>
              <w:right w:val="single" w:sz="4" w:space="0" w:color="auto"/>
            </w:tcBorders>
            <w:shd w:val="clear" w:color="auto" w:fill="auto"/>
            <w:noWrap/>
            <w:vAlign w:val="center"/>
          </w:tcPr>
          <w:p w14:paraId="7D49C51A" w14:textId="77777777" w:rsidR="00807992" w:rsidRPr="00667DFF" w:rsidRDefault="00807992" w:rsidP="003D644A">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17,77-26,18</w:t>
            </w:r>
          </w:p>
        </w:tc>
        <w:tc>
          <w:tcPr>
            <w:tcW w:w="567" w:type="dxa"/>
            <w:tcBorders>
              <w:top w:val="single" w:sz="2" w:space="0" w:color="auto"/>
              <w:left w:val="single" w:sz="4" w:space="0" w:color="auto"/>
              <w:bottom w:val="single" w:sz="4" w:space="0" w:color="auto"/>
              <w:right w:val="nil"/>
            </w:tcBorders>
            <w:shd w:val="clear" w:color="auto" w:fill="auto"/>
            <w:noWrap/>
            <w:vAlign w:val="center"/>
          </w:tcPr>
          <w:p w14:paraId="121B6F3C" w14:textId="77777777" w:rsidR="00807992" w:rsidRPr="00667DFF" w:rsidRDefault="00807992" w:rsidP="000023DA">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 xml:space="preserve">Baja media </w:t>
            </w:r>
            <w:r w:rsidR="000023DA">
              <w:rPr>
                <w:rFonts w:ascii="Arial Narrow" w:hAnsi="Arial Narrow" w:cs="Calibri"/>
                <w:color w:val="000000"/>
                <w:sz w:val="18"/>
                <w:szCs w:val="18"/>
                <w:lang w:val="es-ES" w:eastAsia="es-ES"/>
              </w:rPr>
              <w:t>15</w:t>
            </w:r>
          </w:p>
        </w:tc>
      </w:tr>
      <w:tr w:rsidR="00807992" w:rsidRPr="00667DFF" w14:paraId="7522BC69" w14:textId="77777777" w:rsidTr="00317422">
        <w:trPr>
          <w:trHeight w:val="540"/>
        </w:trPr>
        <w:tc>
          <w:tcPr>
            <w:tcW w:w="3180" w:type="dxa"/>
            <w:tcBorders>
              <w:top w:val="single" w:sz="4" w:space="0" w:color="auto"/>
              <w:left w:val="nil"/>
              <w:bottom w:val="single" w:sz="4" w:space="0" w:color="auto"/>
              <w:right w:val="nil"/>
            </w:tcBorders>
            <w:shd w:val="clear" w:color="auto" w:fill="auto"/>
            <w:vAlign w:val="center"/>
          </w:tcPr>
          <w:p w14:paraId="729C5008" w14:textId="77777777" w:rsidR="00807992" w:rsidRPr="00095FE4" w:rsidRDefault="00807992" w:rsidP="00807992">
            <w:pPr>
              <w:ind w:firstLine="0"/>
              <w:rPr>
                <w:rFonts w:ascii="Arial Narrow" w:hAnsi="Arial Narrow" w:cs="Arial"/>
              </w:rPr>
            </w:pPr>
            <w:r w:rsidRPr="00095FE4">
              <w:rPr>
                <w:rFonts w:ascii="Arial Narrow" w:hAnsi="Arial Narrow" w:cs="Arial"/>
              </w:rPr>
              <w:t>Contratación del servicio de notificaciones de actos, resoluciones y acuerdos municipales adoptados por los diferentes órganos del ayuntamiento de pamplona</w:t>
            </w:r>
          </w:p>
        </w:tc>
        <w:tc>
          <w:tcPr>
            <w:tcW w:w="1640" w:type="dxa"/>
            <w:tcBorders>
              <w:top w:val="single" w:sz="4" w:space="0" w:color="auto"/>
              <w:left w:val="nil"/>
              <w:bottom w:val="single" w:sz="4" w:space="0" w:color="auto"/>
              <w:right w:val="single" w:sz="4" w:space="0" w:color="auto"/>
            </w:tcBorders>
            <w:shd w:val="clear" w:color="auto" w:fill="auto"/>
            <w:vAlign w:val="center"/>
          </w:tcPr>
          <w:p w14:paraId="71B738C4"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Abierto sin publicidad europea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09ACC5" w14:textId="77777777" w:rsidR="00807992" w:rsidRPr="00667DFF" w:rsidRDefault="00807992"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35B4E5"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173.030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978EE" w14:textId="77777777" w:rsidR="00807992" w:rsidRPr="00667DFF" w:rsidRDefault="00807992" w:rsidP="003D644A">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3,9-4,9</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350FDBB" w14:textId="77777777" w:rsidR="00807992" w:rsidRPr="00667DFF" w:rsidRDefault="000023DA" w:rsidP="00807992">
            <w:pPr>
              <w:spacing w:after="0"/>
              <w:ind w:firstLine="0"/>
              <w:jc w:val="center"/>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w:t>
            </w:r>
          </w:p>
        </w:tc>
      </w:tr>
    </w:tbl>
    <w:p w14:paraId="50A2F1F1" w14:textId="77777777" w:rsidR="000023DA" w:rsidRDefault="00807992" w:rsidP="00EE2FA3">
      <w:pPr>
        <w:tabs>
          <w:tab w:val="num" w:pos="360"/>
          <w:tab w:val="num" w:pos="600"/>
        </w:tabs>
        <w:spacing w:before="120" w:after="100"/>
        <w:ind w:left="-426" w:firstLine="142"/>
        <w:jc w:val="left"/>
        <w:rPr>
          <w:rFonts w:ascii="Arial Narrow" w:hAnsi="Arial Narrow"/>
          <w:sz w:val="16"/>
          <w:szCs w:val="16"/>
          <w:lang w:val="es-ES" w:eastAsia="es-ES"/>
        </w:rPr>
      </w:pPr>
      <w:r>
        <w:rPr>
          <w:rFonts w:ascii="Arial Narrow" w:hAnsi="Arial Narrow"/>
          <w:sz w:val="16"/>
          <w:szCs w:val="16"/>
          <w:lang w:val="es-ES" w:eastAsia="es-ES"/>
        </w:rPr>
        <w:t>*</w:t>
      </w:r>
      <w:r w:rsidR="000023DA">
        <w:rPr>
          <w:rFonts w:ascii="Arial Narrow" w:hAnsi="Arial Narrow"/>
          <w:sz w:val="16"/>
          <w:szCs w:val="16"/>
          <w:lang w:val="es-ES" w:eastAsia="es-ES"/>
        </w:rPr>
        <w:t>El importe de licitación y el precio de adjudicación son importes IVA incluido</w:t>
      </w:r>
    </w:p>
    <w:p w14:paraId="162896AD" w14:textId="77777777" w:rsidR="00807992" w:rsidRPr="007A1252" w:rsidRDefault="000023DA" w:rsidP="00EE2FA3">
      <w:pPr>
        <w:tabs>
          <w:tab w:val="num" w:pos="360"/>
          <w:tab w:val="num" w:pos="600"/>
        </w:tabs>
        <w:spacing w:after="100"/>
        <w:ind w:left="-284" w:firstLine="0"/>
        <w:jc w:val="left"/>
        <w:rPr>
          <w:rFonts w:ascii="Arial Narrow" w:hAnsi="Arial Narrow"/>
          <w:sz w:val="16"/>
          <w:szCs w:val="16"/>
          <w:lang w:val="es-ES" w:eastAsia="es-ES"/>
        </w:rPr>
      </w:pPr>
      <w:r>
        <w:rPr>
          <w:rFonts w:ascii="Arial Narrow" w:hAnsi="Arial Narrow"/>
          <w:sz w:val="16"/>
          <w:szCs w:val="16"/>
          <w:lang w:val="es-ES" w:eastAsia="es-ES"/>
        </w:rPr>
        <w:t>**</w:t>
      </w:r>
      <w:r w:rsidR="00807992">
        <w:rPr>
          <w:rFonts w:ascii="Arial Narrow" w:hAnsi="Arial Narrow"/>
          <w:sz w:val="16"/>
          <w:szCs w:val="16"/>
          <w:lang w:val="es-ES" w:eastAsia="es-ES"/>
        </w:rPr>
        <w:t>A excepción de los d</w:t>
      </w:r>
      <w:r>
        <w:rPr>
          <w:rFonts w:ascii="Arial Narrow" w:hAnsi="Arial Narrow"/>
          <w:sz w:val="16"/>
          <w:szCs w:val="16"/>
          <w:lang w:val="es-ES" w:eastAsia="es-ES"/>
        </w:rPr>
        <w:t xml:space="preserve">os primeros contratos, </w:t>
      </w:r>
      <w:r w:rsidR="00807992">
        <w:rPr>
          <w:rFonts w:ascii="Arial Narrow" w:hAnsi="Arial Narrow"/>
          <w:sz w:val="16"/>
          <w:szCs w:val="16"/>
          <w:lang w:val="es-ES" w:eastAsia="es-ES"/>
        </w:rPr>
        <w:t xml:space="preserve">el precio de adjudicación se corresponde con precios </w:t>
      </w:r>
      <w:r>
        <w:rPr>
          <w:rFonts w:ascii="Arial Narrow" w:hAnsi="Arial Narrow"/>
          <w:sz w:val="16"/>
          <w:szCs w:val="16"/>
          <w:lang w:val="es-ES" w:eastAsia="es-ES"/>
        </w:rPr>
        <w:t xml:space="preserve">hora de los servicios licitados, salvo en el último en el que el precio se refiere al precio de la cada notificación. </w:t>
      </w:r>
    </w:p>
    <w:p w14:paraId="2E292272" w14:textId="77777777" w:rsidR="00807992" w:rsidRDefault="00807992" w:rsidP="00807992">
      <w:pPr>
        <w:tabs>
          <w:tab w:val="num" w:pos="360"/>
          <w:tab w:val="num" w:pos="600"/>
        </w:tabs>
        <w:spacing w:after="100"/>
        <w:ind w:firstLine="0"/>
        <w:jc w:val="left"/>
        <w:rPr>
          <w:rFonts w:ascii="Arial Narrow" w:hAnsi="Arial Narrow"/>
          <w:sz w:val="16"/>
          <w:szCs w:val="16"/>
          <w:lang w:val="es-ES" w:eastAsia="es-ES"/>
        </w:rPr>
      </w:pPr>
    </w:p>
    <w:p w14:paraId="7B1B40B5" w14:textId="77777777" w:rsidR="00DE3CAC" w:rsidRDefault="00DE3CAC">
      <w:pPr>
        <w:spacing w:after="0"/>
        <w:ind w:firstLine="0"/>
        <w:jc w:val="left"/>
        <w:rPr>
          <w:spacing w:val="6"/>
          <w:sz w:val="26"/>
          <w:szCs w:val="24"/>
        </w:rPr>
      </w:pPr>
      <w:r>
        <w:rPr>
          <w:spacing w:val="6"/>
          <w:sz w:val="26"/>
          <w:szCs w:val="24"/>
        </w:rPr>
        <w:br w:type="page"/>
      </w:r>
    </w:p>
    <w:p w14:paraId="5F8E6307" w14:textId="77777777" w:rsidR="00807992" w:rsidRPr="00667DFF" w:rsidRDefault="00807992" w:rsidP="00807992">
      <w:pPr>
        <w:ind w:firstLine="284"/>
        <w:rPr>
          <w:spacing w:val="6"/>
          <w:sz w:val="26"/>
          <w:szCs w:val="24"/>
        </w:rPr>
      </w:pPr>
      <w:r w:rsidRPr="00667DFF">
        <w:rPr>
          <w:spacing w:val="6"/>
          <w:sz w:val="26"/>
          <w:szCs w:val="24"/>
        </w:rPr>
        <w:lastRenderedPageBreak/>
        <w:t xml:space="preserve">En general, la licitación de los contratos y su adjudicación, así como su ejecución, se ha tramitado conforme a la legislación contractual y los gastos están aprobados, intervenidos, justificados y correctamente contabilizados, y pagados, </w:t>
      </w:r>
      <w:r w:rsidRPr="00667DFF">
        <w:rPr>
          <w:rFonts w:cs="Arial"/>
          <w:spacing w:val="6"/>
          <w:sz w:val="26"/>
          <w:szCs w:val="24"/>
        </w:rPr>
        <w:t xml:space="preserve">si bien </w:t>
      </w:r>
      <w:r w:rsidRPr="00667DFF">
        <w:rPr>
          <w:spacing w:val="6"/>
          <w:sz w:val="26"/>
          <w:szCs w:val="24"/>
        </w:rPr>
        <w:t>señalamos las siguientes incidencias:</w:t>
      </w:r>
    </w:p>
    <w:p w14:paraId="7479E65F" w14:textId="77777777" w:rsidR="00807992" w:rsidRDefault="00807992" w:rsidP="00807992">
      <w:pPr>
        <w:numPr>
          <w:ilvl w:val="0"/>
          <w:numId w:val="10"/>
        </w:numPr>
        <w:tabs>
          <w:tab w:val="num" w:pos="284"/>
          <w:tab w:val="num" w:pos="600"/>
          <w:tab w:val="num" w:pos="720"/>
          <w:tab w:val="num" w:pos="1320"/>
        </w:tabs>
        <w:rPr>
          <w:rFonts w:cs="Arial"/>
          <w:spacing w:val="6"/>
          <w:sz w:val="26"/>
          <w:szCs w:val="24"/>
        </w:rPr>
      </w:pPr>
      <w:r w:rsidRPr="00136DC0">
        <w:rPr>
          <w:rFonts w:cs="Arial"/>
          <w:spacing w:val="6"/>
          <w:sz w:val="26"/>
          <w:szCs w:val="24"/>
        </w:rPr>
        <w:t xml:space="preserve"> </w:t>
      </w:r>
      <w:r>
        <w:rPr>
          <w:rFonts w:cs="Arial"/>
          <w:spacing w:val="6"/>
          <w:sz w:val="26"/>
          <w:szCs w:val="24"/>
        </w:rPr>
        <w:t xml:space="preserve">Con carácter general </w:t>
      </w:r>
      <w:r w:rsidR="00F3351E">
        <w:rPr>
          <w:rFonts w:cs="Arial"/>
          <w:spacing w:val="6"/>
          <w:sz w:val="26"/>
          <w:szCs w:val="24"/>
        </w:rPr>
        <w:t xml:space="preserve">la </w:t>
      </w:r>
      <w:r>
        <w:rPr>
          <w:rFonts w:cs="Arial"/>
          <w:spacing w:val="6"/>
          <w:sz w:val="26"/>
          <w:szCs w:val="24"/>
        </w:rPr>
        <w:t>public</w:t>
      </w:r>
      <w:r w:rsidR="000023DA">
        <w:rPr>
          <w:rFonts w:cs="Arial"/>
          <w:spacing w:val="6"/>
          <w:sz w:val="26"/>
          <w:szCs w:val="24"/>
        </w:rPr>
        <w:t>ación de la adjudicación en el portal de c</w:t>
      </w:r>
      <w:r>
        <w:rPr>
          <w:rFonts w:cs="Arial"/>
          <w:spacing w:val="6"/>
          <w:sz w:val="26"/>
          <w:szCs w:val="24"/>
        </w:rPr>
        <w:t>ontratación se realiza con posterioridad a los plazos máximos previstos en el marco contractual. En el contrato de gestión de los cursos municipales de gimnasia no consta la publicació</w:t>
      </w:r>
      <w:r w:rsidR="000023DA">
        <w:rPr>
          <w:rFonts w:cs="Arial"/>
          <w:spacing w:val="6"/>
          <w:sz w:val="26"/>
          <w:szCs w:val="24"/>
        </w:rPr>
        <w:t xml:space="preserve">n de la adjudicación en el DOUE, ni tampoco la publicación de la adjudicación del acuerdo marco en el portal de contratación. </w:t>
      </w:r>
    </w:p>
    <w:p w14:paraId="0387BAC2" w14:textId="77777777" w:rsidR="00807992" w:rsidRPr="00952D3D" w:rsidRDefault="00807992" w:rsidP="00807992">
      <w:pPr>
        <w:numPr>
          <w:ilvl w:val="0"/>
          <w:numId w:val="10"/>
        </w:numPr>
        <w:tabs>
          <w:tab w:val="num" w:pos="284"/>
          <w:tab w:val="num" w:pos="600"/>
          <w:tab w:val="num" w:pos="720"/>
          <w:tab w:val="num" w:pos="1320"/>
        </w:tabs>
        <w:rPr>
          <w:rFonts w:cs="Arial"/>
          <w:spacing w:val="6"/>
          <w:sz w:val="26"/>
          <w:szCs w:val="24"/>
        </w:rPr>
      </w:pPr>
      <w:r>
        <w:rPr>
          <w:rFonts w:cs="Arial"/>
          <w:spacing w:val="6"/>
          <w:sz w:val="26"/>
          <w:szCs w:val="24"/>
        </w:rPr>
        <w:t>Con carácter general no se justifica la no divisió</w:t>
      </w:r>
      <w:r w:rsidR="000023DA">
        <w:rPr>
          <w:rFonts w:cs="Arial"/>
          <w:spacing w:val="6"/>
          <w:sz w:val="26"/>
          <w:szCs w:val="24"/>
        </w:rPr>
        <w:t xml:space="preserve">n en lotes, ni la no reserva de contratos a entidades de carácter social. </w:t>
      </w:r>
    </w:p>
    <w:p w14:paraId="09145BDA" w14:textId="77777777" w:rsidR="00807992" w:rsidRDefault="00807992" w:rsidP="00807992">
      <w:pPr>
        <w:numPr>
          <w:ilvl w:val="0"/>
          <w:numId w:val="10"/>
        </w:numPr>
        <w:tabs>
          <w:tab w:val="num" w:pos="284"/>
          <w:tab w:val="num" w:pos="600"/>
          <w:tab w:val="num" w:pos="720"/>
          <w:tab w:val="num" w:pos="1320"/>
        </w:tabs>
        <w:rPr>
          <w:rFonts w:cs="Arial"/>
          <w:spacing w:val="6"/>
          <w:sz w:val="26"/>
          <w:szCs w:val="24"/>
        </w:rPr>
      </w:pPr>
      <w:r w:rsidRPr="00136DC0">
        <w:rPr>
          <w:rFonts w:cs="Arial"/>
          <w:spacing w:val="6"/>
          <w:sz w:val="26"/>
          <w:szCs w:val="24"/>
        </w:rPr>
        <w:t xml:space="preserve">En </w:t>
      </w:r>
      <w:r>
        <w:rPr>
          <w:rFonts w:cs="Arial"/>
          <w:spacing w:val="6"/>
          <w:sz w:val="26"/>
          <w:szCs w:val="24"/>
        </w:rPr>
        <w:t xml:space="preserve">los </w:t>
      </w:r>
      <w:r w:rsidRPr="00136DC0">
        <w:rPr>
          <w:rFonts w:cs="Arial"/>
          <w:spacing w:val="6"/>
          <w:sz w:val="26"/>
          <w:szCs w:val="24"/>
        </w:rPr>
        <w:t>contrato</w:t>
      </w:r>
      <w:r>
        <w:rPr>
          <w:rFonts w:cs="Arial"/>
          <w:spacing w:val="6"/>
          <w:sz w:val="26"/>
          <w:szCs w:val="24"/>
        </w:rPr>
        <w:t>s</w:t>
      </w:r>
      <w:r w:rsidRPr="00136DC0">
        <w:rPr>
          <w:rFonts w:cs="Arial"/>
          <w:spacing w:val="6"/>
          <w:sz w:val="26"/>
          <w:szCs w:val="24"/>
        </w:rPr>
        <w:t xml:space="preserve"> de organización y desarrollo de los campamentos urbanos, </w:t>
      </w:r>
      <w:r>
        <w:rPr>
          <w:rFonts w:cs="Arial"/>
          <w:spacing w:val="6"/>
          <w:sz w:val="26"/>
          <w:szCs w:val="24"/>
        </w:rPr>
        <w:t xml:space="preserve">así como en el del servicio de notificaciones, </w:t>
      </w:r>
      <w:r w:rsidRPr="00136DC0">
        <w:rPr>
          <w:rFonts w:cs="Arial"/>
          <w:spacing w:val="6"/>
          <w:sz w:val="26"/>
          <w:szCs w:val="24"/>
        </w:rPr>
        <w:t xml:space="preserve">no se </w:t>
      </w:r>
      <w:r>
        <w:rPr>
          <w:rFonts w:cs="Arial"/>
          <w:spacing w:val="6"/>
          <w:sz w:val="26"/>
          <w:szCs w:val="24"/>
        </w:rPr>
        <w:t xml:space="preserve">ha establecido en los pliegos de cláusulas administrativas ninguna </w:t>
      </w:r>
      <w:r w:rsidRPr="00136DC0">
        <w:rPr>
          <w:rFonts w:cs="Arial"/>
          <w:spacing w:val="6"/>
          <w:sz w:val="26"/>
          <w:szCs w:val="24"/>
        </w:rPr>
        <w:t>condici</w:t>
      </w:r>
      <w:r>
        <w:rPr>
          <w:rFonts w:cs="Arial"/>
          <w:spacing w:val="6"/>
          <w:sz w:val="26"/>
          <w:szCs w:val="24"/>
        </w:rPr>
        <w:t>ón especial de ejecución</w:t>
      </w:r>
      <w:r w:rsidR="00B8428A">
        <w:rPr>
          <w:rFonts w:cs="Arial"/>
          <w:spacing w:val="6"/>
          <w:sz w:val="26"/>
          <w:szCs w:val="24"/>
        </w:rPr>
        <w:t>,</w:t>
      </w:r>
      <w:r>
        <w:rPr>
          <w:rFonts w:cs="Arial"/>
          <w:spacing w:val="6"/>
          <w:sz w:val="26"/>
          <w:szCs w:val="24"/>
        </w:rPr>
        <w:t xml:space="preserve"> sin que conste en el expediente los motiv</w:t>
      </w:r>
      <w:r w:rsidR="003D644A">
        <w:rPr>
          <w:rFonts w:cs="Arial"/>
          <w:spacing w:val="6"/>
          <w:sz w:val="26"/>
          <w:szCs w:val="24"/>
        </w:rPr>
        <w:t xml:space="preserve">os que justifiquen su ausencia. </w:t>
      </w:r>
    </w:p>
    <w:p w14:paraId="6D147696" w14:textId="77777777" w:rsidR="007B7C7B" w:rsidRDefault="007B7C7B" w:rsidP="00807992">
      <w:pPr>
        <w:numPr>
          <w:ilvl w:val="0"/>
          <w:numId w:val="10"/>
        </w:numPr>
        <w:tabs>
          <w:tab w:val="num" w:pos="284"/>
          <w:tab w:val="num" w:pos="600"/>
          <w:tab w:val="num" w:pos="720"/>
          <w:tab w:val="num" w:pos="1320"/>
        </w:tabs>
        <w:rPr>
          <w:rFonts w:cs="Arial"/>
          <w:spacing w:val="6"/>
          <w:sz w:val="26"/>
          <w:szCs w:val="24"/>
        </w:rPr>
      </w:pPr>
      <w:r>
        <w:rPr>
          <w:rFonts w:cs="Arial"/>
          <w:spacing w:val="6"/>
          <w:sz w:val="26"/>
          <w:szCs w:val="24"/>
        </w:rPr>
        <w:t>En el contrato de gestión de los cursos municipales de gimnasia aeróbica moderna</w:t>
      </w:r>
      <w:r w:rsidR="00461F89">
        <w:rPr>
          <w:rFonts w:cs="Arial"/>
          <w:spacing w:val="6"/>
          <w:sz w:val="26"/>
          <w:szCs w:val="24"/>
        </w:rPr>
        <w:t xml:space="preserve">, fueron objeto de valoración como criterio de adjudicación determinados criterios sociales. Hemos observado que han sido justificados parcialmente y fuera del plazo establecido. </w:t>
      </w:r>
    </w:p>
    <w:p w14:paraId="451641C4" w14:textId="77777777" w:rsidR="00807992" w:rsidRPr="005360A2" w:rsidRDefault="00807992" w:rsidP="00807992">
      <w:pPr>
        <w:tabs>
          <w:tab w:val="num" w:pos="720"/>
          <w:tab w:val="num" w:pos="1320"/>
        </w:tabs>
        <w:spacing w:after="160"/>
        <w:ind w:left="142" w:firstLine="0"/>
        <w:rPr>
          <w:spacing w:val="6"/>
          <w:sz w:val="26"/>
          <w:szCs w:val="24"/>
        </w:rPr>
      </w:pPr>
      <w:r w:rsidRPr="005360A2">
        <w:rPr>
          <w:spacing w:val="6"/>
          <w:sz w:val="26"/>
          <w:szCs w:val="24"/>
        </w:rPr>
        <w:t xml:space="preserve">Recomendamos </w:t>
      </w:r>
    </w:p>
    <w:p w14:paraId="01E5DDFD" w14:textId="77777777" w:rsidR="00807992" w:rsidRDefault="00807992" w:rsidP="00807992">
      <w:pPr>
        <w:numPr>
          <w:ilvl w:val="0"/>
          <w:numId w:val="10"/>
        </w:numPr>
        <w:tabs>
          <w:tab w:val="num" w:pos="284"/>
          <w:tab w:val="num" w:pos="600"/>
          <w:tab w:val="num" w:pos="720"/>
          <w:tab w:val="num" w:pos="1320"/>
        </w:tabs>
        <w:spacing w:after="160"/>
        <w:rPr>
          <w:rFonts w:cs="Arial"/>
          <w:i/>
          <w:spacing w:val="6"/>
          <w:sz w:val="26"/>
          <w:szCs w:val="24"/>
        </w:rPr>
      </w:pPr>
      <w:r w:rsidRPr="005360A2">
        <w:rPr>
          <w:rFonts w:cs="Arial"/>
          <w:i/>
          <w:spacing w:val="6"/>
          <w:sz w:val="26"/>
          <w:szCs w:val="24"/>
        </w:rPr>
        <w:t xml:space="preserve"> Publicar la adjudicación de los contratos en el Portal de Contratación dentro de los plazos pr</w:t>
      </w:r>
      <w:r w:rsidR="000023DA">
        <w:rPr>
          <w:rFonts w:cs="Arial"/>
          <w:i/>
          <w:spacing w:val="6"/>
          <w:sz w:val="26"/>
          <w:szCs w:val="24"/>
        </w:rPr>
        <w:t xml:space="preserve">evistos en el marco contractual, y/o en el DOUE en su caso. </w:t>
      </w:r>
    </w:p>
    <w:p w14:paraId="6A81E7F5" w14:textId="77777777" w:rsidR="00807992" w:rsidRDefault="000023DA" w:rsidP="00A25E5D">
      <w:pPr>
        <w:numPr>
          <w:ilvl w:val="0"/>
          <w:numId w:val="10"/>
        </w:numPr>
        <w:tabs>
          <w:tab w:val="num" w:pos="284"/>
          <w:tab w:val="num" w:pos="600"/>
          <w:tab w:val="num" w:pos="720"/>
          <w:tab w:val="num" w:pos="1320"/>
        </w:tabs>
        <w:spacing w:after="160"/>
        <w:rPr>
          <w:rFonts w:cs="Arial"/>
          <w:i/>
          <w:spacing w:val="6"/>
          <w:sz w:val="26"/>
          <w:szCs w:val="24"/>
        </w:rPr>
      </w:pPr>
      <w:r>
        <w:rPr>
          <w:rFonts w:cs="Arial"/>
          <w:i/>
          <w:spacing w:val="6"/>
          <w:sz w:val="26"/>
          <w:szCs w:val="24"/>
        </w:rPr>
        <w:t>Justificar</w:t>
      </w:r>
      <w:r w:rsidRPr="000023DA">
        <w:rPr>
          <w:rFonts w:cs="Arial"/>
          <w:i/>
          <w:spacing w:val="6"/>
          <w:sz w:val="26"/>
          <w:szCs w:val="24"/>
        </w:rPr>
        <w:t xml:space="preserve"> en los expedientes </w:t>
      </w:r>
      <w:r w:rsidR="00FC5A29">
        <w:rPr>
          <w:rFonts w:cs="Arial"/>
          <w:i/>
          <w:spacing w:val="6"/>
          <w:sz w:val="26"/>
          <w:szCs w:val="24"/>
        </w:rPr>
        <w:t xml:space="preserve">que lo precisen </w:t>
      </w:r>
      <w:r w:rsidRPr="000023DA">
        <w:rPr>
          <w:rFonts w:cs="Arial"/>
          <w:i/>
          <w:spacing w:val="6"/>
          <w:sz w:val="26"/>
          <w:szCs w:val="24"/>
        </w:rPr>
        <w:t xml:space="preserve">la no división en lotes, la no reserva de contratos a entidades de carácter social, así como </w:t>
      </w:r>
      <w:r>
        <w:rPr>
          <w:rFonts w:cs="Arial"/>
          <w:i/>
          <w:spacing w:val="6"/>
          <w:sz w:val="26"/>
          <w:szCs w:val="24"/>
        </w:rPr>
        <w:t xml:space="preserve">los </w:t>
      </w:r>
      <w:r w:rsidR="00807992" w:rsidRPr="000023DA">
        <w:rPr>
          <w:rFonts w:cs="Arial"/>
          <w:i/>
          <w:spacing w:val="6"/>
          <w:sz w:val="26"/>
          <w:szCs w:val="24"/>
        </w:rPr>
        <w:t>motivos en los que no se considere necesario el establecimiento de condiciones especiales de ejecución.</w:t>
      </w:r>
    </w:p>
    <w:p w14:paraId="14AC92ED" w14:textId="77777777" w:rsidR="00F3351E" w:rsidRPr="00F3351E" w:rsidRDefault="00F3351E" w:rsidP="00F665A5">
      <w:pPr>
        <w:numPr>
          <w:ilvl w:val="0"/>
          <w:numId w:val="10"/>
        </w:numPr>
        <w:tabs>
          <w:tab w:val="num" w:pos="284"/>
          <w:tab w:val="num" w:pos="600"/>
          <w:tab w:val="num" w:pos="720"/>
          <w:tab w:val="num" w:pos="1320"/>
        </w:tabs>
        <w:spacing w:before="120" w:after="240"/>
        <w:rPr>
          <w:rFonts w:cs="Arial"/>
          <w:i/>
          <w:spacing w:val="6"/>
          <w:sz w:val="26"/>
          <w:szCs w:val="24"/>
        </w:rPr>
      </w:pPr>
      <w:r w:rsidRPr="00F3351E">
        <w:rPr>
          <w:rFonts w:cs="Arial"/>
          <w:i/>
          <w:spacing w:val="6"/>
          <w:sz w:val="26"/>
          <w:szCs w:val="24"/>
        </w:rPr>
        <w:t>Comprobar el cumplimiento de aquellos requerimientos que hayan sido tenidos en cuenta como criterio de adjudicación.</w:t>
      </w:r>
    </w:p>
    <w:p w14:paraId="3B8D4E50" w14:textId="77777777" w:rsidR="00807992" w:rsidRPr="00A54D1E" w:rsidRDefault="00807992" w:rsidP="002C00AA">
      <w:pPr>
        <w:pStyle w:val="texto"/>
      </w:pPr>
      <w:bookmarkStart w:id="143" w:name="_Toc118266034"/>
      <w:r w:rsidRPr="00A54D1E">
        <w:t>5.</w:t>
      </w:r>
      <w:r>
        <w:t>4</w:t>
      </w:r>
      <w:r w:rsidRPr="00A54D1E">
        <w:t>.</w:t>
      </w:r>
      <w:r w:rsidR="00C1204F">
        <w:t>4</w:t>
      </w:r>
      <w:r>
        <w:t>. Inversiones</w:t>
      </w:r>
      <w:bookmarkEnd w:id="143"/>
    </w:p>
    <w:p w14:paraId="37022017" w14:textId="77777777" w:rsidR="00807992" w:rsidRPr="00ED65EA" w:rsidRDefault="00807992" w:rsidP="00807992">
      <w:pPr>
        <w:tabs>
          <w:tab w:val="left" w:pos="142"/>
          <w:tab w:val="center" w:pos="2835"/>
          <w:tab w:val="center" w:pos="3969"/>
          <w:tab w:val="center" w:pos="5103"/>
          <w:tab w:val="center" w:pos="6237"/>
          <w:tab w:val="center" w:pos="7371"/>
        </w:tabs>
        <w:spacing w:before="120" w:after="0"/>
        <w:ind w:firstLine="284"/>
        <w:rPr>
          <w:spacing w:val="6"/>
          <w:sz w:val="26"/>
          <w:szCs w:val="26"/>
          <w:lang w:val="es-ES" w:eastAsia="es-ES"/>
        </w:rPr>
      </w:pPr>
      <w:r w:rsidRPr="00ED65EA">
        <w:rPr>
          <w:spacing w:val="6"/>
          <w:sz w:val="26"/>
          <w:szCs w:val="26"/>
          <w:lang w:val="es-ES" w:eastAsia="es-ES"/>
        </w:rPr>
        <w:t>Las inversiones ascendieron a 23,87 millones. Representan el diez por ciento del total de obligaciones reconocidas en el ejercicio y su nivel de ejecución ha sido del 73 por ciento de los créditos definitivos.</w:t>
      </w:r>
      <w:r>
        <w:rPr>
          <w:spacing w:val="6"/>
          <w:sz w:val="26"/>
          <w:szCs w:val="26"/>
          <w:lang w:val="es-ES" w:eastAsia="es-ES"/>
        </w:rPr>
        <w:t xml:space="preserve"> </w:t>
      </w:r>
      <w:r w:rsidRPr="00667DFF">
        <w:rPr>
          <w:spacing w:val="6"/>
          <w:sz w:val="26"/>
          <w:szCs w:val="26"/>
        </w:rPr>
        <w:t xml:space="preserve">Los créditos iniciales se han </w:t>
      </w:r>
      <w:r>
        <w:rPr>
          <w:spacing w:val="6"/>
          <w:sz w:val="26"/>
          <w:szCs w:val="26"/>
        </w:rPr>
        <w:t>incrementado en 8,95</w:t>
      </w:r>
      <w:r w:rsidRPr="00667DFF">
        <w:rPr>
          <w:spacing w:val="6"/>
          <w:sz w:val="26"/>
          <w:szCs w:val="26"/>
        </w:rPr>
        <w:t xml:space="preserve"> millones mediante modificaciones al presupuesto de gastos, alcanzando los cr</w:t>
      </w:r>
      <w:r>
        <w:rPr>
          <w:spacing w:val="6"/>
          <w:sz w:val="26"/>
          <w:szCs w:val="26"/>
        </w:rPr>
        <w:t xml:space="preserve">éditos definitivos un total de 32,51 </w:t>
      </w:r>
      <w:r w:rsidRPr="00667DFF">
        <w:rPr>
          <w:spacing w:val="6"/>
          <w:sz w:val="26"/>
          <w:szCs w:val="26"/>
        </w:rPr>
        <w:t>millones</w:t>
      </w:r>
      <w:r>
        <w:rPr>
          <w:spacing w:val="6"/>
          <w:sz w:val="26"/>
          <w:szCs w:val="26"/>
        </w:rPr>
        <w:t>.</w:t>
      </w:r>
    </w:p>
    <w:p w14:paraId="6795E1B4" w14:textId="77777777" w:rsidR="00807992" w:rsidRDefault="00807992" w:rsidP="00807992">
      <w:pPr>
        <w:tabs>
          <w:tab w:val="left" w:pos="142"/>
          <w:tab w:val="center" w:pos="2835"/>
          <w:tab w:val="center" w:pos="3969"/>
          <w:tab w:val="center" w:pos="5103"/>
          <w:tab w:val="center" w:pos="6237"/>
          <w:tab w:val="center" w:pos="7371"/>
        </w:tabs>
        <w:spacing w:before="120" w:after="0"/>
        <w:ind w:firstLine="284"/>
        <w:rPr>
          <w:spacing w:val="6"/>
          <w:sz w:val="26"/>
          <w:szCs w:val="26"/>
          <w:lang w:val="es-ES" w:eastAsia="es-ES"/>
        </w:rPr>
      </w:pPr>
      <w:r w:rsidRPr="00ED65EA">
        <w:rPr>
          <w:spacing w:val="6"/>
          <w:sz w:val="26"/>
          <w:szCs w:val="26"/>
          <w:lang w:val="es-ES" w:eastAsia="es-ES"/>
        </w:rPr>
        <w:t>El aumento de gasto reconocido respecto al ejercicio precedente ha sido del 125 por ciento; en términos absolutos 13,2</w:t>
      </w:r>
      <w:r w:rsidR="000023DA">
        <w:rPr>
          <w:spacing w:val="6"/>
          <w:sz w:val="26"/>
          <w:szCs w:val="26"/>
          <w:lang w:val="es-ES" w:eastAsia="es-ES"/>
        </w:rPr>
        <w:t>6</w:t>
      </w:r>
      <w:r w:rsidRPr="00ED65EA">
        <w:rPr>
          <w:spacing w:val="6"/>
          <w:sz w:val="26"/>
          <w:szCs w:val="26"/>
          <w:lang w:val="es-ES" w:eastAsia="es-ES"/>
        </w:rPr>
        <w:t xml:space="preserve"> millones. </w:t>
      </w:r>
    </w:p>
    <w:p w14:paraId="7C009DF0" w14:textId="77777777" w:rsidR="00BE1093" w:rsidRDefault="008F663D" w:rsidP="00CF08F5">
      <w:pPr>
        <w:spacing w:after="0"/>
        <w:ind w:firstLine="0"/>
        <w:jc w:val="left"/>
        <w:rPr>
          <w:spacing w:val="6"/>
          <w:sz w:val="26"/>
          <w:szCs w:val="26"/>
          <w:lang w:val="es-ES" w:eastAsia="es-ES"/>
        </w:rPr>
      </w:pPr>
      <w:r>
        <w:rPr>
          <w:spacing w:val="6"/>
          <w:sz w:val="26"/>
          <w:szCs w:val="26"/>
          <w:lang w:val="es-ES" w:eastAsia="es-ES"/>
        </w:rPr>
        <w:br w:type="page"/>
      </w:r>
      <w:r w:rsidR="00807992" w:rsidRPr="00092B76">
        <w:rPr>
          <w:spacing w:val="6"/>
          <w:sz w:val="26"/>
          <w:szCs w:val="26"/>
          <w:lang w:val="es-ES" w:eastAsia="es-ES"/>
        </w:rPr>
        <w:lastRenderedPageBreak/>
        <w:t>Hemos fiscalizado la siguiente muestra de contratos de obra, dirección de obra y suministro:</w:t>
      </w:r>
    </w:p>
    <w:tbl>
      <w:tblPr>
        <w:tblW w:w="0" w:type="auto"/>
        <w:tblCellMar>
          <w:left w:w="70" w:type="dxa"/>
          <w:right w:w="70" w:type="dxa"/>
        </w:tblCellMar>
        <w:tblLook w:val="04A0" w:firstRow="1" w:lastRow="0" w:firstColumn="1" w:lastColumn="0" w:noHBand="0" w:noVBand="1"/>
      </w:tblPr>
      <w:tblGrid>
        <w:gridCol w:w="3119"/>
        <w:gridCol w:w="567"/>
        <w:gridCol w:w="1417"/>
        <w:gridCol w:w="1134"/>
        <w:gridCol w:w="993"/>
        <w:gridCol w:w="995"/>
        <w:gridCol w:w="564"/>
      </w:tblGrid>
      <w:tr w:rsidR="004134E1" w:rsidRPr="004134E1" w14:paraId="3D21A8B2" w14:textId="77777777" w:rsidTr="004134E1">
        <w:trPr>
          <w:trHeight w:val="255"/>
        </w:trPr>
        <w:tc>
          <w:tcPr>
            <w:tcW w:w="3119" w:type="dxa"/>
            <w:tcBorders>
              <w:top w:val="single" w:sz="4" w:space="0" w:color="auto"/>
              <w:left w:val="nil"/>
              <w:bottom w:val="single" w:sz="4" w:space="0" w:color="auto"/>
              <w:right w:val="nil"/>
            </w:tcBorders>
            <w:shd w:val="clear" w:color="auto" w:fill="FABF8F" w:themeFill="accent6" w:themeFillTint="99"/>
            <w:vAlign w:val="center"/>
          </w:tcPr>
          <w:p w14:paraId="3EB80170" w14:textId="77777777" w:rsidR="004134E1" w:rsidRPr="004134E1" w:rsidRDefault="004134E1" w:rsidP="00807992">
            <w:pPr>
              <w:spacing w:after="0"/>
              <w:ind w:firstLine="0"/>
              <w:jc w:val="left"/>
              <w:rPr>
                <w:rFonts w:ascii="Arial" w:hAnsi="Arial" w:cs="Arial"/>
                <w:color w:val="000000"/>
                <w:sz w:val="18"/>
                <w:szCs w:val="18"/>
                <w:lang w:val="es-ES" w:eastAsia="es-ES"/>
              </w:rPr>
            </w:pPr>
            <w:r w:rsidRPr="004134E1">
              <w:rPr>
                <w:rFonts w:ascii="Arial" w:hAnsi="Arial" w:cs="Arial"/>
                <w:color w:val="000000"/>
                <w:sz w:val="18"/>
                <w:szCs w:val="18"/>
                <w:lang w:val="es-ES" w:eastAsia="es-ES"/>
              </w:rPr>
              <w:t>Contrato</w:t>
            </w:r>
          </w:p>
        </w:tc>
        <w:tc>
          <w:tcPr>
            <w:tcW w:w="567" w:type="dxa"/>
            <w:tcBorders>
              <w:top w:val="single" w:sz="4" w:space="0" w:color="auto"/>
              <w:left w:val="nil"/>
              <w:bottom w:val="single" w:sz="4" w:space="0" w:color="auto"/>
              <w:right w:val="nil"/>
            </w:tcBorders>
            <w:shd w:val="clear" w:color="auto" w:fill="FABF8F" w:themeFill="accent6" w:themeFillTint="99"/>
            <w:vAlign w:val="center"/>
          </w:tcPr>
          <w:p w14:paraId="341C0C44" w14:textId="77777777" w:rsidR="004134E1" w:rsidRPr="004134E1" w:rsidRDefault="004134E1" w:rsidP="00807992">
            <w:pPr>
              <w:spacing w:after="0"/>
              <w:ind w:firstLine="0"/>
              <w:jc w:val="left"/>
              <w:rPr>
                <w:rFonts w:ascii="Arial" w:hAnsi="Arial" w:cs="Arial"/>
                <w:color w:val="000000"/>
                <w:sz w:val="18"/>
                <w:szCs w:val="18"/>
                <w:lang w:val="es-ES" w:eastAsia="es-ES"/>
              </w:rPr>
            </w:pPr>
          </w:p>
        </w:tc>
        <w:tc>
          <w:tcPr>
            <w:tcW w:w="1417" w:type="dxa"/>
            <w:tcBorders>
              <w:top w:val="single" w:sz="4" w:space="0" w:color="auto"/>
              <w:left w:val="nil"/>
              <w:bottom w:val="single" w:sz="4" w:space="0" w:color="auto"/>
              <w:right w:val="nil"/>
            </w:tcBorders>
            <w:shd w:val="clear" w:color="auto" w:fill="FABF8F" w:themeFill="accent6" w:themeFillTint="99"/>
            <w:vAlign w:val="center"/>
          </w:tcPr>
          <w:p w14:paraId="330F59BB" w14:textId="77777777" w:rsidR="004134E1" w:rsidRPr="004134E1" w:rsidRDefault="004134E1" w:rsidP="00807992">
            <w:pPr>
              <w:spacing w:after="0"/>
              <w:ind w:firstLine="0"/>
              <w:jc w:val="center"/>
              <w:rPr>
                <w:rFonts w:ascii="Arial" w:hAnsi="Arial" w:cs="Arial"/>
                <w:color w:val="000000"/>
                <w:sz w:val="18"/>
                <w:szCs w:val="18"/>
                <w:lang w:val="es-ES" w:eastAsia="es-ES"/>
              </w:rPr>
            </w:pPr>
            <w:r w:rsidRPr="004134E1">
              <w:rPr>
                <w:rFonts w:ascii="Arial" w:hAnsi="Arial" w:cs="Arial"/>
                <w:color w:val="000000"/>
                <w:sz w:val="18"/>
                <w:szCs w:val="18"/>
                <w:lang w:val="es-ES" w:eastAsia="es-ES"/>
              </w:rPr>
              <w:t>Procedimiento</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14:paraId="6EF22A48" w14:textId="77777777" w:rsidR="004134E1" w:rsidRPr="004134E1" w:rsidRDefault="004134E1" w:rsidP="004134E1">
            <w:pPr>
              <w:spacing w:after="0"/>
              <w:ind w:firstLine="0"/>
              <w:jc w:val="right"/>
              <w:rPr>
                <w:rFonts w:ascii="Arial" w:hAnsi="Arial" w:cs="Arial"/>
                <w:color w:val="000000"/>
                <w:sz w:val="18"/>
                <w:szCs w:val="18"/>
                <w:lang w:val="es-ES" w:eastAsia="es-ES"/>
              </w:rPr>
            </w:pPr>
            <w:proofErr w:type="spellStart"/>
            <w:r w:rsidRPr="004134E1">
              <w:rPr>
                <w:rFonts w:ascii="Arial" w:hAnsi="Arial" w:cs="Arial"/>
                <w:color w:val="000000"/>
                <w:sz w:val="18"/>
                <w:szCs w:val="18"/>
                <w:lang w:val="es-ES" w:eastAsia="es-ES"/>
              </w:rPr>
              <w:t>Nº</w:t>
            </w:r>
            <w:proofErr w:type="spellEnd"/>
            <w:r w:rsidRPr="004134E1">
              <w:rPr>
                <w:rFonts w:ascii="Arial" w:hAnsi="Arial" w:cs="Arial"/>
                <w:color w:val="000000"/>
                <w:sz w:val="18"/>
                <w:szCs w:val="18"/>
                <w:lang w:val="es-ES" w:eastAsia="es-ES"/>
              </w:rPr>
              <w:t xml:space="preserve"> de </w:t>
            </w:r>
          </w:p>
          <w:p w14:paraId="5B4CF3B5" w14:textId="77777777" w:rsidR="004134E1" w:rsidRPr="004134E1" w:rsidRDefault="004134E1" w:rsidP="004134E1">
            <w:pPr>
              <w:spacing w:after="0"/>
              <w:ind w:firstLine="0"/>
              <w:jc w:val="right"/>
              <w:rPr>
                <w:rFonts w:ascii="Arial" w:hAnsi="Arial" w:cs="Arial"/>
                <w:color w:val="000000"/>
                <w:sz w:val="18"/>
                <w:szCs w:val="18"/>
                <w:lang w:val="es-ES" w:eastAsia="es-ES"/>
              </w:rPr>
            </w:pPr>
            <w:r w:rsidRPr="004134E1">
              <w:rPr>
                <w:rFonts w:ascii="Arial" w:hAnsi="Arial" w:cs="Arial"/>
                <w:color w:val="000000"/>
                <w:sz w:val="18"/>
                <w:szCs w:val="18"/>
                <w:lang w:val="es-ES" w:eastAsia="es-ES"/>
              </w:rPr>
              <w:t>licitadores</w:t>
            </w:r>
          </w:p>
        </w:tc>
        <w:tc>
          <w:tcPr>
            <w:tcW w:w="993" w:type="dxa"/>
            <w:tcBorders>
              <w:top w:val="single" w:sz="4" w:space="0" w:color="auto"/>
              <w:left w:val="nil"/>
              <w:bottom w:val="single" w:sz="4" w:space="0" w:color="auto"/>
              <w:right w:val="nil"/>
            </w:tcBorders>
            <w:shd w:val="clear" w:color="auto" w:fill="FABF8F" w:themeFill="accent6" w:themeFillTint="99"/>
            <w:vAlign w:val="center"/>
          </w:tcPr>
          <w:p w14:paraId="322E41CB" w14:textId="77777777" w:rsidR="004134E1" w:rsidRDefault="004134E1" w:rsidP="004134E1">
            <w:pPr>
              <w:spacing w:after="0"/>
              <w:ind w:firstLine="0"/>
              <w:jc w:val="right"/>
              <w:rPr>
                <w:rFonts w:ascii="Arial" w:hAnsi="Arial" w:cs="Arial"/>
                <w:color w:val="000000"/>
                <w:sz w:val="18"/>
                <w:szCs w:val="18"/>
                <w:lang w:val="es-ES" w:eastAsia="es-ES"/>
              </w:rPr>
            </w:pPr>
            <w:r w:rsidRPr="004134E1">
              <w:rPr>
                <w:rFonts w:ascii="Arial" w:hAnsi="Arial" w:cs="Arial"/>
                <w:color w:val="000000"/>
                <w:sz w:val="18"/>
                <w:szCs w:val="18"/>
                <w:lang w:val="es-ES" w:eastAsia="es-ES"/>
              </w:rPr>
              <w:t xml:space="preserve">Importe </w:t>
            </w:r>
          </w:p>
          <w:p w14:paraId="339ED6D3" w14:textId="77777777" w:rsidR="004134E1" w:rsidRPr="004134E1" w:rsidRDefault="004134E1" w:rsidP="004134E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l</w:t>
            </w:r>
            <w:r w:rsidRPr="004134E1">
              <w:rPr>
                <w:rFonts w:ascii="Arial" w:hAnsi="Arial" w:cs="Arial"/>
                <w:color w:val="000000"/>
                <w:sz w:val="18"/>
                <w:szCs w:val="18"/>
                <w:lang w:val="es-ES" w:eastAsia="es-ES"/>
              </w:rPr>
              <w:t>icitación</w:t>
            </w:r>
            <w:r>
              <w:rPr>
                <w:rFonts w:ascii="Arial" w:hAnsi="Arial" w:cs="Arial"/>
                <w:color w:val="000000"/>
                <w:sz w:val="18"/>
                <w:szCs w:val="18"/>
                <w:lang w:val="es-ES" w:eastAsia="es-ES"/>
              </w:rPr>
              <w:t>*</w:t>
            </w:r>
          </w:p>
        </w:tc>
        <w:tc>
          <w:tcPr>
            <w:tcW w:w="995" w:type="dxa"/>
            <w:tcBorders>
              <w:top w:val="single" w:sz="4" w:space="0" w:color="auto"/>
              <w:left w:val="nil"/>
              <w:bottom w:val="single" w:sz="4" w:space="0" w:color="auto"/>
              <w:right w:val="nil"/>
            </w:tcBorders>
            <w:shd w:val="clear" w:color="auto" w:fill="FABF8F" w:themeFill="accent6" w:themeFillTint="99"/>
            <w:vAlign w:val="center"/>
          </w:tcPr>
          <w:p w14:paraId="6FA41A77" w14:textId="77777777" w:rsidR="004134E1" w:rsidRPr="004134E1" w:rsidRDefault="004134E1" w:rsidP="004134E1">
            <w:pPr>
              <w:spacing w:after="0"/>
              <w:ind w:firstLine="0"/>
              <w:jc w:val="right"/>
              <w:rPr>
                <w:rFonts w:ascii="Arial" w:hAnsi="Arial" w:cs="Arial"/>
                <w:color w:val="000000"/>
                <w:sz w:val="18"/>
                <w:szCs w:val="18"/>
                <w:lang w:val="es-ES" w:eastAsia="es-ES"/>
              </w:rPr>
            </w:pPr>
            <w:r w:rsidRPr="004134E1">
              <w:rPr>
                <w:rFonts w:ascii="Arial" w:hAnsi="Arial" w:cs="Arial"/>
                <w:color w:val="000000"/>
                <w:sz w:val="18"/>
                <w:szCs w:val="18"/>
                <w:lang w:val="es-ES" w:eastAsia="es-ES"/>
              </w:rPr>
              <w:t>Precio adjudicación</w:t>
            </w:r>
          </w:p>
        </w:tc>
        <w:tc>
          <w:tcPr>
            <w:tcW w:w="564" w:type="dxa"/>
            <w:tcBorders>
              <w:top w:val="single" w:sz="4" w:space="0" w:color="auto"/>
              <w:left w:val="nil"/>
              <w:bottom w:val="single" w:sz="4" w:space="0" w:color="auto"/>
              <w:right w:val="nil"/>
            </w:tcBorders>
            <w:shd w:val="clear" w:color="auto" w:fill="FABF8F" w:themeFill="accent6" w:themeFillTint="99"/>
            <w:vAlign w:val="center"/>
          </w:tcPr>
          <w:p w14:paraId="059841D1" w14:textId="77777777" w:rsidR="004134E1" w:rsidRPr="004134E1" w:rsidRDefault="004134E1" w:rsidP="004134E1">
            <w:pPr>
              <w:spacing w:after="0"/>
              <w:ind w:firstLine="0"/>
              <w:jc w:val="right"/>
              <w:rPr>
                <w:rFonts w:ascii="Arial" w:hAnsi="Arial" w:cs="Arial"/>
                <w:color w:val="000000"/>
                <w:sz w:val="18"/>
                <w:szCs w:val="18"/>
                <w:lang w:val="es-ES" w:eastAsia="es-ES"/>
              </w:rPr>
            </w:pPr>
            <w:r w:rsidRPr="004134E1">
              <w:rPr>
                <w:rFonts w:ascii="Arial" w:hAnsi="Arial" w:cs="Arial"/>
                <w:color w:val="000000"/>
                <w:sz w:val="18"/>
                <w:szCs w:val="18"/>
                <w:lang w:val="es-ES" w:eastAsia="es-ES"/>
              </w:rPr>
              <w:t>% baja</w:t>
            </w:r>
          </w:p>
        </w:tc>
      </w:tr>
      <w:tr w:rsidR="00807992" w:rsidRPr="00214E06" w14:paraId="2E861617" w14:textId="77777777" w:rsidTr="004134E1">
        <w:trPr>
          <w:trHeight w:val="198"/>
        </w:trPr>
        <w:tc>
          <w:tcPr>
            <w:tcW w:w="3119" w:type="dxa"/>
            <w:vMerge w:val="restart"/>
            <w:tcBorders>
              <w:top w:val="single" w:sz="4" w:space="0" w:color="auto"/>
              <w:left w:val="nil"/>
              <w:right w:val="nil"/>
            </w:tcBorders>
            <w:shd w:val="clear" w:color="auto" w:fill="auto"/>
            <w:vAlign w:val="center"/>
            <w:hideMark/>
          </w:tcPr>
          <w:p w14:paraId="4F51903A"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 xml:space="preserve">Contrato de obras para la adaptación de pasos de peatones a la ordenanza de movilidad </w:t>
            </w:r>
          </w:p>
        </w:tc>
        <w:tc>
          <w:tcPr>
            <w:tcW w:w="567" w:type="dxa"/>
            <w:tcBorders>
              <w:top w:val="single" w:sz="4" w:space="0" w:color="auto"/>
              <w:left w:val="nil"/>
              <w:right w:val="nil"/>
            </w:tcBorders>
            <w:shd w:val="clear" w:color="auto" w:fill="auto"/>
            <w:vAlign w:val="center"/>
            <w:hideMark/>
          </w:tcPr>
          <w:p w14:paraId="0716D990"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Lote 1</w:t>
            </w:r>
          </w:p>
        </w:tc>
        <w:tc>
          <w:tcPr>
            <w:tcW w:w="1417" w:type="dxa"/>
            <w:tcBorders>
              <w:top w:val="single" w:sz="4" w:space="0" w:color="auto"/>
              <w:left w:val="nil"/>
              <w:right w:val="nil"/>
            </w:tcBorders>
            <w:shd w:val="clear" w:color="auto" w:fill="auto"/>
            <w:vAlign w:val="center"/>
            <w:hideMark/>
          </w:tcPr>
          <w:p w14:paraId="12A530A6"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Abierto sin publicidad europea</w:t>
            </w:r>
          </w:p>
        </w:tc>
        <w:tc>
          <w:tcPr>
            <w:tcW w:w="1134" w:type="dxa"/>
            <w:tcBorders>
              <w:top w:val="single" w:sz="4" w:space="0" w:color="auto"/>
              <w:left w:val="nil"/>
              <w:right w:val="nil"/>
            </w:tcBorders>
            <w:shd w:val="clear" w:color="auto" w:fill="auto"/>
            <w:vAlign w:val="center"/>
            <w:hideMark/>
          </w:tcPr>
          <w:p w14:paraId="664800C8"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5</w:t>
            </w:r>
          </w:p>
        </w:tc>
        <w:tc>
          <w:tcPr>
            <w:tcW w:w="993" w:type="dxa"/>
            <w:tcBorders>
              <w:top w:val="single" w:sz="4" w:space="0" w:color="auto"/>
              <w:left w:val="nil"/>
              <w:right w:val="nil"/>
            </w:tcBorders>
            <w:shd w:val="clear" w:color="auto" w:fill="auto"/>
            <w:vAlign w:val="center"/>
            <w:hideMark/>
          </w:tcPr>
          <w:p w14:paraId="7352E680"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273.242</w:t>
            </w:r>
          </w:p>
        </w:tc>
        <w:tc>
          <w:tcPr>
            <w:tcW w:w="995" w:type="dxa"/>
            <w:tcBorders>
              <w:top w:val="single" w:sz="4" w:space="0" w:color="auto"/>
              <w:left w:val="nil"/>
              <w:right w:val="nil"/>
            </w:tcBorders>
            <w:shd w:val="clear" w:color="auto" w:fill="auto"/>
            <w:vAlign w:val="center"/>
          </w:tcPr>
          <w:p w14:paraId="4E61A147" w14:textId="77777777" w:rsidR="00807992" w:rsidRPr="00214E06" w:rsidRDefault="000023DA"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218.621</w:t>
            </w:r>
          </w:p>
        </w:tc>
        <w:tc>
          <w:tcPr>
            <w:tcW w:w="564" w:type="dxa"/>
            <w:tcBorders>
              <w:top w:val="single" w:sz="4" w:space="0" w:color="auto"/>
              <w:left w:val="nil"/>
              <w:right w:val="nil"/>
            </w:tcBorders>
            <w:shd w:val="clear" w:color="auto" w:fill="auto"/>
            <w:vAlign w:val="center"/>
          </w:tcPr>
          <w:p w14:paraId="12750679" w14:textId="77777777" w:rsidR="00807992" w:rsidRPr="00214E06" w:rsidRDefault="000023DA"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20</w:t>
            </w:r>
          </w:p>
        </w:tc>
      </w:tr>
      <w:tr w:rsidR="00807992" w:rsidRPr="00214E06" w14:paraId="182B18E5" w14:textId="77777777" w:rsidTr="004134E1">
        <w:trPr>
          <w:trHeight w:val="198"/>
        </w:trPr>
        <w:tc>
          <w:tcPr>
            <w:tcW w:w="3119" w:type="dxa"/>
            <w:vMerge/>
            <w:tcBorders>
              <w:left w:val="nil"/>
              <w:bottom w:val="single" w:sz="8" w:space="0" w:color="000000"/>
              <w:right w:val="nil"/>
            </w:tcBorders>
            <w:vAlign w:val="center"/>
            <w:hideMark/>
          </w:tcPr>
          <w:p w14:paraId="690A4ACB"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p>
        </w:tc>
        <w:tc>
          <w:tcPr>
            <w:tcW w:w="567" w:type="dxa"/>
            <w:tcBorders>
              <w:left w:val="nil"/>
              <w:bottom w:val="nil"/>
              <w:right w:val="nil"/>
            </w:tcBorders>
            <w:shd w:val="clear" w:color="auto" w:fill="auto"/>
            <w:vAlign w:val="center"/>
            <w:hideMark/>
          </w:tcPr>
          <w:p w14:paraId="4AE430CD"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Lote 2</w:t>
            </w:r>
          </w:p>
        </w:tc>
        <w:tc>
          <w:tcPr>
            <w:tcW w:w="1417" w:type="dxa"/>
            <w:tcBorders>
              <w:left w:val="nil"/>
              <w:bottom w:val="nil"/>
              <w:right w:val="nil"/>
            </w:tcBorders>
            <w:shd w:val="clear" w:color="auto" w:fill="auto"/>
            <w:vAlign w:val="center"/>
            <w:hideMark/>
          </w:tcPr>
          <w:p w14:paraId="2F310742"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Abierto sin publicidad europea</w:t>
            </w:r>
          </w:p>
        </w:tc>
        <w:tc>
          <w:tcPr>
            <w:tcW w:w="1134" w:type="dxa"/>
            <w:tcBorders>
              <w:left w:val="nil"/>
              <w:bottom w:val="nil"/>
              <w:right w:val="nil"/>
            </w:tcBorders>
            <w:shd w:val="clear" w:color="auto" w:fill="auto"/>
            <w:vAlign w:val="center"/>
            <w:hideMark/>
          </w:tcPr>
          <w:p w14:paraId="06F04034" w14:textId="77777777" w:rsidR="00807992" w:rsidRPr="00214E06" w:rsidRDefault="00807992" w:rsidP="004134E1">
            <w:pPr>
              <w:spacing w:after="0"/>
              <w:ind w:firstLine="0"/>
              <w:jc w:val="right"/>
              <w:rPr>
                <w:rFonts w:ascii="Arial Narrow" w:hAnsi="Arial Narrow" w:cs="Calibri"/>
                <w:color w:val="000000"/>
                <w:sz w:val="17"/>
                <w:szCs w:val="17"/>
                <w:lang w:val="es-ES" w:eastAsia="es-ES"/>
              </w:rPr>
            </w:pPr>
            <w:r w:rsidRPr="00214E06">
              <w:rPr>
                <w:rFonts w:ascii="Arial Narrow" w:hAnsi="Arial Narrow" w:cs="Calibri"/>
                <w:color w:val="000000"/>
                <w:sz w:val="17"/>
                <w:szCs w:val="17"/>
                <w:lang w:val="es-ES" w:eastAsia="es-ES"/>
              </w:rPr>
              <w:t>5</w:t>
            </w:r>
          </w:p>
        </w:tc>
        <w:tc>
          <w:tcPr>
            <w:tcW w:w="993" w:type="dxa"/>
            <w:tcBorders>
              <w:left w:val="nil"/>
              <w:bottom w:val="nil"/>
              <w:right w:val="nil"/>
            </w:tcBorders>
            <w:shd w:val="clear" w:color="auto" w:fill="auto"/>
            <w:vAlign w:val="center"/>
            <w:hideMark/>
          </w:tcPr>
          <w:p w14:paraId="49DBBA78"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331.175</w:t>
            </w:r>
          </w:p>
        </w:tc>
        <w:tc>
          <w:tcPr>
            <w:tcW w:w="995" w:type="dxa"/>
            <w:tcBorders>
              <w:left w:val="nil"/>
              <w:bottom w:val="nil"/>
              <w:right w:val="nil"/>
            </w:tcBorders>
            <w:shd w:val="clear" w:color="auto" w:fill="auto"/>
            <w:vAlign w:val="center"/>
          </w:tcPr>
          <w:p w14:paraId="0D8D748C" w14:textId="77777777" w:rsidR="00807992" w:rsidRPr="00214E06" w:rsidRDefault="000023DA"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264.940</w:t>
            </w:r>
          </w:p>
        </w:tc>
        <w:tc>
          <w:tcPr>
            <w:tcW w:w="564" w:type="dxa"/>
            <w:tcBorders>
              <w:left w:val="nil"/>
              <w:bottom w:val="nil"/>
              <w:right w:val="nil"/>
            </w:tcBorders>
            <w:shd w:val="clear" w:color="auto" w:fill="auto"/>
            <w:vAlign w:val="center"/>
          </w:tcPr>
          <w:p w14:paraId="06BCE85E" w14:textId="77777777" w:rsidR="00807992" w:rsidRPr="00214E06" w:rsidRDefault="000023DA"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20</w:t>
            </w:r>
          </w:p>
        </w:tc>
      </w:tr>
      <w:tr w:rsidR="00807992" w:rsidRPr="00214E06" w14:paraId="33D2EC71" w14:textId="77777777" w:rsidTr="004134E1">
        <w:trPr>
          <w:trHeight w:val="198"/>
        </w:trPr>
        <w:tc>
          <w:tcPr>
            <w:tcW w:w="3119" w:type="dxa"/>
            <w:vMerge/>
            <w:tcBorders>
              <w:top w:val="nil"/>
              <w:left w:val="nil"/>
              <w:bottom w:val="single" w:sz="4" w:space="0" w:color="auto"/>
              <w:right w:val="nil"/>
            </w:tcBorders>
            <w:vAlign w:val="center"/>
            <w:hideMark/>
          </w:tcPr>
          <w:p w14:paraId="4866CC41"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p>
        </w:tc>
        <w:tc>
          <w:tcPr>
            <w:tcW w:w="567" w:type="dxa"/>
            <w:tcBorders>
              <w:top w:val="nil"/>
              <w:left w:val="nil"/>
              <w:bottom w:val="single" w:sz="4" w:space="0" w:color="auto"/>
              <w:right w:val="nil"/>
            </w:tcBorders>
            <w:shd w:val="clear" w:color="auto" w:fill="auto"/>
            <w:vAlign w:val="center"/>
            <w:hideMark/>
          </w:tcPr>
          <w:p w14:paraId="2AB6A2E5"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Lote 3</w:t>
            </w:r>
          </w:p>
        </w:tc>
        <w:tc>
          <w:tcPr>
            <w:tcW w:w="1417" w:type="dxa"/>
            <w:tcBorders>
              <w:top w:val="nil"/>
              <w:left w:val="nil"/>
              <w:bottom w:val="single" w:sz="4" w:space="0" w:color="auto"/>
              <w:right w:val="nil"/>
            </w:tcBorders>
            <w:shd w:val="clear" w:color="auto" w:fill="auto"/>
            <w:vAlign w:val="center"/>
            <w:hideMark/>
          </w:tcPr>
          <w:p w14:paraId="3B93F765"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Abierto sin publicidad europea</w:t>
            </w:r>
          </w:p>
        </w:tc>
        <w:tc>
          <w:tcPr>
            <w:tcW w:w="1134" w:type="dxa"/>
            <w:tcBorders>
              <w:top w:val="nil"/>
              <w:left w:val="nil"/>
              <w:bottom w:val="single" w:sz="4" w:space="0" w:color="auto"/>
              <w:right w:val="nil"/>
            </w:tcBorders>
            <w:shd w:val="clear" w:color="auto" w:fill="auto"/>
            <w:vAlign w:val="center"/>
            <w:hideMark/>
          </w:tcPr>
          <w:p w14:paraId="3686AD1E"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5</w:t>
            </w:r>
          </w:p>
        </w:tc>
        <w:tc>
          <w:tcPr>
            <w:tcW w:w="993" w:type="dxa"/>
            <w:tcBorders>
              <w:top w:val="nil"/>
              <w:left w:val="nil"/>
              <w:bottom w:val="single" w:sz="4" w:space="0" w:color="auto"/>
              <w:right w:val="nil"/>
            </w:tcBorders>
            <w:shd w:val="clear" w:color="auto" w:fill="auto"/>
            <w:vAlign w:val="center"/>
            <w:hideMark/>
          </w:tcPr>
          <w:p w14:paraId="67AC200D"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295.602</w:t>
            </w:r>
          </w:p>
        </w:tc>
        <w:tc>
          <w:tcPr>
            <w:tcW w:w="995" w:type="dxa"/>
            <w:tcBorders>
              <w:top w:val="nil"/>
              <w:left w:val="nil"/>
              <w:bottom w:val="single" w:sz="4" w:space="0" w:color="auto"/>
              <w:right w:val="nil"/>
            </w:tcBorders>
            <w:shd w:val="clear" w:color="auto" w:fill="auto"/>
            <w:vAlign w:val="center"/>
          </w:tcPr>
          <w:p w14:paraId="51568FDA" w14:textId="77777777" w:rsidR="00807992" w:rsidRPr="00214E06" w:rsidRDefault="000023DA"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236.511</w:t>
            </w:r>
          </w:p>
        </w:tc>
        <w:tc>
          <w:tcPr>
            <w:tcW w:w="564" w:type="dxa"/>
            <w:tcBorders>
              <w:top w:val="nil"/>
              <w:left w:val="nil"/>
              <w:bottom w:val="single" w:sz="4" w:space="0" w:color="auto"/>
              <w:right w:val="nil"/>
            </w:tcBorders>
            <w:shd w:val="clear" w:color="auto" w:fill="auto"/>
            <w:vAlign w:val="center"/>
          </w:tcPr>
          <w:p w14:paraId="00D98513" w14:textId="77777777" w:rsidR="00807992" w:rsidRPr="00214E06" w:rsidRDefault="000023DA"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20</w:t>
            </w:r>
          </w:p>
        </w:tc>
      </w:tr>
      <w:tr w:rsidR="00807992" w:rsidRPr="00214E06" w14:paraId="6FD95A0C" w14:textId="77777777" w:rsidTr="004134E1">
        <w:trPr>
          <w:trHeight w:val="198"/>
        </w:trPr>
        <w:tc>
          <w:tcPr>
            <w:tcW w:w="3119" w:type="dxa"/>
            <w:tcBorders>
              <w:top w:val="single" w:sz="4" w:space="0" w:color="auto"/>
              <w:left w:val="nil"/>
              <w:bottom w:val="single" w:sz="2" w:space="0" w:color="auto"/>
              <w:right w:val="nil"/>
            </w:tcBorders>
            <w:shd w:val="clear" w:color="auto" w:fill="auto"/>
            <w:vAlign w:val="center"/>
            <w:hideMark/>
          </w:tcPr>
          <w:p w14:paraId="3DC569EB"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 xml:space="preserve">Reurbanización y renovación de redes de las calles de Manuel de Falla, Rio </w:t>
            </w:r>
            <w:proofErr w:type="spellStart"/>
            <w:r w:rsidRPr="00214E06">
              <w:rPr>
                <w:rFonts w:ascii="Arial Narrow" w:hAnsi="Arial Narrow" w:cs="Calibri"/>
                <w:color w:val="000000"/>
                <w:sz w:val="16"/>
                <w:szCs w:val="16"/>
                <w:lang w:val="es-ES" w:eastAsia="es-ES"/>
              </w:rPr>
              <w:t>Urrobi</w:t>
            </w:r>
            <w:proofErr w:type="spellEnd"/>
            <w:r w:rsidRPr="00214E06">
              <w:rPr>
                <w:rFonts w:ascii="Arial Narrow" w:hAnsi="Arial Narrow" w:cs="Calibri"/>
                <w:color w:val="000000"/>
                <w:sz w:val="16"/>
                <w:szCs w:val="16"/>
                <w:lang w:val="es-ES" w:eastAsia="es-ES"/>
              </w:rPr>
              <w:t xml:space="preserve"> y Rio Irati</w:t>
            </w:r>
          </w:p>
        </w:tc>
        <w:tc>
          <w:tcPr>
            <w:tcW w:w="567" w:type="dxa"/>
            <w:tcBorders>
              <w:top w:val="single" w:sz="4" w:space="0" w:color="auto"/>
              <w:left w:val="nil"/>
              <w:bottom w:val="single" w:sz="2" w:space="0" w:color="auto"/>
              <w:right w:val="nil"/>
            </w:tcBorders>
            <w:shd w:val="clear" w:color="auto" w:fill="auto"/>
            <w:vAlign w:val="center"/>
            <w:hideMark/>
          </w:tcPr>
          <w:p w14:paraId="597D2A8F"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 </w:t>
            </w:r>
          </w:p>
        </w:tc>
        <w:tc>
          <w:tcPr>
            <w:tcW w:w="1417" w:type="dxa"/>
            <w:tcBorders>
              <w:top w:val="single" w:sz="4" w:space="0" w:color="auto"/>
              <w:left w:val="nil"/>
              <w:bottom w:val="single" w:sz="2" w:space="0" w:color="auto"/>
              <w:right w:val="nil"/>
            </w:tcBorders>
            <w:shd w:val="clear" w:color="auto" w:fill="auto"/>
            <w:vAlign w:val="center"/>
            <w:hideMark/>
          </w:tcPr>
          <w:p w14:paraId="31D68B5D"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Abierto sin publicidad europea</w:t>
            </w:r>
          </w:p>
        </w:tc>
        <w:tc>
          <w:tcPr>
            <w:tcW w:w="1134" w:type="dxa"/>
            <w:tcBorders>
              <w:top w:val="single" w:sz="4" w:space="0" w:color="auto"/>
              <w:left w:val="nil"/>
              <w:bottom w:val="single" w:sz="2" w:space="0" w:color="auto"/>
              <w:right w:val="nil"/>
            </w:tcBorders>
            <w:shd w:val="clear" w:color="auto" w:fill="auto"/>
            <w:vAlign w:val="center"/>
            <w:hideMark/>
          </w:tcPr>
          <w:p w14:paraId="0EAD3958"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4</w:t>
            </w:r>
          </w:p>
        </w:tc>
        <w:tc>
          <w:tcPr>
            <w:tcW w:w="993" w:type="dxa"/>
            <w:tcBorders>
              <w:top w:val="single" w:sz="4" w:space="0" w:color="auto"/>
              <w:left w:val="nil"/>
              <w:bottom w:val="single" w:sz="2" w:space="0" w:color="auto"/>
              <w:right w:val="nil"/>
            </w:tcBorders>
            <w:shd w:val="clear" w:color="auto" w:fill="auto"/>
            <w:vAlign w:val="center"/>
            <w:hideMark/>
          </w:tcPr>
          <w:p w14:paraId="267D8E2E"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4.216.000</w:t>
            </w:r>
          </w:p>
        </w:tc>
        <w:tc>
          <w:tcPr>
            <w:tcW w:w="995" w:type="dxa"/>
            <w:tcBorders>
              <w:top w:val="single" w:sz="4" w:space="0" w:color="auto"/>
              <w:left w:val="nil"/>
              <w:bottom w:val="single" w:sz="2" w:space="0" w:color="auto"/>
              <w:right w:val="nil"/>
            </w:tcBorders>
            <w:shd w:val="clear" w:color="auto" w:fill="auto"/>
            <w:vAlign w:val="center"/>
            <w:hideMark/>
          </w:tcPr>
          <w:p w14:paraId="39C450CE"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3.769.103</w:t>
            </w:r>
          </w:p>
        </w:tc>
        <w:tc>
          <w:tcPr>
            <w:tcW w:w="564" w:type="dxa"/>
            <w:tcBorders>
              <w:top w:val="single" w:sz="4" w:space="0" w:color="auto"/>
              <w:left w:val="nil"/>
              <w:bottom w:val="single" w:sz="2" w:space="0" w:color="auto"/>
              <w:right w:val="nil"/>
            </w:tcBorders>
            <w:shd w:val="clear" w:color="auto" w:fill="auto"/>
            <w:vAlign w:val="center"/>
            <w:hideMark/>
          </w:tcPr>
          <w:p w14:paraId="3B5CBD5D"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11</w:t>
            </w:r>
          </w:p>
        </w:tc>
      </w:tr>
      <w:tr w:rsidR="00807992" w:rsidRPr="00214E06" w14:paraId="6853056A" w14:textId="77777777" w:rsidTr="004134E1">
        <w:trPr>
          <w:trHeight w:val="198"/>
        </w:trPr>
        <w:tc>
          <w:tcPr>
            <w:tcW w:w="3119" w:type="dxa"/>
            <w:vMerge w:val="restart"/>
            <w:tcBorders>
              <w:top w:val="single" w:sz="2" w:space="0" w:color="auto"/>
              <w:left w:val="nil"/>
              <w:bottom w:val="single" w:sz="2" w:space="0" w:color="auto"/>
              <w:right w:val="nil"/>
            </w:tcBorders>
            <w:shd w:val="clear" w:color="auto" w:fill="auto"/>
            <w:vAlign w:val="center"/>
            <w:hideMark/>
          </w:tcPr>
          <w:p w14:paraId="00606038"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 xml:space="preserve">Obras de rehabilitación de espacios públicos </w:t>
            </w:r>
          </w:p>
        </w:tc>
        <w:tc>
          <w:tcPr>
            <w:tcW w:w="567" w:type="dxa"/>
            <w:tcBorders>
              <w:top w:val="single" w:sz="2" w:space="0" w:color="auto"/>
              <w:left w:val="nil"/>
              <w:bottom w:val="single" w:sz="2" w:space="0" w:color="auto"/>
              <w:right w:val="nil"/>
            </w:tcBorders>
            <w:shd w:val="clear" w:color="auto" w:fill="auto"/>
            <w:vAlign w:val="center"/>
            <w:hideMark/>
          </w:tcPr>
          <w:p w14:paraId="0C580084"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Lote 1</w:t>
            </w:r>
          </w:p>
        </w:tc>
        <w:tc>
          <w:tcPr>
            <w:tcW w:w="1417" w:type="dxa"/>
            <w:vMerge w:val="restart"/>
            <w:tcBorders>
              <w:top w:val="single" w:sz="2" w:space="0" w:color="auto"/>
              <w:left w:val="nil"/>
              <w:bottom w:val="single" w:sz="2" w:space="0" w:color="auto"/>
              <w:right w:val="nil"/>
            </w:tcBorders>
            <w:shd w:val="clear" w:color="auto" w:fill="auto"/>
            <w:vAlign w:val="center"/>
            <w:hideMark/>
          </w:tcPr>
          <w:p w14:paraId="271875F6"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Acuerdo Marco</w:t>
            </w:r>
          </w:p>
        </w:tc>
        <w:tc>
          <w:tcPr>
            <w:tcW w:w="3686" w:type="dxa"/>
            <w:gridSpan w:val="4"/>
            <w:vMerge w:val="restart"/>
            <w:tcBorders>
              <w:top w:val="single" w:sz="2" w:space="0" w:color="auto"/>
              <w:left w:val="nil"/>
              <w:bottom w:val="single" w:sz="2" w:space="0" w:color="auto"/>
              <w:right w:val="nil"/>
            </w:tcBorders>
            <w:shd w:val="clear" w:color="auto" w:fill="auto"/>
            <w:vAlign w:val="center"/>
            <w:hideMark/>
          </w:tcPr>
          <w:p w14:paraId="70723473"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FA2B37">
              <w:rPr>
                <w:rFonts w:ascii="Arial Narrow" w:hAnsi="Arial Narrow" w:cs="Calibri"/>
                <w:sz w:val="16"/>
                <w:szCs w:val="16"/>
                <w:lang w:val="es-ES" w:eastAsia="es-ES"/>
              </w:rPr>
              <w:t>N/A*</w:t>
            </w:r>
            <w:r w:rsidR="00C26216">
              <w:rPr>
                <w:rFonts w:ascii="Arial Narrow" w:hAnsi="Arial Narrow" w:cs="Calibri"/>
                <w:sz w:val="16"/>
                <w:szCs w:val="16"/>
                <w:lang w:val="es-ES" w:eastAsia="es-ES"/>
              </w:rPr>
              <w:t>*</w:t>
            </w:r>
          </w:p>
        </w:tc>
      </w:tr>
      <w:tr w:rsidR="00807992" w:rsidRPr="00214E06" w14:paraId="3DBC8119" w14:textId="77777777" w:rsidTr="004134E1">
        <w:trPr>
          <w:trHeight w:val="198"/>
        </w:trPr>
        <w:tc>
          <w:tcPr>
            <w:tcW w:w="3119" w:type="dxa"/>
            <w:vMerge/>
            <w:tcBorders>
              <w:top w:val="single" w:sz="2" w:space="0" w:color="auto"/>
              <w:left w:val="nil"/>
              <w:bottom w:val="single" w:sz="2" w:space="0" w:color="auto"/>
              <w:right w:val="nil"/>
            </w:tcBorders>
            <w:vAlign w:val="center"/>
            <w:hideMark/>
          </w:tcPr>
          <w:p w14:paraId="5403AFD0"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p>
        </w:tc>
        <w:tc>
          <w:tcPr>
            <w:tcW w:w="567" w:type="dxa"/>
            <w:tcBorders>
              <w:top w:val="single" w:sz="2" w:space="0" w:color="auto"/>
              <w:left w:val="nil"/>
              <w:bottom w:val="single" w:sz="2" w:space="0" w:color="auto"/>
              <w:right w:val="nil"/>
            </w:tcBorders>
            <w:shd w:val="clear" w:color="auto" w:fill="auto"/>
            <w:vAlign w:val="center"/>
            <w:hideMark/>
          </w:tcPr>
          <w:p w14:paraId="2C7CA584"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Lote 2</w:t>
            </w:r>
          </w:p>
        </w:tc>
        <w:tc>
          <w:tcPr>
            <w:tcW w:w="1417" w:type="dxa"/>
            <w:vMerge/>
            <w:tcBorders>
              <w:top w:val="single" w:sz="2" w:space="0" w:color="auto"/>
              <w:left w:val="nil"/>
              <w:bottom w:val="single" w:sz="2" w:space="0" w:color="auto"/>
              <w:right w:val="nil"/>
            </w:tcBorders>
            <w:vAlign w:val="center"/>
            <w:hideMark/>
          </w:tcPr>
          <w:p w14:paraId="44E68275"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p>
        </w:tc>
        <w:tc>
          <w:tcPr>
            <w:tcW w:w="3686" w:type="dxa"/>
            <w:gridSpan w:val="4"/>
            <w:vMerge/>
            <w:tcBorders>
              <w:top w:val="single" w:sz="2" w:space="0" w:color="auto"/>
              <w:left w:val="nil"/>
              <w:bottom w:val="single" w:sz="2" w:space="0" w:color="auto"/>
              <w:right w:val="nil"/>
            </w:tcBorders>
            <w:vAlign w:val="center"/>
            <w:hideMark/>
          </w:tcPr>
          <w:p w14:paraId="5A27A39C"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p>
        </w:tc>
      </w:tr>
      <w:tr w:rsidR="00807992" w:rsidRPr="00214E06" w14:paraId="3CE7398B" w14:textId="77777777" w:rsidTr="004134E1">
        <w:trPr>
          <w:trHeight w:val="198"/>
        </w:trPr>
        <w:tc>
          <w:tcPr>
            <w:tcW w:w="3119" w:type="dxa"/>
            <w:vMerge w:val="restart"/>
            <w:tcBorders>
              <w:top w:val="single" w:sz="2" w:space="0" w:color="auto"/>
              <w:left w:val="nil"/>
              <w:bottom w:val="single" w:sz="2" w:space="0" w:color="auto"/>
              <w:right w:val="nil"/>
            </w:tcBorders>
            <w:shd w:val="clear" w:color="auto" w:fill="auto"/>
            <w:vAlign w:val="center"/>
            <w:hideMark/>
          </w:tcPr>
          <w:p w14:paraId="03B1655E"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 xml:space="preserve">Suministro e instalación de cubiertas textiles </w:t>
            </w:r>
          </w:p>
        </w:tc>
        <w:tc>
          <w:tcPr>
            <w:tcW w:w="567" w:type="dxa"/>
            <w:tcBorders>
              <w:top w:val="single" w:sz="2" w:space="0" w:color="auto"/>
              <w:left w:val="nil"/>
              <w:bottom w:val="single" w:sz="2" w:space="0" w:color="auto"/>
              <w:right w:val="nil"/>
            </w:tcBorders>
            <w:shd w:val="clear" w:color="auto" w:fill="auto"/>
            <w:vAlign w:val="center"/>
            <w:hideMark/>
          </w:tcPr>
          <w:p w14:paraId="478A6CFD"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Lote 1</w:t>
            </w:r>
          </w:p>
        </w:tc>
        <w:tc>
          <w:tcPr>
            <w:tcW w:w="1417" w:type="dxa"/>
            <w:tcBorders>
              <w:top w:val="single" w:sz="2" w:space="0" w:color="auto"/>
              <w:left w:val="nil"/>
              <w:bottom w:val="single" w:sz="2" w:space="0" w:color="auto"/>
              <w:right w:val="nil"/>
            </w:tcBorders>
            <w:shd w:val="clear" w:color="auto" w:fill="auto"/>
            <w:vAlign w:val="center"/>
            <w:hideMark/>
          </w:tcPr>
          <w:p w14:paraId="2483F556"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Abierto sin publicidad europea</w:t>
            </w:r>
          </w:p>
        </w:tc>
        <w:tc>
          <w:tcPr>
            <w:tcW w:w="1134" w:type="dxa"/>
            <w:tcBorders>
              <w:top w:val="single" w:sz="2" w:space="0" w:color="auto"/>
              <w:left w:val="nil"/>
              <w:bottom w:val="single" w:sz="2" w:space="0" w:color="auto"/>
              <w:right w:val="nil"/>
            </w:tcBorders>
            <w:shd w:val="clear" w:color="auto" w:fill="auto"/>
            <w:vAlign w:val="center"/>
            <w:hideMark/>
          </w:tcPr>
          <w:p w14:paraId="7567AC65"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3</w:t>
            </w:r>
          </w:p>
        </w:tc>
        <w:tc>
          <w:tcPr>
            <w:tcW w:w="993" w:type="dxa"/>
            <w:tcBorders>
              <w:top w:val="single" w:sz="2" w:space="0" w:color="auto"/>
              <w:left w:val="nil"/>
              <w:bottom w:val="single" w:sz="2" w:space="0" w:color="auto"/>
              <w:right w:val="nil"/>
            </w:tcBorders>
            <w:shd w:val="clear" w:color="auto" w:fill="auto"/>
            <w:vAlign w:val="center"/>
            <w:hideMark/>
          </w:tcPr>
          <w:p w14:paraId="254D9BD3"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278.000</w:t>
            </w:r>
            <w:r w:rsidRPr="00214E06">
              <w:rPr>
                <w:rFonts w:ascii="Arial Narrow" w:hAnsi="Arial Narrow" w:cs="Calibri"/>
                <w:color w:val="000000"/>
                <w:sz w:val="16"/>
                <w:szCs w:val="16"/>
                <w:lang w:val="es-ES" w:eastAsia="es-ES"/>
              </w:rPr>
              <w:t> </w:t>
            </w:r>
          </w:p>
        </w:tc>
        <w:tc>
          <w:tcPr>
            <w:tcW w:w="995" w:type="dxa"/>
            <w:tcBorders>
              <w:top w:val="single" w:sz="2" w:space="0" w:color="auto"/>
              <w:left w:val="nil"/>
              <w:bottom w:val="single" w:sz="2" w:space="0" w:color="auto"/>
              <w:right w:val="nil"/>
            </w:tcBorders>
            <w:shd w:val="clear" w:color="auto" w:fill="auto"/>
            <w:vAlign w:val="center"/>
            <w:hideMark/>
          </w:tcPr>
          <w:p w14:paraId="2D5FAE51"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227.960</w:t>
            </w:r>
          </w:p>
        </w:tc>
        <w:tc>
          <w:tcPr>
            <w:tcW w:w="564" w:type="dxa"/>
            <w:tcBorders>
              <w:top w:val="single" w:sz="2" w:space="0" w:color="auto"/>
              <w:left w:val="nil"/>
              <w:bottom w:val="single" w:sz="2" w:space="0" w:color="auto"/>
              <w:right w:val="nil"/>
            </w:tcBorders>
            <w:shd w:val="clear" w:color="auto" w:fill="auto"/>
            <w:vAlign w:val="center"/>
            <w:hideMark/>
          </w:tcPr>
          <w:p w14:paraId="4AAF29E6"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18</w:t>
            </w:r>
            <w:r w:rsidRPr="00214E06">
              <w:rPr>
                <w:rFonts w:ascii="Arial Narrow" w:hAnsi="Arial Narrow" w:cs="Calibri"/>
                <w:color w:val="000000"/>
                <w:sz w:val="16"/>
                <w:szCs w:val="16"/>
                <w:lang w:val="es-ES" w:eastAsia="es-ES"/>
              </w:rPr>
              <w:t> </w:t>
            </w:r>
          </w:p>
        </w:tc>
      </w:tr>
      <w:tr w:rsidR="00807992" w:rsidRPr="00214E06" w14:paraId="5B963E5D" w14:textId="77777777" w:rsidTr="004134E1">
        <w:trPr>
          <w:trHeight w:val="198"/>
        </w:trPr>
        <w:tc>
          <w:tcPr>
            <w:tcW w:w="3119" w:type="dxa"/>
            <w:vMerge/>
            <w:tcBorders>
              <w:top w:val="single" w:sz="2" w:space="0" w:color="auto"/>
              <w:left w:val="nil"/>
              <w:bottom w:val="single" w:sz="2" w:space="0" w:color="auto"/>
              <w:right w:val="nil"/>
            </w:tcBorders>
            <w:vAlign w:val="center"/>
            <w:hideMark/>
          </w:tcPr>
          <w:p w14:paraId="0D974CEF"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p>
        </w:tc>
        <w:tc>
          <w:tcPr>
            <w:tcW w:w="567" w:type="dxa"/>
            <w:tcBorders>
              <w:top w:val="single" w:sz="2" w:space="0" w:color="auto"/>
              <w:left w:val="nil"/>
              <w:bottom w:val="single" w:sz="2" w:space="0" w:color="auto"/>
              <w:right w:val="nil"/>
            </w:tcBorders>
            <w:shd w:val="clear" w:color="auto" w:fill="auto"/>
            <w:vAlign w:val="center"/>
            <w:hideMark/>
          </w:tcPr>
          <w:p w14:paraId="006F3296"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Lote 2</w:t>
            </w:r>
          </w:p>
        </w:tc>
        <w:tc>
          <w:tcPr>
            <w:tcW w:w="1417" w:type="dxa"/>
            <w:tcBorders>
              <w:top w:val="single" w:sz="2" w:space="0" w:color="auto"/>
              <w:left w:val="nil"/>
              <w:bottom w:val="single" w:sz="2" w:space="0" w:color="auto"/>
              <w:right w:val="nil"/>
            </w:tcBorders>
            <w:shd w:val="clear" w:color="auto" w:fill="auto"/>
            <w:vAlign w:val="center"/>
            <w:hideMark/>
          </w:tcPr>
          <w:p w14:paraId="44F45C17"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Abierto sin publicidad europea</w:t>
            </w:r>
          </w:p>
        </w:tc>
        <w:tc>
          <w:tcPr>
            <w:tcW w:w="1134" w:type="dxa"/>
            <w:tcBorders>
              <w:top w:val="single" w:sz="2" w:space="0" w:color="auto"/>
              <w:left w:val="nil"/>
              <w:bottom w:val="single" w:sz="2" w:space="0" w:color="auto"/>
              <w:right w:val="nil"/>
            </w:tcBorders>
            <w:shd w:val="clear" w:color="auto" w:fill="auto"/>
            <w:vAlign w:val="center"/>
            <w:hideMark/>
          </w:tcPr>
          <w:p w14:paraId="6D7DAFA7"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3</w:t>
            </w:r>
          </w:p>
        </w:tc>
        <w:tc>
          <w:tcPr>
            <w:tcW w:w="993" w:type="dxa"/>
            <w:tcBorders>
              <w:top w:val="single" w:sz="2" w:space="0" w:color="auto"/>
              <w:left w:val="nil"/>
              <w:bottom w:val="single" w:sz="2" w:space="0" w:color="auto"/>
              <w:right w:val="nil"/>
            </w:tcBorders>
            <w:shd w:val="clear" w:color="auto" w:fill="auto"/>
            <w:vAlign w:val="center"/>
            <w:hideMark/>
          </w:tcPr>
          <w:p w14:paraId="09C8820C"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242.000</w:t>
            </w:r>
          </w:p>
        </w:tc>
        <w:tc>
          <w:tcPr>
            <w:tcW w:w="995" w:type="dxa"/>
            <w:tcBorders>
              <w:top w:val="single" w:sz="2" w:space="0" w:color="auto"/>
              <w:left w:val="nil"/>
              <w:bottom w:val="single" w:sz="2" w:space="0" w:color="auto"/>
              <w:right w:val="nil"/>
            </w:tcBorders>
            <w:shd w:val="clear" w:color="auto" w:fill="auto"/>
            <w:vAlign w:val="center"/>
            <w:hideMark/>
          </w:tcPr>
          <w:p w14:paraId="6C31BAE2"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173.749</w:t>
            </w:r>
          </w:p>
        </w:tc>
        <w:tc>
          <w:tcPr>
            <w:tcW w:w="564" w:type="dxa"/>
            <w:tcBorders>
              <w:top w:val="single" w:sz="2" w:space="0" w:color="auto"/>
              <w:left w:val="nil"/>
              <w:bottom w:val="single" w:sz="2" w:space="0" w:color="auto"/>
              <w:right w:val="nil"/>
            </w:tcBorders>
            <w:shd w:val="clear" w:color="auto" w:fill="auto"/>
            <w:vAlign w:val="center"/>
            <w:hideMark/>
          </w:tcPr>
          <w:p w14:paraId="4ADB569A"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28</w:t>
            </w:r>
          </w:p>
        </w:tc>
      </w:tr>
      <w:tr w:rsidR="00807992" w:rsidRPr="00214E06" w14:paraId="42DA577A" w14:textId="77777777" w:rsidTr="004134E1">
        <w:trPr>
          <w:trHeight w:val="198"/>
        </w:trPr>
        <w:tc>
          <w:tcPr>
            <w:tcW w:w="3119" w:type="dxa"/>
            <w:vMerge/>
            <w:tcBorders>
              <w:top w:val="single" w:sz="2" w:space="0" w:color="auto"/>
              <w:left w:val="nil"/>
              <w:bottom w:val="single" w:sz="2" w:space="0" w:color="auto"/>
              <w:right w:val="nil"/>
            </w:tcBorders>
            <w:vAlign w:val="center"/>
            <w:hideMark/>
          </w:tcPr>
          <w:p w14:paraId="2DE36F9F"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p>
        </w:tc>
        <w:tc>
          <w:tcPr>
            <w:tcW w:w="567" w:type="dxa"/>
            <w:tcBorders>
              <w:top w:val="single" w:sz="2" w:space="0" w:color="auto"/>
              <w:left w:val="nil"/>
              <w:bottom w:val="single" w:sz="2" w:space="0" w:color="auto"/>
              <w:right w:val="nil"/>
            </w:tcBorders>
            <w:shd w:val="clear" w:color="auto" w:fill="auto"/>
            <w:vAlign w:val="center"/>
            <w:hideMark/>
          </w:tcPr>
          <w:p w14:paraId="093DE794"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Lote 3</w:t>
            </w:r>
          </w:p>
        </w:tc>
        <w:tc>
          <w:tcPr>
            <w:tcW w:w="1417" w:type="dxa"/>
            <w:tcBorders>
              <w:top w:val="single" w:sz="2" w:space="0" w:color="auto"/>
              <w:left w:val="nil"/>
              <w:bottom w:val="single" w:sz="2" w:space="0" w:color="auto"/>
              <w:right w:val="nil"/>
            </w:tcBorders>
            <w:shd w:val="clear" w:color="auto" w:fill="auto"/>
            <w:vAlign w:val="center"/>
            <w:hideMark/>
          </w:tcPr>
          <w:p w14:paraId="26E9D0D0"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Abierto sin publicidad europea</w:t>
            </w:r>
          </w:p>
        </w:tc>
        <w:tc>
          <w:tcPr>
            <w:tcW w:w="1134" w:type="dxa"/>
            <w:tcBorders>
              <w:top w:val="single" w:sz="2" w:space="0" w:color="auto"/>
              <w:left w:val="nil"/>
              <w:bottom w:val="single" w:sz="2" w:space="0" w:color="auto"/>
              <w:right w:val="nil"/>
            </w:tcBorders>
            <w:shd w:val="clear" w:color="auto" w:fill="auto"/>
            <w:vAlign w:val="center"/>
            <w:hideMark/>
          </w:tcPr>
          <w:p w14:paraId="72FC904E"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3</w:t>
            </w:r>
          </w:p>
        </w:tc>
        <w:tc>
          <w:tcPr>
            <w:tcW w:w="993" w:type="dxa"/>
            <w:tcBorders>
              <w:top w:val="single" w:sz="2" w:space="0" w:color="auto"/>
              <w:left w:val="nil"/>
              <w:bottom w:val="single" w:sz="2" w:space="0" w:color="auto"/>
              <w:right w:val="nil"/>
            </w:tcBorders>
            <w:shd w:val="clear" w:color="auto" w:fill="auto"/>
            <w:vAlign w:val="center"/>
            <w:hideMark/>
          </w:tcPr>
          <w:p w14:paraId="5E38EAE2"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90.000</w:t>
            </w:r>
            <w:r w:rsidRPr="00214E06">
              <w:rPr>
                <w:rFonts w:ascii="Arial Narrow" w:hAnsi="Arial Narrow" w:cs="Calibri"/>
                <w:color w:val="000000"/>
                <w:sz w:val="16"/>
                <w:szCs w:val="16"/>
                <w:lang w:val="es-ES" w:eastAsia="es-ES"/>
              </w:rPr>
              <w:t> </w:t>
            </w:r>
          </w:p>
        </w:tc>
        <w:tc>
          <w:tcPr>
            <w:tcW w:w="995" w:type="dxa"/>
            <w:tcBorders>
              <w:top w:val="single" w:sz="2" w:space="0" w:color="auto"/>
              <w:left w:val="nil"/>
              <w:bottom w:val="single" w:sz="2" w:space="0" w:color="auto"/>
              <w:right w:val="nil"/>
            </w:tcBorders>
            <w:shd w:val="clear" w:color="auto" w:fill="auto"/>
            <w:vAlign w:val="center"/>
            <w:hideMark/>
          </w:tcPr>
          <w:p w14:paraId="4897C554"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79.200</w:t>
            </w:r>
          </w:p>
        </w:tc>
        <w:tc>
          <w:tcPr>
            <w:tcW w:w="564" w:type="dxa"/>
            <w:tcBorders>
              <w:top w:val="single" w:sz="2" w:space="0" w:color="auto"/>
              <w:left w:val="nil"/>
              <w:bottom w:val="single" w:sz="2" w:space="0" w:color="auto"/>
              <w:right w:val="nil"/>
            </w:tcBorders>
            <w:shd w:val="clear" w:color="auto" w:fill="auto"/>
            <w:vAlign w:val="center"/>
            <w:hideMark/>
          </w:tcPr>
          <w:p w14:paraId="017A1092"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12</w:t>
            </w:r>
            <w:r w:rsidRPr="00214E06">
              <w:rPr>
                <w:rFonts w:ascii="Arial Narrow" w:hAnsi="Arial Narrow" w:cs="Calibri"/>
                <w:color w:val="000000"/>
                <w:sz w:val="16"/>
                <w:szCs w:val="16"/>
                <w:lang w:val="es-ES" w:eastAsia="es-ES"/>
              </w:rPr>
              <w:t> </w:t>
            </w:r>
          </w:p>
        </w:tc>
      </w:tr>
      <w:tr w:rsidR="00807992" w:rsidRPr="00214E06" w14:paraId="2C5A0240" w14:textId="77777777" w:rsidTr="004134E1">
        <w:trPr>
          <w:trHeight w:val="198"/>
        </w:trPr>
        <w:tc>
          <w:tcPr>
            <w:tcW w:w="3119" w:type="dxa"/>
            <w:tcBorders>
              <w:top w:val="single" w:sz="2" w:space="0" w:color="auto"/>
              <w:left w:val="nil"/>
              <w:bottom w:val="single" w:sz="2" w:space="0" w:color="auto"/>
              <w:right w:val="nil"/>
            </w:tcBorders>
            <w:shd w:val="clear" w:color="auto" w:fill="auto"/>
            <w:vAlign w:val="center"/>
            <w:hideMark/>
          </w:tcPr>
          <w:p w14:paraId="4D5AC421"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 xml:space="preserve">Dirección de obra del proyecto de reurbanización de las calles Manuel de falla, Río </w:t>
            </w:r>
            <w:proofErr w:type="spellStart"/>
            <w:r w:rsidRPr="00214E06">
              <w:rPr>
                <w:rFonts w:ascii="Arial Narrow" w:hAnsi="Arial Narrow" w:cs="Calibri"/>
                <w:color w:val="000000"/>
                <w:sz w:val="16"/>
                <w:szCs w:val="16"/>
                <w:lang w:val="es-ES" w:eastAsia="es-ES"/>
              </w:rPr>
              <w:t>Urrobi</w:t>
            </w:r>
            <w:proofErr w:type="spellEnd"/>
            <w:r w:rsidRPr="00214E06">
              <w:rPr>
                <w:rFonts w:ascii="Arial Narrow" w:hAnsi="Arial Narrow" w:cs="Calibri"/>
                <w:color w:val="000000"/>
                <w:sz w:val="16"/>
                <w:szCs w:val="16"/>
                <w:lang w:val="es-ES" w:eastAsia="es-ES"/>
              </w:rPr>
              <w:t xml:space="preserve"> y Río Irati</w:t>
            </w:r>
          </w:p>
        </w:tc>
        <w:tc>
          <w:tcPr>
            <w:tcW w:w="567" w:type="dxa"/>
            <w:tcBorders>
              <w:top w:val="single" w:sz="2" w:space="0" w:color="auto"/>
              <w:left w:val="nil"/>
              <w:bottom w:val="single" w:sz="2" w:space="0" w:color="auto"/>
              <w:right w:val="nil"/>
            </w:tcBorders>
            <w:shd w:val="clear" w:color="auto" w:fill="auto"/>
            <w:vAlign w:val="center"/>
            <w:hideMark/>
          </w:tcPr>
          <w:p w14:paraId="2E22FF01" w14:textId="77777777" w:rsidR="00807992" w:rsidRPr="00214E06" w:rsidRDefault="00807992" w:rsidP="00807992">
            <w:pPr>
              <w:spacing w:after="0"/>
              <w:ind w:firstLine="0"/>
              <w:jc w:val="left"/>
              <w:rPr>
                <w:rFonts w:ascii="Arial Narrow" w:hAnsi="Arial Narrow" w:cs="Calibri"/>
                <w:color w:val="000000"/>
                <w:sz w:val="16"/>
                <w:szCs w:val="16"/>
                <w:lang w:val="es-ES" w:eastAsia="es-ES"/>
              </w:rPr>
            </w:pPr>
            <w:r w:rsidRPr="00214E06">
              <w:rPr>
                <w:rFonts w:ascii="Arial Narrow" w:hAnsi="Arial Narrow" w:cs="Calibri"/>
                <w:color w:val="000000"/>
                <w:sz w:val="16"/>
                <w:szCs w:val="16"/>
                <w:lang w:val="es-ES" w:eastAsia="es-ES"/>
              </w:rPr>
              <w:t> </w:t>
            </w:r>
          </w:p>
        </w:tc>
        <w:tc>
          <w:tcPr>
            <w:tcW w:w="1417" w:type="dxa"/>
            <w:tcBorders>
              <w:top w:val="single" w:sz="2" w:space="0" w:color="auto"/>
              <w:left w:val="nil"/>
              <w:bottom w:val="single" w:sz="2" w:space="0" w:color="auto"/>
              <w:right w:val="nil"/>
            </w:tcBorders>
            <w:shd w:val="clear" w:color="auto" w:fill="auto"/>
            <w:vAlign w:val="center"/>
            <w:hideMark/>
          </w:tcPr>
          <w:p w14:paraId="0F9D9B1D"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Negociado sin convocatoria de licitación</w:t>
            </w:r>
            <w:r w:rsidRPr="00214E06">
              <w:rPr>
                <w:rFonts w:ascii="Arial Narrow" w:hAnsi="Arial Narrow" w:cs="Calibri"/>
                <w:color w:val="000000"/>
                <w:sz w:val="16"/>
                <w:szCs w:val="16"/>
                <w:lang w:val="es-ES" w:eastAsia="es-ES"/>
              </w:rPr>
              <w:t> </w:t>
            </w:r>
          </w:p>
        </w:tc>
        <w:tc>
          <w:tcPr>
            <w:tcW w:w="1134" w:type="dxa"/>
            <w:tcBorders>
              <w:top w:val="single" w:sz="2" w:space="0" w:color="auto"/>
              <w:left w:val="nil"/>
              <w:bottom w:val="single" w:sz="2" w:space="0" w:color="auto"/>
              <w:right w:val="nil"/>
            </w:tcBorders>
            <w:shd w:val="clear" w:color="auto" w:fill="auto"/>
            <w:vAlign w:val="center"/>
            <w:hideMark/>
          </w:tcPr>
          <w:p w14:paraId="2C546188"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w:t>
            </w:r>
            <w:r w:rsidRPr="00214E06">
              <w:rPr>
                <w:rFonts w:ascii="Arial Narrow" w:hAnsi="Arial Narrow" w:cs="Calibri"/>
                <w:color w:val="000000"/>
                <w:sz w:val="16"/>
                <w:szCs w:val="16"/>
                <w:lang w:val="es-ES" w:eastAsia="es-ES"/>
              </w:rPr>
              <w:t> </w:t>
            </w:r>
          </w:p>
        </w:tc>
        <w:tc>
          <w:tcPr>
            <w:tcW w:w="993" w:type="dxa"/>
            <w:tcBorders>
              <w:top w:val="single" w:sz="2" w:space="0" w:color="auto"/>
              <w:left w:val="nil"/>
              <w:bottom w:val="single" w:sz="2" w:space="0" w:color="auto"/>
              <w:right w:val="nil"/>
            </w:tcBorders>
            <w:shd w:val="clear" w:color="auto" w:fill="auto"/>
            <w:vAlign w:val="center"/>
            <w:hideMark/>
          </w:tcPr>
          <w:p w14:paraId="3C2E6883"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78.441</w:t>
            </w:r>
            <w:r w:rsidRPr="00214E06">
              <w:rPr>
                <w:rFonts w:ascii="Arial Narrow" w:hAnsi="Arial Narrow" w:cs="Calibri"/>
                <w:color w:val="000000"/>
                <w:sz w:val="16"/>
                <w:szCs w:val="16"/>
                <w:lang w:val="es-ES" w:eastAsia="es-ES"/>
              </w:rPr>
              <w:t> </w:t>
            </w:r>
          </w:p>
        </w:tc>
        <w:tc>
          <w:tcPr>
            <w:tcW w:w="995" w:type="dxa"/>
            <w:tcBorders>
              <w:top w:val="single" w:sz="2" w:space="0" w:color="auto"/>
              <w:left w:val="nil"/>
              <w:bottom w:val="single" w:sz="2" w:space="0" w:color="auto"/>
              <w:right w:val="nil"/>
            </w:tcBorders>
            <w:shd w:val="clear" w:color="auto" w:fill="auto"/>
            <w:vAlign w:val="center"/>
            <w:hideMark/>
          </w:tcPr>
          <w:p w14:paraId="5B6C35B7" w14:textId="77777777" w:rsidR="00807992" w:rsidRPr="00214E06" w:rsidRDefault="00807992"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72.379</w:t>
            </w:r>
            <w:r w:rsidRPr="00214E06">
              <w:rPr>
                <w:rFonts w:ascii="Arial Narrow" w:hAnsi="Arial Narrow" w:cs="Calibri"/>
                <w:color w:val="000000"/>
                <w:sz w:val="16"/>
                <w:szCs w:val="16"/>
                <w:lang w:val="es-ES" w:eastAsia="es-ES"/>
              </w:rPr>
              <w:t> </w:t>
            </w:r>
          </w:p>
        </w:tc>
        <w:tc>
          <w:tcPr>
            <w:tcW w:w="564" w:type="dxa"/>
            <w:tcBorders>
              <w:top w:val="single" w:sz="2" w:space="0" w:color="auto"/>
              <w:left w:val="nil"/>
              <w:bottom w:val="single" w:sz="2" w:space="0" w:color="auto"/>
              <w:right w:val="nil"/>
            </w:tcBorders>
            <w:shd w:val="clear" w:color="auto" w:fill="auto"/>
            <w:vAlign w:val="center"/>
            <w:hideMark/>
          </w:tcPr>
          <w:p w14:paraId="61559C4C" w14:textId="77777777" w:rsidR="00807992" w:rsidRPr="00214E06" w:rsidRDefault="00F3351E" w:rsidP="004134E1">
            <w:pPr>
              <w:spacing w:after="0"/>
              <w:ind w:firstLine="0"/>
              <w:jc w:val="right"/>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8</w:t>
            </w:r>
            <w:r w:rsidR="00807992" w:rsidRPr="00214E06">
              <w:rPr>
                <w:rFonts w:ascii="Arial Narrow" w:hAnsi="Arial Narrow" w:cs="Calibri"/>
                <w:color w:val="000000"/>
                <w:sz w:val="16"/>
                <w:szCs w:val="16"/>
                <w:lang w:val="es-ES" w:eastAsia="es-ES"/>
              </w:rPr>
              <w:t> </w:t>
            </w:r>
          </w:p>
        </w:tc>
      </w:tr>
      <w:tr w:rsidR="00807992" w:rsidRPr="00DD7910" w14:paraId="45A7BCD4" w14:textId="77777777" w:rsidTr="004134E1">
        <w:trPr>
          <w:trHeight w:val="198"/>
        </w:trPr>
        <w:tc>
          <w:tcPr>
            <w:tcW w:w="3119" w:type="dxa"/>
            <w:tcBorders>
              <w:top w:val="single" w:sz="2" w:space="0" w:color="auto"/>
              <w:left w:val="nil"/>
              <w:bottom w:val="single" w:sz="4" w:space="0" w:color="auto"/>
              <w:right w:val="nil"/>
            </w:tcBorders>
            <w:shd w:val="clear" w:color="auto" w:fill="auto"/>
            <w:vAlign w:val="center"/>
          </w:tcPr>
          <w:p w14:paraId="141527A5" w14:textId="77777777" w:rsidR="00807992" w:rsidRPr="00DD7910" w:rsidRDefault="00807992" w:rsidP="00807992">
            <w:pPr>
              <w:spacing w:after="0"/>
              <w:ind w:firstLine="0"/>
              <w:jc w:val="left"/>
              <w:rPr>
                <w:rFonts w:ascii="Arial Narrow" w:hAnsi="Arial Narrow" w:cs="Calibri"/>
                <w:sz w:val="16"/>
                <w:szCs w:val="16"/>
                <w:lang w:val="es-ES" w:eastAsia="es-ES"/>
              </w:rPr>
            </w:pPr>
            <w:r w:rsidRPr="00DD7910">
              <w:rPr>
                <w:rFonts w:ascii="Arial Narrow" w:hAnsi="Arial Narrow" w:cs="Calibri"/>
                <w:sz w:val="16"/>
                <w:szCs w:val="16"/>
                <w:lang w:val="es-ES" w:eastAsia="es-ES"/>
              </w:rPr>
              <w:t>Redacción Proyecto Refuerzo estructural y acondicionamiento pasarela Labrit</w:t>
            </w:r>
          </w:p>
        </w:tc>
        <w:tc>
          <w:tcPr>
            <w:tcW w:w="567" w:type="dxa"/>
            <w:tcBorders>
              <w:top w:val="single" w:sz="2" w:space="0" w:color="auto"/>
              <w:left w:val="nil"/>
              <w:bottom w:val="single" w:sz="4" w:space="0" w:color="auto"/>
              <w:right w:val="nil"/>
            </w:tcBorders>
            <w:shd w:val="clear" w:color="auto" w:fill="auto"/>
            <w:vAlign w:val="center"/>
          </w:tcPr>
          <w:p w14:paraId="0A9EA8FB" w14:textId="77777777" w:rsidR="00807992" w:rsidRPr="00DD7910" w:rsidRDefault="00807992" w:rsidP="00807992">
            <w:pPr>
              <w:spacing w:after="0"/>
              <w:ind w:firstLine="0"/>
              <w:jc w:val="left"/>
              <w:rPr>
                <w:rFonts w:ascii="Arial Narrow" w:hAnsi="Arial Narrow" w:cs="Calibri"/>
                <w:sz w:val="16"/>
                <w:szCs w:val="16"/>
                <w:lang w:val="es-ES" w:eastAsia="es-ES"/>
              </w:rPr>
            </w:pPr>
          </w:p>
        </w:tc>
        <w:tc>
          <w:tcPr>
            <w:tcW w:w="1417" w:type="dxa"/>
            <w:tcBorders>
              <w:top w:val="single" w:sz="2" w:space="0" w:color="auto"/>
              <w:left w:val="nil"/>
              <w:bottom w:val="single" w:sz="4" w:space="0" w:color="auto"/>
              <w:right w:val="nil"/>
            </w:tcBorders>
            <w:shd w:val="clear" w:color="auto" w:fill="auto"/>
            <w:vAlign w:val="center"/>
          </w:tcPr>
          <w:p w14:paraId="03C555F7" w14:textId="77777777" w:rsidR="00807992" w:rsidRPr="00DD7910" w:rsidRDefault="00807992" w:rsidP="004134E1">
            <w:pPr>
              <w:spacing w:after="0"/>
              <w:ind w:firstLine="0"/>
              <w:jc w:val="right"/>
              <w:rPr>
                <w:rFonts w:ascii="Arial Narrow" w:hAnsi="Arial Narrow" w:cs="Calibri"/>
                <w:sz w:val="16"/>
                <w:szCs w:val="16"/>
                <w:lang w:val="es-ES" w:eastAsia="es-ES"/>
              </w:rPr>
            </w:pPr>
            <w:r w:rsidRPr="00DD7910">
              <w:rPr>
                <w:rFonts w:ascii="Arial Narrow" w:hAnsi="Arial Narrow" w:cs="Calibri"/>
                <w:sz w:val="16"/>
                <w:szCs w:val="16"/>
                <w:lang w:val="es-ES" w:eastAsia="es-ES"/>
              </w:rPr>
              <w:t>Abierto sin publicidad europea </w:t>
            </w:r>
          </w:p>
        </w:tc>
        <w:tc>
          <w:tcPr>
            <w:tcW w:w="1134" w:type="dxa"/>
            <w:tcBorders>
              <w:top w:val="single" w:sz="2" w:space="0" w:color="auto"/>
              <w:left w:val="nil"/>
              <w:bottom w:val="single" w:sz="4" w:space="0" w:color="auto"/>
              <w:right w:val="nil"/>
            </w:tcBorders>
            <w:shd w:val="clear" w:color="auto" w:fill="auto"/>
            <w:vAlign w:val="center"/>
          </w:tcPr>
          <w:p w14:paraId="447FA1B9" w14:textId="77777777" w:rsidR="00807992" w:rsidRPr="00DD7910" w:rsidRDefault="00807992" w:rsidP="004134E1">
            <w:pPr>
              <w:spacing w:after="0"/>
              <w:ind w:firstLine="0"/>
              <w:jc w:val="right"/>
              <w:rPr>
                <w:rFonts w:ascii="Arial Narrow" w:hAnsi="Arial Narrow" w:cs="Calibri"/>
                <w:sz w:val="16"/>
                <w:szCs w:val="16"/>
                <w:lang w:val="es-ES" w:eastAsia="es-ES"/>
              </w:rPr>
            </w:pPr>
            <w:r>
              <w:rPr>
                <w:rFonts w:ascii="Arial Narrow" w:hAnsi="Arial Narrow" w:cs="Calibri"/>
                <w:sz w:val="16"/>
                <w:szCs w:val="16"/>
                <w:lang w:val="es-ES" w:eastAsia="es-ES"/>
              </w:rPr>
              <w:t>2</w:t>
            </w:r>
          </w:p>
        </w:tc>
        <w:tc>
          <w:tcPr>
            <w:tcW w:w="993" w:type="dxa"/>
            <w:tcBorders>
              <w:top w:val="single" w:sz="2" w:space="0" w:color="auto"/>
              <w:left w:val="nil"/>
              <w:bottom w:val="single" w:sz="4" w:space="0" w:color="auto"/>
              <w:right w:val="nil"/>
            </w:tcBorders>
            <w:shd w:val="clear" w:color="auto" w:fill="auto"/>
            <w:vAlign w:val="center"/>
          </w:tcPr>
          <w:p w14:paraId="6F6C0A80" w14:textId="77777777" w:rsidR="00807992" w:rsidRPr="00DD7910" w:rsidRDefault="00807992" w:rsidP="004134E1">
            <w:pPr>
              <w:spacing w:after="0"/>
              <w:ind w:firstLine="0"/>
              <w:jc w:val="right"/>
              <w:rPr>
                <w:rFonts w:ascii="Arial Narrow" w:hAnsi="Arial Narrow" w:cs="Calibri"/>
                <w:sz w:val="16"/>
                <w:szCs w:val="16"/>
                <w:lang w:val="es-ES" w:eastAsia="es-ES"/>
              </w:rPr>
            </w:pPr>
            <w:r w:rsidRPr="00DD7910">
              <w:rPr>
                <w:rFonts w:ascii="Arial Narrow" w:hAnsi="Arial Narrow" w:cs="Calibri"/>
                <w:sz w:val="16"/>
                <w:szCs w:val="16"/>
                <w:lang w:val="es-ES" w:eastAsia="es-ES"/>
              </w:rPr>
              <w:t>36.874</w:t>
            </w:r>
          </w:p>
        </w:tc>
        <w:tc>
          <w:tcPr>
            <w:tcW w:w="995" w:type="dxa"/>
            <w:tcBorders>
              <w:top w:val="single" w:sz="2" w:space="0" w:color="auto"/>
              <w:left w:val="nil"/>
              <w:bottom w:val="single" w:sz="4" w:space="0" w:color="auto"/>
              <w:right w:val="nil"/>
            </w:tcBorders>
            <w:shd w:val="clear" w:color="auto" w:fill="auto"/>
            <w:vAlign w:val="center"/>
          </w:tcPr>
          <w:p w14:paraId="1EDBB79B" w14:textId="77777777" w:rsidR="00807992" w:rsidRPr="00DD7910" w:rsidRDefault="00807992" w:rsidP="004134E1">
            <w:pPr>
              <w:spacing w:after="0"/>
              <w:ind w:firstLine="0"/>
              <w:jc w:val="right"/>
              <w:rPr>
                <w:rFonts w:ascii="Arial Narrow" w:hAnsi="Arial Narrow" w:cs="Calibri"/>
                <w:sz w:val="16"/>
                <w:szCs w:val="16"/>
                <w:lang w:val="es-ES" w:eastAsia="es-ES"/>
              </w:rPr>
            </w:pPr>
            <w:r>
              <w:rPr>
                <w:rFonts w:ascii="Arial Narrow" w:hAnsi="Arial Narrow" w:cs="Calibri"/>
                <w:sz w:val="16"/>
                <w:szCs w:val="16"/>
                <w:lang w:val="es-ES" w:eastAsia="es-ES"/>
              </w:rPr>
              <w:t>33.002</w:t>
            </w:r>
          </w:p>
        </w:tc>
        <w:tc>
          <w:tcPr>
            <w:tcW w:w="564" w:type="dxa"/>
            <w:tcBorders>
              <w:top w:val="single" w:sz="2" w:space="0" w:color="auto"/>
              <w:left w:val="nil"/>
              <w:bottom w:val="single" w:sz="4" w:space="0" w:color="auto"/>
              <w:right w:val="nil"/>
            </w:tcBorders>
            <w:shd w:val="clear" w:color="auto" w:fill="auto"/>
            <w:vAlign w:val="center"/>
          </w:tcPr>
          <w:p w14:paraId="6E1F6662" w14:textId="77777777" w:rsidR="00807992" w:rsidRPr="00DD7910" w:rsidRDefault="00807992" w:rsidP="004134E1">
            <w:pPr>
              <w:spacing w:after="0"/>
              <w:ind w:firstLine="0"/>
              <w:jc w:val="right"/>
              <w:rPr>
                <w:rFonts w:ascii="Arial Narrow" w:hAnsi="Arial Narrow" w:cs="Calibri"/>
                <w:sz w:val="16"/>
                <w:szCs w:val="16"/>
                <w:lang w:val="es-ES" w:eastAsia="es-ES"/>
              </w:rPr>
            </w:pPr>
            <w:r>
              <w:rPr>
                <w:rFonts w:ascii="Arial Narrow" w:hAnsi="Arial Narrow" w:cs="Calibri"/>
                <w:sz w:val="16"/>
                <w:szCs w:val="16"/>
                <w:lang w:val="es-ES" w:eastAsia="es-ES"/>
              </w:rPr>
              <w:t>11</w:t>
            </w:r>
          </w:p>
        </w:tc>
      </w:tr>
      <w:tr w:rsidR="00807992" w:rsidRPr="00A430ED" w14:paraId="0CB4A175" w14:textId="77777777" w:rsidTr="004134E1">
        <w:trPr>
          <w:trHeight w:val="198"/>
        </w:trPr>
        <w:tc>
          <w:tcPr>
            <w:tcW w:w="3119" w:type="dxa"/>
            <w:tcBorders>
              <w:top w:val="single" w:sz="4" w:space="0" w:color="auto"/>
              <w:left w:val="nil"/>
              <w:bottom w:val="single" w:sz="4" w:space="0" w:color="auto"/>
              <w:right w:val="nil"/>
            </w:tcBorders>
            <w:shd w:val="clear" w:color="auto" w:fill="auto"/>
            <w:vAlign w:val="center"/>
          </w:tcPr>
          <w:p w14:paraId="4F03FB57" w14:textId="77777777" w:rsidR="00807992" w:rsidRPr="00A430ED" w:rsidRDefault="00807992" w:rsidP="00807992">
            <w:pPr>
              <w:spacing w:after="0"/>
              <w:ind w:firstLine="0"/>
              <w:jc w:val="left"/>
              <w:rPr>
                <w:rFonts w:ascii="Arial Narrow" w:hAnsi="Arial Narrow" w:cs="Calibri"/>
                <w:sz w:val="16"/>
                <w:szCs w:val="16"/>
                <w:lang w:val="es-ES" w:eastAsia="es-ES"/>
              </w:rPr>
            </w:pPr>
            <w:r w:rsidRPr="00A430ED">
              <w:rPr>
                <w:rFonts w:ascii="Arial Narrow" w:hAnsi="Arial Narrow" w:cs="Calibri"/>
                <w:sz w:val="16"/>
                <w:szCs w:val="16"/>
                <w:lang w:val="es-ES" w:eastAsia="es-ES"/>
              </w:rPr>
              <w:t>Obras de refuerzo estructural y acondicionamiento pasarela Labrit</w:t>
            </w:r>
          </w:p>
        </w:tc>
        <w:tc>
          <w:tcPr>
            <w:tcW w:w="567" w:type="dxa"/>
            <w:tcBorders>
              <w:top w:val="single" w:sz="4" w:space="0" w:color="auto"/>
              <w:left w:val="nil"/>
              <w:bottom w:val="single" w:sz="4" w:space="0" w:color="auto"/>
              <w:right w:val="nil"/>
            </w:tcBorders>
            <w:shd w:val="clear" w:color="auto" w:fill="auto"/>
            <w:vAlign w:val="center"/>
          </w:tcPr>
          <w:p w14:paraId="66CE08C7" w14:textId="77777777" w:rsidR="00807992" w:rsidRPr="00A430ED" w:rsidRDefault="00807992" w:rsidP="00807992">
            <w:pPr>
              <w:spacing w:after="0"/>
              <w:ind w:firstLine="0"/>
              <w:jc w:val="left"/>
              <w:rPr>
                <w:rFonts w:ascii="Arial Narrow" w:hAnsi="Arial Narrow" w:cs="Calibri"/>
                <w:sz w:val="16"/>
                <w:szCs w:val="16"/>
                <w:lang w:val="es-ES" w:eastAsia="es-ES"/>
              </w:rPr>
            </w:pPr>
          </w:p>
        </w:tc>
        <w:tc>
          <w:tcPr>
            <w:tcW w:w="1417" w:type="dxa"/>
            <w:tcBorders>
              <w:top w:val="single" w:sz="4" w:space="0" w:color="auto"/>
              <w:left w:val="nil"/>
              <w:bottom w:val="single" w:sz="4" w:space="0" w:color="auto"/>
              <w:right w:val="nil"/>
            </w:tcBorders>
            <w:shd w:val="clear" w:color="auto" w:fill="auto"/>
          </w:tcPr>
          <w:p w14:paraId="0933A1C6" w14:textId="77777777" w:rsidR="00807992" w:rsidRPr="00A430ED" w:rsidRDefault="00807992" w:rsidP="004134E1">
            <w:pPr>
              <w:ind w:firstLine="0"/>
              <w:jc w:val="right"/>
            </w:pPr>
            <w:r w:rsidRPr="00A430ED">
              <w:rPr>
                <w:rFonts w:ascii="Arial Narrow" w:hAnsi="Arial Narrow" w:cs="Calibri"/>
                <w:sz w:val="16"/>
                <w:szCs w:val="16"/>
                <w:lang w:val="es-ES" w:eastAsia="es-ES"/>
              </w:rPr>
              <w:t>Abierto sin publicidad europea</w:t>
            </w:r>
          </w:p>
        </w:tc>
        <w:tc>
          <w:tcPr>
            <w:tcW w:w="1134" w:type="dxa"/>
            <w:tcBorders>
              <w:top w:val="single" w:sz="4" w:space="0" w:color="auto"/>
              <w:left w:val="nil"/>
              <w:bottom w:val="single" w:sz="4" w:space="0" w:color="auto"/>
              <w:right w:val="nil"/>
            </w:tcBorders>
            <w:shd w:val="clear" w:color="auto" w:fill="auto"/>
            <w:vAlign w:val="center"/>
          </w:tcPr>
          <w:p w14:paraId="1CD1D67D" w14:textId="77777777" w:rsidR="00807992" w:rsidRPr="00A430ED" w:rsidRDefault="00807992" w:rsidP="004134E1">
            <w:pPr>
              <w:spacing w:after="0"/>
              <w:ind w:firstLine="0"/>
              <w:jc w:val="right"/>
              <w:rPr>
                <w:rFonts w:ascii="Arial Narrow" w:hAnsi="Arial Narrow" w:cs="Calibri"/>
                <w:sz w:val="16"/>
                <w:szCs w:val="16"/>
                <w:lang w:val="es-ES" w:eastAsia="es-ES"/>
              </w:rPr>
            </w:pPr>
            <w:r w:rsidRPr="00A430ED">
              <w:rPr>
                <w:rFonts w:ascii="Arial Narrow" w:hAnsi="Arial Narrow" w:cs="Calibri"/>
                <w:sz w:val="16"/>
                <w:szCs w:val="16"/>
                <w:lang w:val="es-ES" w:eastAsia="es-ES"/>
              </w:rPr>
              <w:t>3</w:t>
            </w:r>
          </w:p>
        </w:tc>
        <w:tc>
          <w:tcPr>
            <w:tcW w:w="993" w:type="dxa"/>
            <w:tcBorders>
              <w:top w:val="single" w:sz="4" w:space="0" w:color="auto"/>
              <w:left w:val="nil"/>
              <w:bottom w:val="single" w:sz="4" w:space="0" w:color="auto"/>
              <w:right w:val="nil"/>
            </w:tcBorders>
            <w:shd w:val="clear" w:color="auto" w:fill="auto"/>
            <w:vAlign w:val="center"/>
          </w:tcPr>
          <w:p w14:paraId="391E3DAC" w14:textId="77777777" w:rsidR="00807992" w:rsidRPr="00A430ED" w:rsidRDefault="00807992" w:rsidP="004134E1">
            <w:pPr>
              <w:spacing w:after="0"/>
              <w:ind w:firstLine="0"/>
              <w:jc w:val="right"/>
              <w:rPr>
                <w:rFonts w:ascii="Arial Narrow" w:hAnsi="Arial Narrow" w:cs="Calibri"/>
                <w:sz w:val="16"/>
                <w:szCs w:val="16"/>
                <w:lang w:val="es-ES" w:eastAsia="es-ES"/>
              </w:rPr>
            </w:pPr>
            <w:r>
              <w:rPr>
                <w:rFonts w:ascii="Arial Narrow" w:hAnsi="Arial Narrow" w:cs="Calibri"/>
                <w:sz w:val="16"/>
                <w:szCs w:val="16"/>
                <w:lang w:val="es-ES" w:eastAsia="es-ES"/>
              </w:rPr>
              <w:t>593.718</w:t>
            </w:r>
          </w:p>
        </w:tc>
        <w:tc>
          <w:tcPr>
            <w:tcW w:w="995" w:type="dxa"/>
            <w:tcBorders>
              <w:top w:val="single" w:sz="4" w:space="0" w:color="auto"/>
              <w:left w:val="nil"/>
              <w:bottom w:val="single" w:sz="4" w:space="0" w:color="auto"/>
              <w:right w:val="nil"/>
            </w:tcBorders>
            <w:shd w:val="clear" w:color="auto" w:fill="auto"/>
            <w:vAlign w:val="center"/>
          </w:tcPr>
          <w:p w14:paraId="5830B52B" w14:textId="77777777" w:rsidR="00807992" w:rsidRPr="00A430ED" w:rsidRDefault="00807992" w:rsidP="004134E1">
            <w:pPr>
              <w:spacing w:after="0"/>
              <w:ind w:firstLine="0"/>
              <w:jc w:val="right"/>
              <w:rPr>
                <w:rFonts w:ascii="Arial Narrow" w:hAnsi="Arial Narrow" w:cs="Calibri"/>
                <w:sz w:val="16"/>
                <w:szCs w:val="16"/>
                <w:lang w:val="es-ES" w:eastAsia="es-ES"/>
              </w:rPr>
            </w:pPr>
            <w:r>
              <w:rPr>
                <w:rFonts w:ascii="Arial Narrow" w:hAnsi="Arial Narrow" w:cs="Calibri"/>
                <w:sz w:val="16"/>
                <w:szCs w:val="16"/>
                <w:lang w:val="es-ES" w:eastAsia="es-ES"/>
              </w:rPr>
              <w:t>593.718</w:t>
            </w:r>
          </w:p>
        </w:tc>
        <w:tc>
          <w:tcPr>
            <w:tcW w:w="564" w:type="dxa"/>
            <w:tcBorders>
              <w:top w:val="single" w:sz="4" w:space="0" w:color="auto"/>
              <w:left w:val="nil"/>
              <w:bottom w:val="single" w:sz="4" w:space="0" w:color="auto"/>
              <w:right w:val="nil"/>
            </w:tcBorders>
            <w:shd w:val="clear" w:color="auto" w:fill="auto"/>
            <w:vAlign w:val="center"/>
          </w:tcPr>
          <w:p w14:paraId="5FA3099C" w14:textId="77777777" w:rsidR="00807992" w:rsidRPr="00A430ED" w:rsidRDefault="00807992" w:rsidP="004134E1">
            <w:pPr>
              <w:spacing w:after="0"/>
              <w:ind w:firstLine="0"/>
              <w:jc w:val="right"/>
              <w:rPr>
                <w:rFonts w:ascii="Arial Narrow" w:hAnsi="Arial Narrow" w:cs="Calibri"/>
                <w:sz w:val="16"/>
                <w:szCs w:val="16"/>
                <w:lang w:val="es-ES" w:eastAsia="es-ES"/>
              </w:rPr>
            </w:pPr>
            <w:r>
              <w:rPr>
                <w:rFonts w:ascii="Arial Narrow" w:hAnsi="Arial Narrow" w:cs="Calibri"/>
                <w:sz w:val="16"/>
                <w:szCs w:val="16"/>
                <w:lang w:val="es-ES" w:eastAsia="es-ES"/>
              </w:rPr>
              <w:t>-</w:t>
            </w:r>
          </w:p>
        </w:tc>
      </w:tr>
    </w:tbl>
    <w:p w14:paraId="08A2BBAE" w14:textId="77777777" w:rsidR="000023DA" w:rsidRDefault="000023DA" w:rsidP="004134E1">
      <w:pPr>
        <w:tabs>
          <w:tab w:val="num" w:pos="360"/>
          <w:tab w:val="num" w:pos="600"/>
        </w:tabs>
        <w:spacing w:before="60" w:after="0"/>
        <w:ind w:firstLine="0"/>
        <w:jc w:val="left"/>
        <w:rPr>
          <w:rFonts w:ascii="Arial Narrow" w:hAnsi="Arial Narrow"/>
          <w:sz w:val="16"/>
          <w:szCs w:val="16"/>
          <w:lang w:val="es-ES" w:eastAsia="es-ES"/>
        </w:rPr>
      </w:pPr>
      <w:r>
        <w:rPr>
          <w:rFonts w:ascii="Arial Narrow" w:hAnsi="Arial Narrow"/>
          <w:sz w:val="16"/>
          <w:szCs w:val="16"/>
          <w:lang w:val="es-ES" w:eastAsia="es-ES"/>
        </w:rPr>
        <w:t>*El importe de licitación y el precio de adjudicación son importes IVA incluido</w:t>
      </w:r>
      <w:r w:rsidR="004134E1">
        <w:rPr>
          <w:rFonts w:ascii="Arial Narrow" w:hAnsi="Arial Narrow"/>
          <w:sz w:val="16"/>
          <w:szCs w:val="16"/>
          <w:lang w:val="es-ES" w:eastAsia="es-ES"/>
        </w:rPr>
        <w:t>.</w:t>
      </w:r>
    </w:p>
    <w:p w14:paraId="6606C233" w14:textId="77777777" w:rsidR="00807992" w:rsidRDefault="00C26216" w:rsidP="000023DA">
      <w:pPr>
        <w:tabs>
          <w:tab w:val="num" w:pos="360"/>
          <w:tab w:val="num" w:pos="600"/>
        </w:tabs>
        <w:spacing w:after="100"/>
        <w:ind w:firstLine="0"/>
        <w:jc w:val="left"/>
        <w:rPr>
          <w:rFonts w:ascii="Arial Narrow" w:hAnsi="Arial Narrow" w:cs="Calibri"/>
          <w:sz w:val="16"/>
          <w:szCs w:val="16"/>
          <w:lang w:val="es-ES" w:eastAsia="es-ES"/>
        </w:rPr>
      </w:pPr>
      <w:r>
        <w:rPr>
          <w:rFonts w:ascii="Arial Narrow" w:hAnsi="Arial Narrow" w:cs="Calibri"/>
          <w:sz w:val="16"/>
          <w:szCs w:val="16"/>
          <w:lang w:val="es-ES" w:eastAsia="es-ES"/>
        </w:rPr>
        <w:t xml:space="preserve">*En el Acuerdo Marco, el importe de licitación y el precio de adjudicación </w:t>
      </w:r>
      <w:r w:rsidR="00807992" w:rsidRPr="00FA2B37">
        <w:rPr>
          <w:rFonts w:ascii="Arial Narrow" w:hAnsi="Arial Narrow" w:cs="Calibri"/>
          <w:sz w:val="16"/>
          <w:szCs w:val="16"/>
          <w:lang w:val="es-ES" w:eastAsia="es-ES"/>
        </w:rPr>
        <w:t>se concretan en cada uno de los contratos que se adjudican posteriormente</w:t>
      </w:r>
    </w:p>
    <w:p w14:paraId="2C54FD03" w14:textId="77777777" w:rsidR="00807992" w:rsidRPr="00DD7910" w:rsidRDefault="00807992" w:rsidP="00807992">
      <w:pPr>
        <w:spacing w:before="240"/>
        <w:ind w:firstLine="284"/>
        <w:rPr>
          <w:spacing w:val="6"/>
          <w:sz w:val="26"/>
          <w:szCs w:val="24"/>
        </w:rPr>
      </w:pPr>
      <w:r w:rsidRPr="00DD7910">
        <w:rPr>
          <w:spacing w:val="6"/>
          <w:sz w:val="26"/>
          <w:szCs w:val="24"/>
        </w:rPr>
        <w:t>En general, la licitación de los contratos y su adjudicación se ha tramitado conforme a la legislación, y los gastos están aprobados, intervenidos, justificados y correctamente contabilizados y pagados. Sin embargo, se han detectado algunas incidencias en la tramitación de los expedientes revisados, de las cuales señalamos a continuación las más significativas:</w:t>
      </w:r>
    </w:p>
    <w:p w14:paraId="537B37CD" w14:textId="77777777" w:rsidR="00F3351E" w:rsidRPr="00F3351E" w:rsidRDefault="00F3351E" w:rsidP="00F3351E">
      <w:pPr>
        <w:numPr>
          <w:ilvl w:val="0"/>
          <w:numId w:val="10"/>
        </w:numPr>
        <w:tabs>
          <w:tab w:val="num" w:pos="284"/>
          <w:tab w:val="num" w:pos="600"/>
          <w:tab w:val="num" w:pos="720"/>
          <w:tab w:val="num" w:pos="1320"/>
        </w:tabs>
        <w:rPr>
          <w:rFonts w:cs="Arial"/>
          <w:spacing w:val="6"/>
          <w:sz w:val="26"/>
          <w:szCs w:val="24"/>
        </w:rPr>
      </w:pPr>
      <w:r>
        <w:rPr>
          <w:rFonts w:cs="Arial"/>
          <w:spacing w:val="6"/>
          <w:sz w:val="26"/>
          <w:szCs w:val="24"/>
        </w:rPr>
        <w:t>En el contrato de obra de adaptación de pasos de peatones a la ordenanza de movilidad, fueron objeto de valoración como criterio de adjudicación, determinados criterios sociales. Hemos observado que no han sido justificados.</w:t>
      </w:r>
    </w:p>
    <w:p w14:paraId="391899E6" w14:textId="77777777" w:rsidR="006F11C1" w:rsidRPr="008200A8" w:rsidRDefault="00807992" w:rsidP="006F11C1">
      <w:pPr>
        <w:numPr>
          <w:ilvl w:val="0"/>
          <w:numId w:val="10"/>
        </w:numPr>
        <w:tabs>
          <w:tab w:val="num" w:pos="284"/>
          <w:tab w:val="num" w:pos="600"/>
          <w:tab w:val="num" w:pos="720"/>
          <w:tab w:val="num" w:pos="1320"/>
        </w:tabs>
        <w:rPr>
          <w:rFonts w:cs="Arial"/>
          <w:spacing w:val="6"/>
          <w:sz w:val="26"/>
          <w:szCs w:val="24"/>
        </w:rPr>
      </w:pPr>
      <w:r w:rsidRPr="008200A8">
        <w:rPr>
          <w:rFonts w:cs="Arial"/>
          <w:spacing w:val="6"/>
          <w:sz w:val="26"/>
          <w:szCs w:val="24"/>
        </w:rPr>
        <w:t xml:space="preserve">En relación </w:t>
      </w:r>
      <w:r w:rsidR="00CF62A2" w:rsidRPr="008200A8">
        <w:rPr>
          <w:rFonts w:cs="Arial"/>
          <w:spacing w:val="6"/>
          <w:sz w:val="26"/>
          <w:szCs w:val="24"/>
        </w:rPr>
        <w:t>con e</w:t>
      </w:r>
      <w:r w:rsidRPr="008200A8">
        <w:rPr>
          <w:rFonts w:cs="Arial"/>
          <w:spacing w:val="6"/>
          <w:sz w:val="26"/>
          <w:szCs w:val="24"/>
        </w:rPr>
        <w:t>l precio como criterio de adjudicación establecido en los pliegos de cláusulas administrativa</w:t>
      </w:r>
      <w:r w:rsidR="006F11C1" w:rsidRPr="008200A8">
        <w:rPr>
          <w:rFonts w:cs="Arial"/>
          <w:spacing w:val="6"/>
          <w:sz w:val="26"/>
          <w:szCs w:val="24"/>
        </w:rPr>
        <w:t xml:space="preserve">s, hemos observado en </w:t>
      </w:r>
      <w:r w:rsidR="003739CB" w:rsidRPr="008200A8">
        <w:rPr>
          <w:rFonts w:cs="Arial"/>
          <w:spacing w:val="6"/>
          <w:sz w:val="26"/>
          <w:szCs w:val="24"/>
        </w:rPr>
        <w:t xml:space="preserve">el </w:t>
      </w:r>
      <w:r w:rsidRPr="008200A8">
        <w:rPr>
          <w:rFonts w:cs="Arial"/>
          <w:spacing w:val="6"/>
          <w:sz w:val="26"/>
          <w:szCs w:val="24"/>
        </w:rPr>
        <w:t xml:space="preserve">contrato de obras para la adaptación de paso de peatones a la ordenanza de movilidad, </w:t>
      </w:r>
      <w:r w:rsidR="00514797" w:rsidRPr="008200A8">
        <w:rPr>
          <w:rFonts w:cs="Arial"/>
          <w:spacing w:val="6"/>
          <w:sz w:val="26"/>
          <w:szCs w:val="24"/>
        </w:rPr>
        <w:t xml:space="preserve">que </w:t>
      </w:r>
      <w:r w:rsidRPr="008200A8">
        <w:rPr>
          <w:rFonts w:cs="Arial"/>
          <w:spacing w:val="6"/>
          <w:sz w:val="26"/>
          <w:szCs w:val="24"/>
        </w:rPr>
        <w:t xml:space="preserve">se ha previsto una fórmula de valoración de la oferta económica en la </w:t>
      </w:r>
      <w:proofErr w:type="gramStart"/>
      <w:r w:rsidRPr="008200A8">
        <w:rPr>
          <w:rFonts w:cs="Arial"/>
          <w:spacing w:val="6"/>
          <w:sz w:val="26"/>
          <w:szCs w:val="24"/>
        </w:rPr>
        <w:t>que</w:t>
      </w:r>
      <w:proofErr w:type="gramEnd"/>
      <w:r w:rsidRPr="008200A8">
        <w:rPr>
          <w:rFonts w:cs="Arial"/>
          <w:spacing w:val="6"/>
          <w:sz w:val="26"/>
          <w:szCs w:val="24"/>
        </w:rPr>
        <w:t xml:space="preserve"> superado un nivel de baja</w:t>
      </w:r>
      <w:r w:rsidR="00EB3CE2" w:rsidRPr="008200A8">
        <w:rPr>
          <w:rFonts w:cs="Arial"/>
          <w:spacing w:val="6"/>
          <w:sz w:val="26"/>
          <w:szCs w:val="24"/>
        </w:rPr>
        <w:t xml:space="preserve"> económica</w:t>
      </w:r>
      <w:r w:rsidRPr="008200A8">
        <w:rPr>
          <w:rFonts w:cs="Arial"/>
          <w:spacing w:val="6"/>
          <w:sz w:val="26"/>
          <w:szCs w:val="24"/>
        </w:rPr>
        <w:t>, la puntuación deja de ser directamente proporcional y constante</w:t>
      </w:r>
      <w:r w:rsidR="00FC5A29" w:rsidRPr="008200A8">
        <w:rPr>
          <w:rFonts w:cs="Arial"/>
          <w:spacing w:val="6"/>
          <w:sz w:val="26"/>
          <w:szCs w:val="24"/>
        </w:rPr>
        <w:t>.</w:t>
      </w:r>
    </w:p>
    <w:p w14:paraId="7FD4F201" w14:textId="77777777" w:rsidR="00807992" w:rsidRPr="00F20E58" w:rsidRDefault="006F11C1" w:rsidP="006F11C1">
      <w:pPr>
        <w:spacing w:before="240"/>
        <w:ind w:firstLine="284"/>
        <w:rPr>
          <w:spacing w:val="6"/>
          <w:sz w:val="26"/>
          <w:szCs w:val="24"/>
        </w:rPr>
      </w:pPr>
      <w:r w:rsidRPr="006F11C1">
        <w:rPr>
          <w:spacing w:val="6"/>
          <w:sz w:val="26"/>
          <w:szCs w:val="24"/>
        </w:rPr>
        <w:t xml:space="preserve">Entendemos que </w:t>
      </w:r>
      <w:r w:rsidR="00092833">
        <w:rPr>
          <w:spacing w:val="6"/>
          <w:sz w:val="26"/>
          <w:szCs w:val="24"/>
        </w:rPr>
        <w:t>e</w:t>
      </w:r>
      <w:r w:rsidRPr="006F11C1">
        <w:rPr>
          <w:spacing w:val="6"/>
          <w:sz w:val="26"/>
          <w:szCs w:val="24"/>
        </w:rPr>
        <w:t xml:space="preserve">sta fórmula </w:t>
      </w:r>
      <w:r w:rsidR="003D644A">
        <w:rPr>
          <w:spacing w:val="6"/>
          <w:sz w:val="26"/>
          <w:szCs w:val="24"/>
        </w:rPr>
        <w:t xml:space="preserve">no incentiva </w:t>
      </w:r>
      <w:r w:rsidR="00807992" w:rsidRPr="006F11C1">
        <w:rPr>
          <w:spacing w:val="6"/>
          <w:sz w:val="26"/>
          <w:szCs w:val="24"/>
        </w:rPr>
        <w:t xml:space="preserve">que los licitadores puedan presentar ofertas más competitivas, </w:t>
      </w:r>
      <w:proofErr w:type="gramStart"/>
      <w:r w:rsidR="00131ACA">
        <w:rPr>
          <w:spacing w:val="6"/>
          <w:sz w:val="26"/>
          <w:szCs w:val="24"/>
        </w:rPr>
        <w:t>puesto que</w:t>
      </w:r>
      <w:proofErr w:type="gramEnd"/>
      <w:r>
        <w:rPr>
          <w:spacing w:val="6"/>
          <w:sz w:val="26"/>
          <w:szCs w:val="24"/>
        </w:rPr>
        <w:t xml:space="preserve"> d</w:t>
      </w:r>
      <w:r w:rsidR="00807992" w:rsidRPr="006F11C1">
        <w:rPr>
          <w:spacing w:val="6"/>
          <w:sz w:val="26"/>
          <w:szCs w:val="24"/>
        </w:rPr>
        <w:t xml:space="preserve">e antemano, se sabe que a partir de ciertos umbrales de baja </w:t>
      </w:r>
      <w:r w:rsidR="00EB3CE2">
        <w:rPr>
          <w:spacing w:val="6"/>
          <w:sz w:val="26"/>
          <w:szCs w:val="24"/>
        </w:rPr>
        <w:t xml:space="preserve">económica, </w:t>
      </w:r>
      <w:r w:rsidR="00807992" w:rsidRPr="006F11C1">
        <w:rPr>
          <w:spacing w:val="6"/>
          <w:sz w:val="26"/>
          <w:szCs w:val="24"/>
        </w:rPr>
        <w:t xml:space="preserve">el esfuerzo realizado tiene una recompensa </w:t>
      </w:r>
      <w:r w:rsidR="00807992" w:rsidRPr="00F20E58">
        <w:rPr>
          <w:spacing w:val="6"/>
          <w:sz w:val="26"/>
          <w:szCs w:val="24"/>
        </w:rPr>
        <w:t xml:space="preserve">menor. </w:t>
      </w:r>
      <w:r w:rsidR="008200A8" w:rsidRPr="00F20E58">
        <w:rPr>
          <w:spacing w:val="6"/>
          <w:sz w:val="26"/>
          <w:szCs w:val="24"/>
        </w:rPr>
        <w:t xml:space="preserve">No obstante, tal y como hemos destacado </w:t>
      </w:r>
      <w:r w:rsidR="00C4387E" w:rsidRPr="00F20E58">
        <w:rPr>
          <w:spacing w:val="6"/>
          <w:sz w:val="26"/>
          <w:szCs w:val="24"/>
        </w:rPr>
        <w:t xml:space="preserve">en el párrafo IX de nuestro informe, consta </w:t>
      </w:r>
      <w:r w:rsidR="00F20E58">
        <w:rPr>
          <w:spacing w:val="6"/>
          <w:sz w:val="26"/>
          <w:szCs w:val="24"/>
        </w:rPr>
        <w:t xml:space="preserve">una </w:t>
      </w:r>
      <w:r w:rsidR="00C4387E" w:rsidRPr="00F20E58">
        <w:rPr>
          <w:spacing w:val="6"/>
          <w:sz w:val="26"/>
          <w:szCs w:val="24"/>
        </w:rPr>
        <w:t xml:space="preserve">instrucción de </w:t>
      </w:r>
      <w:r w:rsidR="00F20E58">
        <w:rPr>
          <w:spacing w:val="6"/>
          <w:sz w:val="26"/>
          <w:szCs w:val="24"/>
        </w:rPr>
        <w:t xml:space="preserve">la </w:t>
      </w:r>
      <w:r w:rsidR="00C4387E" w:rsidRPr="00F20E58">
        <w:rPr>
          <w:spacing w:val="6"/>
          <w:sz w:val="26"/>
          <w:szCs w:val="24"/>
        </w:rPr>
        <w:t>Gerencia aprobada en octubre de 2021 relativa a la aprobación de fórmulas de valoración económica linealmente proporcionales</w:t>
      </w:r>
      <w:r w:rsidR="008200A8" w:rsidRPr="00F20E58">
        <w:rPr>
          <w:spacing w:val="6"/>
          <w:sz w:val="26"/>
          <w:szCs w:val="24"/>
        </w:rPr>
        <w:t xml:space="preserve">. El contrato revisado se licitó en abril de 2021. </w:t>
      </w:r>
    </w:p>
    <w:p w14:paraId="27550E52" w14:textId="77777777" w:rsidR="00807992" w:rsidRDefault="00807992" w:rsidP="00725269">
      <w:pPr>
        <w:numPr>
          <w:ilvl w:val="0"/>
          <w:numId w:val="10"/>
        </w:numPr>
        <w:tabs>
          <w:tab w:val="num" w:pos="284"/>
          <w:tab w:val="num" w:pos="600"/>
          <w:tab w:val="num" w:pos="720"/>
          <w:tab w:val="num" w:pos="1320"/>
        </w:tabs>
        <w:spacing w:after="120"/>
        <w:rPr>
          <w:rFonts w:cs="Arial"/>
          <w:spacing w:val="2"/>
          <w:sz w:val="26"/>
          <w:szCs w:val="24"/>
        </w:rPr>
      </w:pPr>
      <w:r w:rsidRPr="0056691D">
        <w:rPr>
          <w:rFonts w:cs="Arial"/>
          <w:spacing w:val="2"/>
          <w:sz w:val="26"/>
          <w:szCs w:val="24"/>
        </w:rPr>
        <w:lastRenderedPageBreak/>
        <w:t>No consta seguimiento y control de las condiciones especiales de ejecución, en aquellos contratos en que han sido previamente establecidos en los pliegos de cláusulas reguladoras de los contratos.</w:t>
      </w:r>
    </w:p>
    <w:p w14:paraId="0513204E" w14:textId="77777777" w:rsidR="00807992" w:rsidRDefault="006F11C1" w:rsidP="00807992">
      <w:pPr>
        <w:numPr>
          <w:ilvl w:val="0"/>
          <w:numId w:val="10"/>
        </w:numPr>
        <w:tabs>
          <w:tab w:val="num" w:pos="284"/>
          <w:tab w:val="num" w:pos="600"/>
          <w:tab w:val="num" w:pos="720"/>
          <w:tab w:val="num" w:pos="1320"/>
        </w:tabs>
        <w:rPr>
          <w:rFonts w:cs="Arial"/>
          <w:spacing w:val="2"/>
          <w:sz w:val="26"/>
          <w:szCs w:val="24"/>
        </w:rPr>
      </w:pPr>
      <w:r>
        <w:rPr>
          <w:rFonts w:cs="Arial"/>
          <w:spacing w:val="2"/>
          <w:sz w:val="26"/>
          <w:szCs w:val="24"/>
        </w:rPr>
        <w:t xml:space="preserve">En cuatro de los contratos revisados, </w:t>
      </w:r>
      <w:r w:rsidR="00807992">
        <w:rPr>
          <w:rFonts w:cs="Arial"/>
          <w:spacing w:val="2"/>
          <w:sz w:val="26"/>
          <w:szCs w:val="24"/>
        </w:rPr>
        <w:t xml:space="preserve">la formalización y la publicación de la adjudicación en el Portal de Contratación, se realiza con posterioridad a los plazos previstos en la norma contractual. </w:t>
      </w:r>
    </w:p>
    <w:p w14:paraId="49CB12DF" w14:textId="77777777" w:rsidR="00807992" w:rsidRDefault="00CF62A2" w:rsidP="00BE13E1">
      <w:pPr>
        <w:numPr>
          <w:ilvl w:val="0"/>
          <w:numId w:val="10"/>
        </w:numPr>
        <w:tabs>
          <w:tab w:val="num" w:pos="284"/>
          <w:tab w:val="num" w:pos="600"/>
          <w:tab w:val="num" w:pos="720"/>
          <w:tab w:val="num" w:pos="1320"/>
        </w:tabs>
        <w:rPr>
          <w:rFonts w:cs="Arial"/>
          <w:spacing w:val="2"/>
          <w:sz w:val="26"/>
          <w:szCs w:val="24"/>
        </w:rPr>
      </w:pPr>
      <w:r>
        <w:rPr>
          <w:rFonts w:cs="Arial"/>
          <w:spacing w:val="2"/>
          <w:sz w:val="26"/>
          <w:szCs w:val="24"/>
        </w:rPr>
        <w:t>En relación con e</w:t>
      </w:r>
      <w:r w:rsidR="00807992">
        <w:rPr>
          <w:rFonts w:cs="Arial"/>
          <w:spacing w:val="2"/>
          <w:sz w:val="26"/>
          <w:szCs w:val="24"/>
        </w:rPr>
        <w:t xml:space="preserve">l contrato de obra de refuerzo de la pasarela de Labrit, si bien </w:t>
      </w:r>
      <w:r w:rsidR="007C4DC7">
        <w:rPr>
          <w:rFonts w:cs="Arial"/>
          <w:spacing w:val="2"/>
          <w:sz w:val="26"/>
          <w:szCs w:val="24"/>
        </w:rPr>
        <w:t xml:space="preserve">no hemos detectado </w:t>
      </w:r>
      <w:r w:rsidR="00807992">
        <w:rPr>
          <w:rFonts w:cs="Arial"/>
          <w:spacing w:val="2"/>
          <w:sz w:val="26"/>
          <w:szCs w:val="24"/>
        </w:rPr>
        <w:t>deficiencias</w:t>
      </w:r>
      <w:r w:rsidR="007C4DC7">
        <w:rPr>
          <w:rFonts w:cs="Arial"/>
          <w:spacing w:val="2"/>
          <w:sz w:val="26"/>
          <w:szCs w:val="24"/>
        </w:rPr>
        <w:t xml:space="preserve"> formales</w:t>
      </w:r>
      <w:r w:rsidR="00807992">
        <w:rPr>
          <w:rFonts w:cs="Arial"/>
          <w:spacing w:val="2"/>
          <w:sz w:val="26"/>
          <w:szCs w:val="24"/>
        </w:rPr>
        <w:t xml:space="preserve"> </w:t>
      </w:r>
      <w:r w:rsidR="007C4DC7">
        <w:rPr>
          <w:rFonts w:cs="Arial"/>
          <w:spacing w:val="2"/>
          <w:sz w:val="26"/>
          <w:szCs w:val="24"/>
        </w:rPr>
        <w:t xml:space="preserve">especialmente significativas en su adjudicación, </w:t>
      </w:r>
      <w:r w:rsidR="00807992">
        <w:rPr>
          <w:rFonts w:cs="Arial"/>
          <w:spacing w:val="2"/>
          <w:sz w:val="26"/>
          <w:szCs w:val="24"/>
        </w:rPr>
        <w:t xml:space="preserve">en el Apéndice </w:t>
      </w:r>
      <w:r w:rsidR="003D644A">
        <w:rPr>
          <w:rFonts w:cs="Arial"/>
          <w:spacing w:val="2"/>
          <w:sz w:val="26"/>
          <w:szCs w:val="24"/>
        </w:rPr>
        <w:t>6</w:t>
      </w:r>
      <w:r w:rsidR="00807992">
        <w:rPr>
          <w:rFonts w:cs="Arial"/>
          <w:spacing w:val="2"/>
          <w:sz w:val="26"/>
          <w:szCs w:val="24"/>
        </w:rPr>
        <w:t xml:space="preserve"> </w:t>
      </w:r>
      <w:r w:rsidR="003D644A">
        <w:rPr>
          <w:rFonts w:cs="Arial"/>
          <w:spacing w:val="2"/>
          <w:sz w:val="26"/>
          <w:szCs w:val="24"/>
        </w:rPr>
        <w:t xml:space="preserve">hemos detallado </w:t>
      </w:r>
      <w:r w:rsidR="00807992">
        <w:rPr>
          <w:rFonts w:cs="Arial"/>
          <w:spacing w:val="2"/>
          <w:sz w:val="26"/>
          <w:szCs w:val="24"/>
        </w:rPr>
        <w:t xml:space="preserve">una cronología de los </w:t>
      </w:r>
      <w:r w:rsidR="003D644A">
        <w:rPr>
          <w:rFonts w:cs="Arial"/>
          <w:spacing w:val="2"/>
          <w:sz w:val="26"/>
          <w:szCs w:val="24"/>
        </w:rPr>
        <w:t xml:space="preserve">principales </w:t>
      </w:r>
      <w:r w:rsidR="00807992">
        <w:rPr>
          <w:rFonts w:cs="Arial"/>
          <w:spacing w:val="2"/>
          <w:sz w:val="26"/>
          <w:szCs w:val="24"/>
        </w:rPr>
        <w:t xml:space="preserve">acontecimientos y datos económicos que han afectado a esta obra, desde su adjudicación inicial en el ejercicio 2010 hasta la fecha de </w:t>
      </w:r>
      <w:r w:rsidR="00DF0BDD">
        <w:rPr>
          <w:rFonts w:cs="Arial"/>
          <w:spacing w:val="2"/>
          <w:sz w:val="26"/>
          <w:szCs w:val="24"/>
        </w:rPr>
        <w:t xml:space="preserve">finalización del trabajo de campo de </w:t>
      </w:r>
      <w:r w:rsidR="00807992">
        <w:rPr>
          <w:rFonts w:cs="Arial"/>
          <w:spacing w:val="2"/>
          <w:sz w:val="26"/>
          <w:szCs w:val="24"/>
        </w:rPr>
        <w:t>este informe.</w:t>
      </w:r>
    </w:p>
    <w:p w14:paraId="0E9FDA3E" w14:textId="77777777" w:rsidR="00807992" w:rsidRPr="005360A2" w:rsidRDefault="00807992" w:rsidP="00807992">
      <w:pPr>
        <w:tabs>
          <w:tab w:val="num" w:pos="600"/>
          <w:tab w:val="num" w:pos="720"/>
          <w:tab w:val="num" w:pos="1320"/>
        </w:tabs>
        <w:ind w:left="142" w:firstLine="0"/>
        <w:rPr>
          <w:spacing w:val="6"/>
          <w:sz w:val="26"/>
          <w:szCs w:val="24"/>
        </w:rPr>
      </w:pPr>
      <w:r w:rsidRPr="005360A2">
        <w:rPr>
          <w:spacing w:val="6"/>
          <w:sz w:val="26"/>
          <w:szCs w:val="24"/>
        </w:rPr>
        <w:t>Recomendamos:</w:t>
      </w:r>
    </w:p>
    <w:p w14:paraId="25843F36" w14:textId="77777777" w:rsidR="00C26216" w:rsidRPr="00F3351E" w:rsidRDefault="00C26216" w:rsidP="00C26216">
      <w:pPr>
        <w:numPr>
          <w:ilvl w:val="0"/>
          <w:numId w:val="10"/>
        </w:numPr>
        <w:tabs>
          <w:tab w:val="num" w:pos="284"/>
          <w:tab w:val="num" w:pos="600"/>
          <w:tab w:val="num" w:pos="720"/>
          <w:tab w:val="num" w:pos="1320"/>
        </w:tabs>
        <w:spacing w:after="160"/>
        <w:rPr>
          <w:rFonts w:cs="Arial"/>
          <w:i/>
          <w:spacing w:val="6"/>
          <w:sz w:val="26"/>
          <w:szCs w:val="24"/>
        </w:rPr>
      </w:pPr>
      <w:r w:rsidRPr="00F3351E">
        <w:rPr>
          <w:rFonts w:cs="Arial"/>
          <w:i/>
          <w:spacing w:val="6"/>
          <w:sz w:val="26"/>
          <w:szCs w:val="24"/>
        </w:rPr>
        <w:t>Comprobar el cumplimiento de aquellos requerimientos que hayan sido tenidos en cuenta como criterio de adjudicación.</w:t>
      </w:r>
    </w:p>
    <w:p w14:paraId="5D79C76B" w14:textId="77777777" w:rsidR="00C26216" w:rsidRPr="00C26216" w:rsidRDefault="00C26216" w:rsidP="00C26216">
      <w:pPr>
        <w:numPr>
          <w:ilvl w:val="0"/>
          <w:numId w:val="10"/>
        </w:numPr>
        <w:tabs>
          <w:tab w:val="num" w:pos="284"/>
          <w:tab w:val="num" w:pos="600"/>
          <w:tab w:val="num" w:pos="720"/>
          <w:tab w:val="num" w:pos="1320"/>
        </w:tabs>
        <w:spacing w:after="160"/>
        <w:rPr>
          <w:rFonts w:cs="Arial"/>
          <w:i/>
          <w:spacing w:val="6"/>
          <w:sz w:val="26"/>
          <w:szCs w:val="24"/>
        </w:rPr>
      </w:pPr>
      <w:r w:rsidRPr="005360A2">
        <w:rPr>
          <w:rFonts w:cs="Arial"/>
          <w:i/>
          <w:spacing w:val="6"/>
          <w:sz w:val="26"/>
          <w:szCs w:val="24"/>
        </w:rPr>
        <w:t>Comprobar el efectivo cumplimiento de las condiciones especiales de ejecución que se hayan establecido en los pliegos de contratación.</w:t>
      </w:r>
    </w:p>
    <w:p w14:paraId="23E434AE" w14:textId="77777777" w:rsidR="00807992" w:rsidRPr="005360A2" w:rsidRDefault="00807992" w:rsidP="00807992">
      <w:pPr>
        <w:numPr>
          <w:ilvl w:val="0"/>
          <w:numId w:val="10"/>
        </w:numPr>
        <w:tabs>
          <w:tab w:val="num" w:pos="284"/>
          <w:tab w:val="num" w:pos="600"/>
          <w:tab w:val="num" w:pos="720"/>
          <w:tab w:val="num" w:pos="1320"/>
        </w:tabs>
        <w:spacing w:after="160"/>
        <w:rPr>
          <w:rFonts w:cs="Arial"/>
          <w:i/>
          <w:spacing w:val="6"/>
          <w:sz w:val="26"/>
          <w:szCs w:val="24"/>
        </w:rPr>
      </w:pPr>
      <w:r w:rsidRPr="005360A2">
        <w:rPr>
          <w:rFonts w:cs="Arial"/>
          <w:i/>
          <w:spacing w:val="2"/>
          <w:sz w:val="26"/>
          <w:szCs w:val="24"/>
        </w:rPr>
        <w:t>P</w:t>
      </w:r>
      <w:r w:rsidRPr="005360A2">
        <w:rPr>
          <w:rFonts w:cs="Arial"/>
          <w:i/>
          <w:spacing w:val="6"/>
          <w:sz w:val="26"/>
          <w:szCs w:val="24"/>
        </w:rPr>
        <w:t xml:space="preserve">ublicar la adjudicación de los contratos en el Portal de Contratación y </w:t>
      </w:r>
      <w:r w:rsidR="006F11C1">
        <w:rPr>
          <w:rFonts w:cs="Arial"/>
          <w:i/>
          <w:spacing w:val="6"/>
          <w:sz w:val="26"/>
          <w:szCs w:val="24"/>
        </w:rPr>
        <w:t xml:space="preserve">su formalización </w:t>
      </w:r>
      <w:r w:rsidRPr="005360A2">
        <w:rPr>
          <w:rFonts w:cs="Arial"/>
          <w:i/>
          <w:spacing w:val="6"/>
          <w:sz w:val="26"/>
          <w:szCs w:val="24"/>
        </w:rPr>
        <w:t>dentro de los plazos previstos en el marco contractual.</w:t>
      </w:r>
    </w:p>
    <w:p w14:paraId="04C5C4C4" w14:textId="77777777" w:rsidR="00807992" w:rsidRPr="00A54D1E" w:rsidRDefault="00807992" w:rsidP="002C00AA">
      <w:pPr>
        <w:pStyle w:val="texto"/>
      </w:pPr>
      <w:bookmarkStart w:id="144" w:name="_Toc118266035"/>
      <w:r w:rsidRPr="00A54D1E">
        <w:t>5.</w:t>
      </w:r>
      <w:r>
        <w:t>4</w:t>
      </w:r>
      <w:r w:rsidRPr="00A54D1E">
        <w:t>.</w:t>
      </w:r>
      <w:r w:rsidR="00C1204F">
        <w:t>5</w:t>
      </w:r>
      <w:r>
        <w:t>. Gastos en transferencias</w:t>
      </w:r>
      <w:bookmarkEnd w:id="144"/>
    </w:p>
    <w:p w14:paraId="321A469B" w14:textId="77777777" w:rsidR="00807992" w:rsidRDefault="00807992" w:rsidP="00807992">
      <w:pPr>
        <w:tabs>
          <w:tab w:val="left" w:pos="480"/>
          <w:tab w:val="num" w:pos="720"/>
          <w:tab w:val="num" w:pos="1320"/>
        </w:tabs>
        <w:spacing w:after="240"/>
        <w:ind w:firstLine="284"/>
        <w:rPr>
          <w:rFonts w:cs="Arial"/>
          <w:spacing w:val="6"/>
          <w:sz w:val="26"/>
          <w:szCs w:val="24"/>
        </w:rPr>
      </w:pPr>
      <w:r>
        <w:rPr>
          <w:rFonts w:cs="Arial"/>
          <w:spacing w:val="6"/>
          <w:sz w:val="26"/>
          <w:szCs w:val="24"/>
        </w:rPr>
        <w:t>En el ejercicio 2021</w:t>
      </w:r>
      <w:r w:rsidRPr="00667DFF">
        <w:rPr>
          <w:rFonts w:cs="Arial"/>
          <w:spacing w:val="6"/>
          <w:sz w:val="26"/>
          <w:szCs w:val="24"/>
        </w:rPr>
        <w:t>, el ayuntamiento re</w:t>
      </w:r>
      <w:r>
        <w:rPr>
          <w:rFonts w:cs="Arial"/>
          <w:spacing w:val="6"/>
          <w:sz w:val="26"/>
          <w:szCs w:val="24"/>
        </w:rPr>
        <w:t>conoció obligaciones en el capítulo de t</w:t>
      </w:r>
      <w:r w:rsidRPr="00667DFF">
        <w:rPr>
          <w:rFonts w:cs="Arial"/>
          <w:spacing w:val="6"/>
          <w:sz w:val="26"/>
          <w:szCs w:val="24"/>
        </w:rPr>
        <w:t xml:space="preserve">ransferencias por un total de </w:t>
      </w:r>
      <w:r>
        <w:rPr>
          <w:rFonts w:cs="Arial"/>
          <w:spacing w:val="6"/>
          <w:sz w:val="26"/>
          <w:szCs w:val="24"/>
        </w:rPr>
        <w:t>35,05</w:t>
      </w:r>
      <w:r w:rsidRPr="00515928">
        <w:rPr>
          <w:rFonts w:cs="Arial"/>
          <w:color w:val="FF0000"/>
          <w:spacing w:val="6"/>
          <w:sz w:val="26"/>
          <w:szCs w:val="24"/>
        </w:rPr>
        <w:t xml:space="preserve"> </w:t>
      </w:r>
      <w:r w:rsidRPr="00667DFF">
        <w:rPr>
          <w:rFonts w:cs="Arial"/>
          <w:spacing w:val="6"/>
          <w:sz w:val="26"/>
          <w:szCs w:val="24"/>
        </w:rPr>
        <w:t>millones a los siguientes beneficiarios:</w:t>
      </w:r>
    </w:p>
    <w:tbl>
      <w:tblPr>
        <w:tblW w:w="5000" w:type="pct"/>
        <w:tblCellMar>
          <w:left w:w="70" w:type="dxa"/>
          <w:right w:w="70" w:type="dxa"/>
        </w:tblCellMar>
        <w:tblLook w:val="04A0" w:firstRow="1" w:lastRow="0" w:firstColumn="1" w:lastColumn="0" w:noHBand="0" w:noVBand="1"/>
      </w:tblPr>
      <w:tblGrid>
        <w:gridCol w:w="3380"/>
        <w:gridCol w:w="1216"/>
        <w:gridCol w:w="1218"/>
        <w:gridCol w:w="1368"/>
        <w:gridCol w:w="1607"/>
      </w:tblGrid>
      <w:tr w:rsidR="00807992" w:rsidRPr="00667DFF" w14:paraId="10572D63" w14:textId="77777777" w:rsidTr="00317422">
        <w:trPr>
          <w:trHeight w:val="255"/>
        </w:trPr>
        <w:tc>
          <w:tcPr>
            <w:tcW w:w="1923" w:type="pct"/>
            <w:tcBorders>
              <w:top w:val="single" w:sz="4" w:space="0" w:color="auto"/>
              <w:left w:val="nil"/>
              <w:bottom w:val="single" w:sz="4" w:space="0" w:color="auto"/>
              <w:right w:val="nil"/>
            </w:tcBorders>
            <w:shd w:val="clear" w:color="000000" w:fill="FABF8F"/>
            <w:vAlign w:val="center"/>
            <w:hideMark/>
          </w:tcPr>
          <w:p w14:paraId="35137303" w14:textId="77777777" w:rsidR="00807992" w:rsidRPr="00667DFF" w:rsidRDefault="00807992" w:rsidP="00807992">
            <w:pPr>
              <w:spacing w:after="0"/>
              <w:ind w:firstLine="0"/>
              <w:jc w:val="left"/>
              <w:rPr>
                <w:rFonts w:ascii="Arial" w:hAnsi="Arial" w:cs="Arial"/>
                <w:color w:val="000000"/>
                <w:sz w:val="18"/>
                <w:szCs w:val="18"/>
                <w:lang w:val="es-ES" w:eastAsia="es-ES"/>
              </w:rPr>
            </w:pPr>
            <w:r w:rsidRPr="00667DFF">
              <w:rPr>
                <w:rFonts w:ascii="Arial" w:hAnsi="Arial" w:cs="Arial"/>
                <w:color w:val="000000"/>
                <w:sz w:val="18"/>
                <w:szCs w:val="18"/>
                <w:lang w:val="es-ES" w:eastAsia="es-ES"/>
              </w:rPr>
              <w:t> </w:t>
            </w:r>
          </w:p>
        </w:tc>
        <w:tc>
          <w:tcPr>
            <w:tcW w:w="1385" w:type="pct"/>
            <w:gridSpan w:val="2"/>
            <w:tcBorders>
              <w:top w:val="single" w:sz="4" w:space="0" w:color="auto"/>
              <w:left w:val="nil"/>
              <w:bottom w:val="single" w:sz="4" w:space="0" w:color="auto"/>
              <w:right w:val="nil"/>
            </w:tcBorders>
            <w:shd w:val="clear" w:color="000000" w:fill="FABF8F"/>
            <w:vAlign w:val="center"/>
            <w:hideMark/>
          </w:tcPr>
          <w:p w14:paraId="4630179A" w14:textId="77777777" w:rsidR="00807992" w:rsidRPr="00667DFF" w:rsidRDefault="00807992" w:rsidP="00807992">
            <w:pPr>
              <w:spacing w:after="0"/>
              <w:ind w:firstLine="0"/>
              <w:jc w:val="center"/>
              <w:rPr>
                <w:rFonts w:ascii="Arial" w:hAnsi="Arial" w:cs="Arial"/>
                <w:color w:val="000000"/>
                <w:sz w:val="18"/>
                <w:szCs w:val="18"/>
                <w:lang w:val="es-ES" w:eastAsia="es-ES"/>
              </w:rPr>
            </w:pPr>
            <w:r w:rsidRPr="00667DFF">
              <w:rPr>
                <w:rFonts w:ascii="Arial" w:hAnsi="Arial" w:cs="Arial"/>
                <w:color w:val="000000"/>
                <w:sz w:val="18"/>
                <w:szCs w:val="18"/>
                <w:lang w:val="es-ES" w:eastAsia="es-ES"/>
              </w:rPr>
              <w:t>Transferencias corrientes</w:t>
            </w:r>
          </w:p>
        </w:tc>
        <w:tc>
          <w:tcPr>
            <w:tcW w:w="1692" w:type="pct"/>
            <w:gridSpan w:val="2"/>
            <w:tcBorders>
              <w:top w:val="single" w:sz="4" w:space="0" w:color="auto"/>
              <w:left w:val="nil"/>
              <w:bottom w:val="single" w:sz="4" w:space="0" w:color="auto"/>
              <w:right w:val="nil"/>
            </w:tcBorders>
            <w:shd w:val="clear" w:color="000000" w:fill="FABF8F"/>
            <w:vAlign w:val="center"/>
            <w:hideMark/>
          </w:tcPr>
          <w:p w14:paraId="3E063CCC" w14:textId="77777777" w:rsidR="00807992" w:rsidRPr="00667DFF" w:rsidRDefault="00807992" w:rsidP="00807992">
            <w:pPr>
              <w:spacing w:after="0"/>
              <w:ind w:firstLine="0"/>
              <w:jc w:val="center"/>
              <w:rPr>
                <w:rFonts w:ascii="Arial" w:hAnsi="Arial" w:cs="Arial"/>
                <w:color w:val="000000"/>
                <w:sz w:val="18"/>
                <w:szCs w:val="18"/>
                <w:lang w:val="es-ES" w:eastAsia="es-ES"/>
              </w:rPr>
            </w:pPr>
            <w:r w:rsidRPr="00667DFF">
              <w:rPr>
                <w:rFonts w:ascii="Arial" w:hAnsi="Arial" w:cs="Arial"/>
                <w:color w:val="000000"/>
                <w:sz w:val="18"/>
                <w:szCs w:val="18"/>
                <w:lang w:val="es-ES" w:eastAsia="es-ES"/>
              </w:rPr>
              <w:t>Transferencias de capital</w:t>
            </w:r>
          </w:p>
        </w:tc>
      </w:tr>
      <w:tr w:rsidR="00807992" w:rsidRPr="00667DFF" w14:paraId="0CA3D8F1" w14:textId="77777777" w:rsidTr="00317422">
        <w:trPr>
          <w:trHeight w:val="255"/>
        </w:trPr>
        <w:tc>
          <w:tcPr>
            <w:tcW w:w="1923" w:type="pct"/>
            <w:tcBorders>
              <w:top w:val="single" w:sz="4" w:space="0" w:color="auto"/>
              <w:left w:val="nil"/>
              <w:bottom w:val="single" w:sz="4" w:space="0" w:color="auto"/>
              <w:right w:val="nil"/>
            </w:tcBorders>
            <w:shd w:val="clear" w:color="000000" w:fill="FABF8F"/>
            <w:vAlign w:val="center"/>
            <w:hideMark/>
          </w:tcPr>
          <w:p w14:paraId="7B74E92E" w14:textId="77777777" w:rsidR="00807992" w:rsidRPr="00667DFF" w:rsidRDefault="00807992" w:rsidP="00807992">
            <w:pPr>
              <w:spacing w:after="0"/>
              <w:ind w:firstLine="0"/>
              <w:jc w:val="left"/>
              <w:rPr>
                <w:rFonts w:ascii="Arial" w:hAnsi="Arial" w:cs="Arial"/>
                <w:color w:val="000000"/>
                <w:sz w:val="18"/>
                <w:szCs w:val="18"/>
                <w:lang w:val="es-ES" w:eastAsia="es-ES"/>
              </w:rPr>
            </w:pPr>
            <w:r w:rsidRPr="00667DFF">
              <w:rPr>
                <w:rFonts w:ascii="Arial" w:hAnsi="Arial" w:cs="Arial"/>
                <w:color w:val="000000"/>
                <w:sz w:val="18"/>
                <w:szCs w:val="18"/>
                <w:lang w:val="es-ES" w:eastAsia="es-ES"/>
              </w:rPr>
              <w:t> </w:t>
            </w:r>
          </w:p>
        </w:tc>
        <w:tc>
          <w:tcPr>
            <w:tcW w:w="692" w:type="pct"/>
            <w:tcBorders>
              <w:top w:val="single" w:sz="4" w:space="0" w:color="auto"/>
              <w:left w:val="nil"/>
              <w:bottom w:val="single" w:sz="4" w:space="0" w:color="auto"/>
              <w:right w:val="nil"/>
            </w:tcBorders>
            <w:shd w:val="clear" w:color="000000" w:fill="FABF8F"/>
            <w:vAlign w:val="center"/>
            <w:hideMark/>
          </w:tcPr>
          <w:p w14:paraId="4F228F15" w14:textId="77777777" w:rsidR="00807992" w:rsidRPr="00667DFF" w:rsidRDefault="00807992" w:rsidP="00BE13E1">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Obligaciones reconocidas</w:t>
            </w:r>
          </w:p>
        </w:tc>
        <w:tc>
          <w:tcPr>
            <w:tcW w:w="693" w:type="pct"/>
            <w:tcBorders>
              <w:top w:val="single" w:sz="4" w:space="0" w:color="auto"/>
              <w:left w:val="nil"/>
              <w:bottom w:val="single" w:sz="4" w:space="0" w:color="auto"/>
              <w:right w:val="nil"/>
            </w:tcBorders>
            <w:shd w:val="clear" w:color="000000" w:fill="FABF8F"/>
            <w:vAlign w:val="center"/>
            <w:hideMark/>
          </w:tcPr>
          <w:p w14:paraId="7BD7FEC1" w14:textId="77777777" w:rsidR="00807992" w:rsidRPr="00667DFF" w:rsidRDefault="00807992" w:rsidP="00BE13E1">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 xml:space="preserve">% Variación </w:t>
            </w:r>
            <w:r>
              <w:rPr>
                <w:rFonts w:ascii="Arial" w:hAnsi="Arial" w:cs="Arial"/>
                <w:color w:val="000000"/>
                <w:sz w:val="18"/>
                <w:szCs w:val="18"/>
                <w:lang w:val="es-ES" w:eastAsia="es-ES"/>
              </w:rPr>
              <w:t>2021</w:t>
            </w:r>
            <w:r w:rsidRPr="00667DFF">
              <w:rPr>
                <w:rFonts w:ascii="Arial" w:hAnsi="Arial" w:cs="Arial"/>
                <w:color w:val="000000"/>
                <w:sz w:val="18"/>
                <w:szCs w:val="18"/>
                <w:lang w:val="es-ES" w:eastAsia="es-ES"/>
              </w:rPr>
              <w:t>/20</w:t>
            </w:r>
            <w:r>
              <w:rPr>
                <w:rFonts w:ascii="Arial" w:hAnsi="Arial" w:cs="Arial"/>
                <w:color w:val="000000"/>
                <w:sz w:val="18"/>
                <w:szCs w:val="18"/>
                <w:lang w:val="es-ES" w:eastAsia="es-ES"/>
              </w:rPr>
              <w:t>20</w:t>
            </w:r>
          </w:p>
        </w:tc>
        <w:tc>
          <w:tcPr>
            <w:tcW w:w="778" w:type="pct"/>
            <w:tcBorders>
              <w:top w:val="single" w:sz="4" w:space="0" w:color="auto"/>
              <w:left w:val="nil"/>
              <w:bottom w:val="single" w:sz="4" w:space="0" w:color="auto"/>
              <w:right w:val="nil"/>
            </w:tcBorders>
            <w:shd w:val="clear" w:color="000000" w:fill="FABF8F"/>
            <w:vAlign w:val="center"/>
            <w:hideMark/>
          </w:tcPr>
          <w:p w14:paraId="2855220F" w14:textId="77777777" w:rsidR="00807992" w:rsidRPr="00667DFF" w:rsidRDefault="00807992" w:rsidP="00BE13E1">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Obligaciones reconocidas</w:t>
            </w:r>
          </w:p>
        </w:tc>
        <w:tc>
          <w:tcPr>
            <w:tcW w:w="914" w:type="pct"/>
            <w:tcBorders>
              <w:top w:val="single" w:sz="4" w:space="0" w:color="auto"/>
              <w:left w:val="nil"/>
              <w:bottom w:val="single" w:sz="4" w:space="0" w:color="auto"/>
              <w:right w:val="nil"/>
            </w:tcBorders>
            <w:shd w:val="clear" w:color="000000" w:fill="FABF8F"/>
            <w:vAlign w:val="center"/>
            <w:hideMark/>
          </w:tcPr>
          <w:p w14:paraId="65085B4F" w14:textId="77777777" w:rsidR="00807992" w:rsidRPr="00667DFF" w:rsidRDefault="00807992" w:rsidP="00BE13E1">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 xml:space="preserve">% Variación </w:t>
            </w:r>
            <w:r>
              <w:rPr>
                <w:rFonts w:ascii="Arial" w:hAnsi="Arial" w:cs="Arial"/>
                <w:color w:val="000000"/>
                <w:sz w:val="18"/>
                <w:szCs w:val="18"/>
                <w:lang w:val="es-ES" w:eastAsia="es-ES"/>
              </w:rPr>
              <w:t>2021</w:t>
            </w:r>
            <w:r w:rsidRPr="00667DFF">
              <w:rPr>
                <w:rFonts w:ascii="Arial" w:hAnsi="Arial" w:cs="Arial"/>
                <w:color w:val="000000"/>
                <w:sz w:val="18"/>
                <w:szCs w:val="18"/>
                <w:lang w:val="es-ES" w:eastAsia="es-ES"/>
              </w:rPr>
              <w:t>/20</w:t>
            </w:r>
            <w:r>
              <w:rPr>
                <w:rFonts w:ascii="Arial" w:hAnsi="Arial" w:cs="Arial"/>
                <w:color w:val="000000"/>
                <w:sz w:val="18"/>
                <w:szCs w:val="18"/>
                <w:lang w:val="es-ES" w:eastAsia="es-ES"/>
              </w:rPr>
              <w:t>20</w:t>
            </w:r>
          </w:p>
        </w:tc>
      </w:tr>
      <w:tr w:rsidR="00807992" w:rsidRPr="00667DFF" w14:paraId="6A9D5115" w14:textId="77777777" w:rsidTr="00317422">
        <w:trPr>
          <w:trHeight w:val="198"/>
        </w:trPr>
        <w:tc>
          <w:tcPr>
            <w:tcW w:w="1923" w:type="pct"/>
            <w:tcBorders>
              <w:top w:val="single" w:sz="4" w:space="0" w:color="auto"/>
              <w:left w:val="nil"/>
              <w:bottom w:val="single" w:sz="2" w:space="0" w:color="auto"/>
              <w:right w:val="nil"/>
            </w:tcBorders>
            <w:shd w:val="clear" w:color="auto" w:fill="auto"/>
            <w:vAlign w:val="center"/>
            <w:hideMark/>
          </w:tcPr>
          <w:p w14:paraId="04C656F8"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sidRPr="00667DFF">
              <w:rPr>
                <w:rFonts w:ascii="Arial Narrow" w:hAnsi="Arial Narrow" w:cs="Calibri"/>
                <w:color w:val="000000"/>
                <w:sz w:val="18"/>
                <w:szCs w:val="18"/>
                <w:lang w:val="es-ES" w:eastAsia="es-ES"/>
              </w:rPr>
              <w:t>Transferencias a organismos autónomos</w:t>
            </w:r>
          </w:p>
        </w:tc>
        <w:tc>
          <w:tcPr>
            <w:tcW w:w="692" w:type="pct"/>
            <w:tcBorders>
              <w:top w:val="single" w:sz="4" w:space="0" w:color="auto"/>
              <w:left w:val="nil"/>
              <w:bottom w:val="single" w:sz="2" w:space="0" w:color="auto"/>
              <w:right w:val="nil"/>
            </w:tcBorders>
            <w:shd w:val="clear" w:color="auto" w:fill="auto"/>
            <w:noWrap/>
            <w:vAlign w:val="center"/>
          </w:tcPr>
          <w:p w14:paraId="48030B29"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11.834.500</w:t>
            </w:r>
          </w:p>
        </w:tc>
        <w:tc>
          <w:tcPr>
            <w:tcW w:w="693" w:type="pct"/>
            <w:tcBorders>
              <w:top w:val="single" w:sz="4" w:space="0" w:color="auto"/>
              <w:left w:val="nil"/>
              <w:bottom w:val="single" w:sz="2" w:space="0" w:color="auto"/>
              <w:right w:val="nil"/>
            </w:tcBorders>
            <w:shd w:val="clear" w:color="auto" w:fill="auto"/>
            <w:noWrap/>
            <w:vAlign w:val="center"/>
          </w:tcPr>
          <w:p w14:paraId="37CFFE09"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12</w:t>
            </w:r>
          </w:p>
        </w:tc>
        <w:tc>
          <w:tcPr>
            <w:tcW w:w="778" w:type="pct"/>
            <w:tcBorders>
              <w:top w:val="single" w:sz="4" w:space="0" w:color="auto"/>
              <w:left w:val="nil"/>
              <w:bottom w:val="single" w:sz="2" w:space="0" w:color="auto"/>
              <w:right w:val="nil"/>
            </w:tcBorders>
            <w:shd w:val="clear" w:color="auto" w:fill="auto"/>
            <w:noWrap/>
            <w:vAlign w:val="center"/>
          </w:tcPr>
          <w:p w14:paraId="41516674"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3.274.420</w:t>
            </w:r>
          </w:p>
        </w:tc>
        <w:tc>
          <w:tcPr>
            <w:tcW w:w="914" w:type="pct"/>
            <w:tcBorders>
              <w:top w:val="single" w:sz="4" w:space="0" w:color="auto"/>
              <w:left w:val="nil"/>
              <w:bottom w:val="single" w:sz="2" w:space="0" w:color="auto"/>
              <w:right w:val="nil"/>
            </w:tcBorders>
            <w:shd w:val="clear" w:color="auto" w:fill="auto"/>
            <w:noWrap/>
            <w:vAlign w:val="center"/>
          </w:tcPr>
          <w:p w14:paraId="6AD4390B"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152</w:t>
            </w:r>
          </w:p>
        </w:tc>
      </w:tr>
      <w:tr w:rsidR="00807992" w:rsidRPr="00667DFF" w14:paraId="0CD80B61" w14:textId="77777777" w:rsidTr="00317422">
        <w:trPr>
          <w:trHeight w:val="198"/>
        </w:trPr>
        <w:tc>
          <w:tcPr>
            <w:tcW w:w="1923" w:type="pct"/>
            <w:tcBorders>
              <w:top w:val="single" w:sz="2" w:space="0" w:color="auto"/>
              <w:left w:val="nil"/>
              <w:bottom w:val="single" w:sz="2" w:space="0" w:color="auto"/>
              <w:right w:val="nil"/>
            </w:tcBorders>
            <w:shd w:val="clear" w:color="auto" w:fill="auto"/>
            <w:vAlign w:val="center"/>
            <w:hideMark/>
          </w:tcPr>
          <w:p w14:paraId="303C76A9"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sidRPr="00667DFF">
              <w:rPr>
                <w:rFonts w:ascii="Arial Narrow" w:hAnsi="Arial Narrow" w:cs="Calibri"/>
                <w:color w:val="000000"/>
                <w:sz w:val="18"/>
                <w:szCs w:val="18"/>
                <w:lang w:val="es-ES" w:eastAsia="es-ES"/>
              </w:rPr>
              <w:t>Otras subvenciones a entes públicos y sociedades mercantiles de la entidad local</w:t>
            </w:r>
          </w:p>
        </w:tc>
        <w:tc>
          <w:tcPr>
            <w:tcW w:w="692" w:type="pct"/>
            <w:tcBorders>
              <w:top w:val="single" w:sz="2" w:space="0" w:color="auto"/>
              <w:left w:val="nil"/>
              <w:bottom w:val="single" w:sz="2" w:space="0" w:color="auto"/>
              <w:right w:val="nil"/>
            </w:tcBorders>
            <w:shd w:val="clear" w:color="auto" w:fill="auto"/>
            <w:noWrap/>
            <w:vAlign w:val="center"/>
          </w:tcPr>
          <w:p w14:paraId="1AA0F7AE"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2.433.586</w:t>
            </w:r>
          </w:p>
        </w:tc>
        <w:tc>
          <w:tcPr>
            <w:tcW w:w="693" w:type="pct"/>
            <w:tcBorders>
              <w:top w:val="single" w:sz="2" w:space="0" w:color="auto"/>
              <w:left w:val="nil"/>
              <w:bottom w:val="single" w:sz="2" w:space="0" w:color="auto"/>
              <w:right w:val="nil"/>
            </w:tcBorders>
            <w:shd w:val="clear" w:color="auto" w:fill="auto"/>
            <w:noWrap/>
            <w:vAlign w:val="center"/>
          </w:tcPr>
          <w:p w14:paraId="2C4A9039"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441</w:t>
            </w:r>
          </w:p>
        </w:tc>
        <w:tc>
          <w:tcPr>
            <w:tcW w:w="778" w:type="pct"/>
            <w:tcBorders>
              <w:top w:val="single" w:sz="2" w:space="0" w:color="auto"/>
              <w:left w:val="nil"/>
              <w:bottom w:val="single" w:sz="2" w:space="0" w:color="auto"/>
              <w:right w:val="nil"/>
            </w:tcBorders>
            <w:shd w:val="clear" w:color="auto" w:fill="auto"/>
            <w:noWrap/>
            <w:vAlign w:val="center"/>
          </w:tcPr>
          <w:p w14:paraId="438BB585"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2.025.000</w:t>
            </w:r>
          </w:p>
        </w:tc>
        <w:tc>
          <w:tcPr>
            <w:tcW w:w="914" w:type="pct"/>
            <w:tcBorders>
              <w:top w:val="single" w:sz="2" w:space="0" w:color="auto"/>
              <w:left w:val="nil"/>
              <w:bottom w:val="single" w:sz="2" w:space="0" w:color="auto"/>
              <w:right w:val="nil"/>
            </w:tcBorders>
            <w:shd w:val="clear" w:color="auto" w:fill="auto"/>
            <w:noWrap/>
            <w:vAlign w:val="center"/>
          </w:tcPr>
          <w:p w14:paraId="61BF8ED9" w14:textId="77777777" w:rsidR="00807992" w:rsidRPr="00667DFF" w:rsidRDefault="00953715"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100</w:t>
            </w:r>
          </w:p>
        </w:tc>
      </w:tr>
      <w:tr w:rsidR="00807992" w:rsidRPr="00667DFF" w14:paraId="3EA6DB96" w14:textId="77777777" w:rsidTr="00317422">
        <w:trPr>
          <w:trHeight w:val="198"/>
        </w:trPr>
        <w:tc>
          <w:tcPr>
            <w:tcW w:w="1923" w:type="pct"/>
            <w:tcBorders>
              <w:top w:val="single" w:sz="2" w:space="0" w:color="auto"/>
              <w:left w:val="nil"/>
              <w:bottom w:val="single" w:sz="2" w:space="0" w:color="auto"/>
              <w:right w:val="nil"/>
            </w:tcBorders>
            <w:shd w:val="clear" w:color="auto" w:fill="auto"/>
            <w:vAlign w:val="center"/>
            <w:hideMark/>
          </w:tcPr>
          <w:p w14:paraId="573934F8"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sidRPr="00667DFF">
              <w:rPr>
                <w:rFonts w:ascii="Arial Narrow" w:hAnsi="Arial Narrow" w:cs="Calibri"/>
                <w:color w:val="000000"/>
                <w:sz w:val="18"/>
                <w:szCs w:val="18"/>
                <w:lang w:val="es-ES" w:eastAsia="es-ES"/>
              </w:rPr>
              <w:t xml:space="preserve">A la </w:t>
            </w:r>
            <w:proofErr w:type="spellStart"/>
            <w:r w:rsidRPr="00667DFF">
              <w:rPr>
                <w:rFonts w:ascii="Arial Narrow" w:hAnsi="Arial Narrow" w:cs="Calibri"/>
                <w:color w:val="000000"/>
                <w:sz w:val="18"/>
                <w:szCs w:val="18"/>
                <w:lang w:val="es-ES" w:eastAsia="es-ES"/>
              </w:rPr>
              <w:t>Admon</w:t>
            </w:r>
            <w:proofErr w:type="spellEnd"/>
            <w:r w:rsidRPr="00667DFF">
              <w:rPr>
                <w:rFonts w:ascii="Arial Narrow" w:hAnsi="Arial Narrow" w:cs="Calibri"/>
                <w:color w:val="000000"/>
                <w:sz w:val="18"/>
                <w:szCs w:val="18"/>
                <w:lang w:val="es-ES" w:eastAsia="es-ES"/>
              </w:rPr>
              <w:t>. Gral. de la CFN</w:t>
            </w:r>
          </w:p>
        </w:tc>
        <w:tc>
          <w:tcPr>
            <w:tcW w:w="692" w:type="pct"/>
            <w:tcBorders>
              <w:top w:val="single" w:sz="2" w:space="0" w:color="auto"/>
              <w:left w:val="nil"/>
              <w:bottom w:val="single" w:sz="2" w:space="0" w:color="auto"/>
              <w:right w:val="nil"/>
            </w:tcBorders>
            <w:shd w:val="clear" w:color="auto" w:fill="auto"/>
            <w:noWrap/>
            <w:vAlign w:val="center"/>
          </w:tcPr>
          <w:p w14:paraId="48B1F8CB"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188.917</w:t>
            </w:r>
          </w:p>
        </w:tc>
        <w:tc>
          <w:tcPr>
            <w:tcW w:w="693" w:type="pct"/>
            <w:tcBorders>
              <w:top w:val="single" w:sz="2" w:space="0" w:color="auto"/>
              <w:left w:val="nil"/>
              <w:bottom w:val="single" w:sz="2" w:space="0" w:color="auto"/>
              <w:right w:val="nil"/>
            </w:tcBorders>
            <w:shd w:val="clear" w:color="auto" w:fill="auto"/>
            <w:noWrap/>
            <w:vAlign w:val="center"/>
          </w:tcPr>
          <w:p w14:paraId="6EA25065"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-4</w:t>
            </w:r>
          </w:p>
        </w:tc>
        <w:tc>
          <w:tcPr>
            <w:tcW w:w="778" w:type="pct"/>
            <w:tcBorders>
              <w:top w:val="single" w:sz="2" w:space="0" w:color="auto"/>
              <w:left w:val="nil"/>
              <w:bottom w:val="single" w:sz="2" w:space="0" w:color="auto"/>
              <w:right w:val="nil"/>
            </w:tcBorders>
            <w:shd w:val="clear" w:color="auto" w:fill="auto"/>
            <w:noWrap/>
            <w:vAlign w:val="center"/>
          </w:tcPr>
          <w:p w14:paraId="63F32BEC"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p>
        </w:tc>
        <w:tc>
          <w:tcPr>
            <w:tcW w:w="914" w:type="pct"/>
            <w:tcBorders>
              <w:top w:val="single" w:sz="2" w:space="0" w:color="auto"/>
              <w:left w:val="nil"/>
              <w:bottom w:val="single" w:sz="2" w:space="0" w:color="auto"/>
              <w:right w:val="nil"/>
            </w:tcBorders>
            <w:shd w:val="clear" w:color="auto" w:fill="auto"/>
            <w:noWrap/>
            <w:vAlign w:val="center"/>
          </w:tcPr>
          <w:p w14:paraId="02E8F90B"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p>
        </w:tc>
      </w:tr>
      <w:tr w:rsidR="00807992" w:rsidRPr="00667DFF" w14:paraId="755DD706" w14:textId="77777777" w:rsidTr="00317422">
        <w:trPr>
          <w:trHeight w:val="198"/>
        </w:trPr>
        <w:tc>
          <w:tcPr>
            <w:tcW w:w="1923" w:type="pct"/>
            <w:tcBorders>
              <w:top w:val="single" w:sz="2" w:space="0" w:color="auto"/>
              <w:left w:val="nil"/>
              <w:bottom w:val="single" w:sz="2" w:space="0" w:color="auto"/>
              <w:right w:val="nil"/>
            </w:tcBorders>
            <w:shd w:val="clear" w:color="auto" w:fill="auto"/>
            <w:vAlign w:val="center"/>
            <w:hideMark/>
          </w:tcPr>
          <w:p w14:paraId="2242D300"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sidRPr="00667DFF">
              <w:rPr>
                <w:rFonts w:ascii="Arial Narrow" w:hAnsi="Arial Narrow" w:cs="Calibri"/>
                <w:color w:val="000000"/>
                <w:sz w:val="18"/>
                <w:szCs w:val="18"/>
                <w:lang w:val="es-ES" w:eastAsia="es-ES"/>
              </w:rPr>
              <w:t>A empresas públicas de la CFN</w:t>
            </w:r>
          </w:p>
        </w:tc>
        <w:tc>
          <w:tcPr>
            <w:tcW w:w="692" w:type="pct"/>
            <w:tcBorders>
              <w:top w:val="single" w:sz="2" w:space="0" w:color="auto"/>
              <w:left w:val="nil"/>
              <w:bottom w:val="single" w:sz="2" w:space="0" w:color="auto"/>
              <w:right w:val="nil"/>
            </w:tcBorders>
            <w:shd w:val="clear" w:color="auto" w:fill="auto"/>
            <w:noWrap/>
            <w:vAlign w:val="center"/>
          </w:tcPr>
          <w:p w14:paraId="78A578BE"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170.000</w:t>
            </w:r>
          </w:p>
        </w:tc>
        <w:tc>
          <w:tcPr>
            <w:tcW w:w="693" w:type="pct"/>
            <w:tcBorders>
              <w:top w:val="single" w:sz="2" w:space="0" w:color="auto"/>
              <w:left w:val="nil"/>
              <w:bottom w:val="single" w:sz="2" w:space="0" w:color="auto"/>
              <w:right w:val="nil"/>
            </w:tcBorders>
            <w:shd w:val="clear" w:color="auto" w:fill="auto"/>
            <w:noWrap/>
            <w:vAlign w:val="center"/>
          </w:tcPr>
          <w:p w14:paraId="7F1617BE"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3</w:t>
            </w:r>
          </w:p>
        </w:tc>
        <w:tc>
          <w:tcPr>
            <w:tcW w:w="778" w:type="pct"/>
            <w:tcBorders>
              <w:top w:val="single" w:sz="2" w:space="0" w:color="auto"/>
              <w:left w:val="nil"/>
              <w:bottom w:val="single" w:sz="2" w:space="0" w:color="auto"/>
              <w:right w:val="nil"/>
            </w:tcBorders>
            <w:shd w:val="clear" w:color="auto" w:fill="auto"/>
            <w:noWrap/>
            <w:vAlign w:val="center"/>
          </w:tcPr>
          <w:p w14:paraId="0D99C4A5"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p>
        </w:tc>
        <w:tc>
          <w:tcPr>
            <w:tcW w:w="914" w:type="pct"/>
            <w:tcBorders>
              <w:top w:val="single" w:sz="2" w:space="0" w:color="auto"/>
              <w:left w:val="nil"/>
              <w:bottom w:val="single" w:sz="2" w:space="0" w:color="auto"/>
              <w:right w:val="nil"/>
            </w:tcBorders>
            <w:shd w:val="clear" w:color="auto" w:fill="auto"/>
            <w:noWrap/>
            <w:vAlign w:val="center"/>
          </w:tcPr>
          <w:p w14:paraId="5F19A1B7"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p>
        </w:tc>
      </w:tr>
      <w:tr w:rsidR="00807992" w:rsidRPr="00667DFF" w14:paraId="1B39FB3F" w14:textId="77777777" w:rsidTr="00317422">
        <w:trPr>
          <w:trHeight w:val="198"/>
        </w:trPr>
        <w:tc>
          <w:tcPr>
            <w:tcW w:w="1923" w:type="pct"/>
            <w:tcBorders>
              <w:top w:val="single" w:sz="2" w:space="0" w:color="auto"/>
              <w:left w:val="nil"/>
              <w:bottom w:val="single" w:sz="2" w:space="0" w:color="auto"/>
              <w:right w:val="nil"/>
            </w:tcBorders>
            <w:shd w:val="clear" w:color="auto" w:fill="auto"/>
            <w:vAlign w:val="center"/>
            <w:hideMark/>
          </w:tcPr>
          <w:p w14:paraId="2C0EF073"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sidRPr="00667DFF">
              <w:rPr>
                <w:rFonts w:ascii="Arial Narrow" w:hAnsi="Arial Narrow" w:cs="Calibri"/>
                <w:color w:val="000000"/>
                <w:sz w:val="18"/>
                <w:szCs w:val="18"/>
                <w:lang w:val="es-ES" w:eastAsia="es-ES"/>
              </w:rPr>
              <w:t>A Mancomunidades</w:t>
            </w:r>
          </w:p>
        </w:tc>
        <w:tc>
          <w:tcPr>
            <w:tcW w:w="692" w:type="pct"/>
            <w:tcBorders>
              <w:top w:val="single" w:sz="2" w:space="0" w:color="auto"/>
              <w:left w:val="nil"/>
              <w:bottom w:val="single" w:sz="2" w:space="0" w:color="auto"/>
              <w:right w:val="nil"/>
            </w:tcBorders>
            <w:shd w:val="clear" w:color="auto" w:fill="auto"/>
            <w:noWrap/>
            <w:vAlign w:val="center"/>
          </w:tcPr>
          <w:p w14:paraId="542B3B93"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2.571.341</w:t>
            </w:r>
          </w:p>
        </w:tc>
        <w:tc>
          <w:tcPr>
            <w:tcW w:w="693" w:type="pct"/>
            <w:tcBorders>
              <w:top w:val="single" w:sz="2" w:space="0" w:color="auto"/>
              <w:left w:val="nil"/>
              <w:bottom w:val="single" w:sz="2" w:space="0" w:color="auto"/>
              <w:right w:val="nil"/>
            </w:tcBorders>
            <w:shd w:val="clear" w:color="auto" w:fill="auto"/>
            <w:noWrap/>
            <w:vAlign w:val="center"/>
          </w:tcPr>
          <w:p w14:paraId="19996167"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7</w:t>
            </w:r>
          </w:p>
        </w:tc>
        <w:tc>
          <w:tcPr>
            <w:tcW w:w="778" w:type="pct"/>
            <w:tcBorders>
              <w:top w:val="single" w:sz="2" w:space="0" w:color="auto"/>
              <w:left w:val="nil"/>
              <w:bottom w:val="single" w:sz="2" w:space="0" w:color="auto"/>
              <w:right w:val="nil"/>
            </w:tcBorders>
            <w:shd w:val="clear" w:color="auto" w:fill="auto"/>
            <w:noWrap/>
            <w:vAlign w:val="center"/>
          </w:tcPr>
          <w:p w14:paraId="2C3A6E95" w14:textId="77777777" w:rsidR="00807992" w:rsidRPr="00667DFF" w:rsidRDefault="000023DA"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241.486</w:t>
            </w:r>
          </w:p>
        </w:tc>
        <w:tc>
          <w:tcPr>
            <w:tcW w:w="914" w:type="pct"/>
            <w:tcBorders>
              <w:top w:val="single" w:sz="2" w:space="0" w:color="auto"/>
              <w:left w:val="nil"/>
              <w:bottom w:val="single" w:sz="2" w:space="0" w:color="auto"/>
              <w:right w:val="nil"/>
            </w:tcBorders>
            <w:shd w:val="clear" w:color="auto" w:fill="auto"/>
            <w:noWrap/>
            <w:vAlign w:val="center"/>
          </w:tcPr>
          <w:p w14:paraId="58B10C84" w14:textId="77777777" w:rsidR="00807992" w:rsidRPr="00667DFF" w:rsidRDefault="00953715"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100</w:t>
            </w:r>
          </w:p>
        </w:tc>
      </w:tr>
      <w:tr w:rsidR="00807992" w:rsidRPr="00667DFF" w14:paraId="386A1BC4" w14:textId="77777777" w:rsidTr="00317422">
        <w:trPr>
          <w:trHeight w:val="198"/>
        </w:trPr>
        <w:tc>
          <w:tcPr>
            <w:tcW w:w="1923" w:type="pct"/>
            <w:tcBorders>
              <w:top w:val="single" w:sz="2" w:space="0" w:color="auto"/>
              <w:left w:val="nil"/>
              <w:bottom w:val="single" w:sz="2" w:space="0" w:color="auto"/>
              <w:right w:val="nil"/>
            </w:tcBorders>
            <w:shd w:val="clear" w:color="auto" w:fill="auto"/>
            <w:vAlign w:val="center"/>
            <w:hideMark/>
          </w:tcPr>
          <w:p w14:paraId="1A686AD1"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sidRPr="00667DFF">
              <w:rPr>
                <w:rFonts w:ascii="Arial Narrow" w:hAnsi="Arial Narrow" w:cs="Calibri"/>
                <w:color w:val="000000"/>
                <w:sz w:val="18"/>
                <w:szCs w:val="18"/>
                <w:lang w:val="es-ES" w:eastAsia="es-ES"/>
              </w:rPr>
              <w:t>Otras subvenciones a Empresas privadas</w:t>
            </w:r>
          </w:p>
        </w:tc>
        <w:tc>
          <w:tcPr>
            <w:tcW w:w="692" w:type="pct"/>
            <w:tcBorders>
              <w:top w:val="single" w:sz="2" w:space="0" w:color="auto"/>
              <w:left w:val="nil"/>
              <w:bottom w:val="single" w:sz="2" w:space="0" w:color="auto"/>
              <w:right w:val="nil"/>
            </w:tcBorders>
            <w:shd w:val="clear" w:color="auto" w:fill="auto"/>
            <w:noWrap/>
            <w:vAlign w:val="center"/>
          </w:tcPr>
          <w:p w14:paraId="32D69FFB"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2.415.794</w:t>
            </w:r>
          </w:p>
        </w:tc>
        <w:tc>
          <w:tcPr>
            <w:tcW w:w="693" w:type="pct"/>
            <w:tcBorders>
              <w:top w:val="single" w:sz="2" w:space="0" w:color="auto"/>
              <w:left w:val="nil"/>
              <w:bottom w:val="single" w:sz="2" w:space="0" w:color="auto"/>
              <w:right w:val="nil"/>
            </w:tcBorders>
            <w:shd w:val="clear" w:color="auto" w:fill="auto"/>
            <w:noWrap/>
            <w:vAlign w:val="center"/>
          </w:tcPr>
          <w:p w14:paraId="6EC421AB"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32</w:t>
            </w:r>
          </w:p>
        </w:tc>
        <w:tc>
          <w:tcPr>
            <w:tcW w:w="778" w:type="pct"/>
            <w:tcBorders>
              <w:top w:val="single" w:sz="2" w:space="0" w:color="auto"/>
              <w:left w:val="nil"/>
              <w:bottom w:val="single" w:sz="2" w:space="0" w:color="auto"/>
              <w:right w:val="nil"/>
            </w:tcBorders>
            <w:shd w:val="clear" w:color="auto" w:fill="auto"/>
            <w:noWrap/>
            <w:vAlign w:val="center"/>
          </w:tcPr>
          <w:p w14:paraId="754C93E1"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p>
        </w:tc>
        <w:tc>
          <w:tcPr>
            <w:tcW w:w="914" w:type="pct"/>
            <w:tcBorders>
              <w:top w:val="single" w:sz="2" w:space="0" w:color="auto"/>
              <w:left w:val="nil"/>
              <w:bottom w:val="single" w:sz="2" w:space="0" w:color="auto"/>
              <w:right w:val="nil"/>
            </w:tcBorders>
            <w:shd w:val="clear" w:color="auto" w:fill="auto"/>
            <w:noWrap/>
            <w:vAlign w:val="center"/>
          </w:tcPr>
          <w:p w14:paraId="15D21B32"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p>
        </w:tc>
      </w:tr>
      <w:tr w:rsidR="00807992" w:rsidRPr="00667DFF" w14:paraId="60F74C5C" w14:textId="77777777" w:rsidTr="00317422">
        <w:trPr>
          <w:trHeight w:val="198"/>
        </w:trPr>
        <w:tc>
          <w:tcPr>
            <w:tcW w:w="1923" w:type="pct"/>
            <w:tcBorders>
              <w:top w:val="single" w:sz="2" w:space="0" w:color="auto"/>
              <w:left w:val="nil"/>
              <w:bottom w:val="single" w:sz="2" w:space="0" w:color="auto"/>
              <w:right w:val="nil"/>
            </w:tcBorders>
            <w:shd w:val="clear" w:color="auto" w:fill="auto"/>
            <w:vAlign w:val="center"/>
            <w:hideMark/>
          </w:tcPr>
          <w:p w14:paraId="59B7F66F"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sidRPr="00667DFF">
              <w:rPr>
                <w:rFonts w:ascii="Arial Narrow" w:hAnsi="Arial Narrow" w:cs="Calibri"/>
                <w:color w:val="000000"/>
                <w:sz w:val="18"/>
                <w:szCs w:val="18"/>
                <w:lang w:val="es-ES" w:eastAsia="es-ES"/>
              </w:rPr>
              <w:t>A familias</w:t>
            </w:r>
          </w:p>
        </w:tc>
        <w:tc>
          <w:tcPr>
            <w:tcW w:w="692" w:type="pct"/>
            <w:tcBorders>
              <w:top w:val="single" w:sz="2" w:space="0" w:color="auto"/>
              <w:left w:val="nil"/>
              <w:bottom w:val="single" w:sz="2" w:space="0" w:color="auto"/>
              <w:right w:val="nil"/>
            </w:tcBorders>
            <w:shd w:val="clear" w:color="auto" w:fill="auto"/>
            <w:noWrap/>
            <w:vAlign w:val="center"/>
          </w:tcPr>
          <w:p w14:paraId="0175DE10"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1.899.60</w:t>
            </w:r>
          </w:p>
        </w:tc>
        <w:tc>
          <w:tcPr>
            <w:tcW w:w="693" w:type="pct"/>
            <w:tcBorders>
              <w:top w:val="single" w:sz="2" w:space="0" w:color="auto"/>
              <w:left w:val="nil"/>
              <w:bottom w:val="single" w:sz="2" w:space="0" w:color="auto"/>
              <w:right w:val="nil"/>
            </w:tcBorders>
            <w:shd w:val="clear" w:color="auto" w:fill="auto"/>
            <w:noWrap/>
            <w:vAlign w:val="center"/>
          </w:tcPr>
          <w:p w14:paraId="21D4C835"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-21</w:t>
            </w:r>
          </w:p>
        </w:tc>
        <w:tc>
          <w:tcPr>
            <w:tcW w:w="778" w:type="pct"/>
            <w:tcBorders>
              <w:top w:val="single" w:sz="2" w:space="0" w:color="auto"/>
              <w:left w:val="nil"/>
              <w:bottom w:val="single" w:sz="2" w:space="0" w:color="auto"/>
              <w:right w:val="nil"/>
            </w:tcBorders>
            <w:shd w:val="clear" w:color="auto" w:fill="auto"/>
            <w:noWrap/>
            <w:vAlign w:val="center"/>
          </w:tcPr>
          <w:p w14:paraId="7B115C2A" w14:textId="77777777" w:rsidR="00807992" w:rsidRPr="00515928" w:rsidRDefault="000023DA"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1.571.395</w:t>
            </w:r>
          </w:p>
        </w:tc>
        <w:tc>
          <w:tcPr>
            <w:tcW w:w="914" w:type="pct"/>
            <w:tcBorders>
              <w:top w:val="single" w:sz="2" w:space="0" w:color="auto"/>
              <w:left w:val="nil"/>
              <w:bottom w:val="single" w:sz="2" w:space="0" w:color="auto"/>
              <w:right w:val="nil"/>
            </w:tcBorders>
            <w:shd w:val="clear" w:color="auto" w:fill="auto"/>
            <w:noWrap/>
            <w:vAlign w:val="center"/>
          </w:tcPr>
          <w:p w14:paraId="6409A477" w14:textId="77777777" w:rsidR="00807992" w:rsidRPr="00667DFF" w:rsidRDefault="00953715"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8</w:t>
            </w:r>
          </w:p>
        </w:tc>
      </w:tr>
      <w:tr w:rsidR="00807992" w:rsidRPr="00667DFF" w14:paraId="58DE4828" w14:textId="77777777" w:rsidTr="00317422">
        <w:trPr>
          <w:trHeight w:val="198"/>
        </w:trPr>
        <w:tc>
          <w:tcPr>
            <w:tcW w:w="1923" w:type="pct"/>
            <w:tcBorders>
              <w:top w:val="single" w:sz="2" w:space="0" w:color="auto"/>
              <w:left w:val="nil"/>
              <w:bottom w:val="single" w:sz="2" w:space="0" w:color="auto"/>
              <w:right w:val="nil"/>
            </w:tcBorders>
            <w:shd w:val="clear" w:color="auto" w:fill="auto"/>
            <w:vAlign w:val="center"/>
            <w:hideMark/>
          </w:tcPr>
          <w:p w14:paraId="0A394B2E"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sidRPr="00667DFF">
              <w:rPr>
                <w:rFonts w:ascii="Arial Narrow" w:hAnsi="Arial Narrow" w:cs="Calibri"/>
                <w:color w:val="000000"/>
                <w:sz w:val="18"/>
                <w:szCs w:val="18"/>
                <w:lang w:val="es-ES" w:eastAsia="es-ES"/>
              </w:rPr>
              <w:t>A Instituciones sin ánimo de lucro</w:t>
            </w:r>
          </w:p>
        </w:tc>
        <w:tc>
          <w:tcPr>
            <w:tcW w:w="692" w:type="pct"/>
            <w:tcBorders>
              <w:top w:val="single" w:sz="2" w:space="0" w:color="auto"/>
              <w:left w:val="nil"/>
              <w:bottom w:val="single" w:sz="2" w:space="0" w:color="auto"/>
              <w:right w:val="nil"/>
            </w:tcBorders>
            <w:shd w:val="clear" w:color="auto" w:fill="auto"/>
            <w:noWrap/>
            <w:vAlign w:val="center"/>
          </w:tcPr>
          <w:p w14:paraId="5305CA73"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4.923.667</w:t>
            </w:r>
          </w:p>
        </w:tc>
        <w:tc>
          <w:tcPr>
            <w:tcW w:w="693" w:type="pct"/>
            <w:tcBorders>
              <w:top w:val="single" w:sz="2" w:space="0" w:color="auto"/>
              <w:left w:val="nil"/>
              <w:bottom w:val="single" w:sz="2" w:space="0" w:color="auto"/>
              <w:right w:val="nil"/>
            </w:tcBorders>
            <w:shd w:val="clear" w:color="auto" w:fill="auto"/>
            <w:noWrap/>
            <w:vAlign w:val="center"/>
          </w:tcPr>
          <w:p w14:paraId="20347419"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17</w:t>
            </w:r>
          </w:p>
        </w:tc>
        <w:tc>
          <w:tcPr>
            <w:tcW w:w="778" w:type="pct"/>
            <w:tcBorders>
              <w:top w:val="single" w:sz="2" w:space="0" w:color="auto"/>
              <w:left w:val="nil"/>
              <w:bottom w:val="single" w:sz="2" w:space="0" w:color="auto"/>
              <w:right w:val="nil"/>
            </w:tcBorders>
            <w:shd w:val="clear" w:color="auto" w:fill="auto"/>
            <w:noWrap/>
            <w:vAlign w:val="center"/>
          </w:tcPr>
          <w:p w14:paraId="1756A027"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p>
        </w:tc>
        <w:tc>
          <w:tcPr>
            <w:tcW w:w="914" w:type="pct"/>
            <w:tcBorders>
              <w:top w:val="single" w:sz="2" w:space="0" w:color="auto"/>
              <w:left w:val="nil"/>
              <w:bottom w:val="single" w:sz="2" w:space="0" w:color="auto"/>
              <w:right w:val="nil"/>
            </w:tcBorders>
            <w:shd w:val="clear" w:color="auto" w:fill="auto"/>
            <w:noWrap/>
            <w:vAlign w:val="center"/>
          </w:tcPr>
          <w:p w14:paraId="714AAD11"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p>
        </w:tc>
      </w:tr>
      <w:tr w:rsidR="00807992" w:rsidRPr="00667DFF" w14:paraId="4A184563" w14:textId="77777777" w:rsidTr="00317422">
        <w:trPr>
          <w:trHeight w:val="198"/>
        </w:trPr>
        <w:tc>
          <w:tcPr>
            <w:tcW w:w="1923" w:type="pct"/>
            <w:tcBorders>
              <w:top w:val="single" w:sz="2" w:space="0" w:color="auto"/>
              <w:left w:val="nil"/>
              <w:bottom w:val="single" w:sz="4" w:space="0" w:color="auto"/>
              <w:right w:val="nil"/>
            </w:tcBorders>
            <w:shd w:val="clear" w:color="auto" w:fill="auto"/>
            <w:vAlign w:val="center"/>
            <w:hideMark/>
          </w:tcPr>
          <w:p w14:paraId="6282FE6C"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r w:rsidRPr="00667DFF">
              <w:rPr>
                <w:rFonts w:ascii="Arial Narrow" w:hAnsi="Arial Narrow" w:cs="Calibri"/>
                <w:color w:val="000000"/>
                <w:sz w:val="18"/>
                <w:szCs w:val="18"/>
                <w:lang w:val="es-ES" w:eastAsia="es-ES"/>
              </w:rPr>
              <w:t>Transferencias a Unión Europea</w:t>
            </w:r>
          </w:p>
        </w:tc>
        <w:tc>
          <w:tcPr>
            <w:tcW w:w="692" w:type="pct"/>
            <w:tcBorders>
              <w:top w:val="single" w:sz="2" w:space="0" w:color="auto"/>
              <w:left w:val="nil"/>
              <w:bottom w:val="single" w:sz="4" w:space="0" w:color="auto"/>
              <w:right w:val="nil"/>
            </w:tcBorders>
            <w:shd w:val="clear" w:color="auto" w:fill="auto"/>
            <w:noWrap/>
            <w:vAlign w:val="center"/>
          </w:tcPr>
          <w:p w14:paraId="5667518C"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849.993</w:t>
            </w:r>
          </w:p>
        </w:tc>
        <w:tc>
          <w:tcPr>
            <w:tcW w:w="693" w:type="pct"/>
            <w:tcBorders>
              <w:top w:val="single" w:sz="2" w:space="0" w:color="auto"/>
              <w:left w:val="nil"/>
              <w:bottom w:val="single" w:sz="4" w:space="0" w:color="auto"/>
              <w:right w:val="nil"/>
            </w:tcBorders>
            <w:shd w:val="clear" w:color="auto" w:fill="auto"/>
            <w:noWrap/>
            <w:vAlign w:val="center"/>
          </w:tcPr>
          <w:p w14:paraId="54B0394E"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-5</w:t>
            </w:r>
          </w:p>
        </w:tc>
        <w:tc>
          <w:tcPr>
            <w:tcW w:w="778" w:type="pct"/>
            <w:tcBorders>
              <w:top w:val="single" w:sz="2" w:space="0" w:color="auto"/>
              <w:left w:val="nil"/>
              <w:bottom w:val="single" w:sz="4" w:space="0" w:color="auto"/>
              <w:right w:val="nil"/>
            </w:tcBorders>
            <w:shd w:val="clear" w:color="auto" w:fill="auto"/>
            <w:noWrap/>
            <w:vAlign w:val="center"/>
          </w:tcPr>
          <w:p w14:paraId="07935030" w14:textId="77777777" w:rsidR="00807992" w:rsidRPr="00515928" w:rsidRDefault="00807992" w:rsidP="00807992">
            <w:pPr>
              <w:spacing w:after="0"/>
              <w:ind w:firstLine="0"/>
              <w:jc w:val="right"/>
              <w:rPr>
                <w:rFonts w:ascii="Arial Narrow" w:hAnsi="Arial Narrow" w:cs="Calibri"/>
                <w:color w:val="000000"/>
                <w:sz w:val="18"/>
                <w:szCs w:val="18"/>
                <w:lang w:val="es-ES" w:eastAsia="es-ES"/>
              </w:rPr>
            </w:pPr>
            <w:r w:rsidRPr="00515928">
              <w:rPr>
                <w:rFonts w:ascii="Arial Narrow" w:hAnsi="Arial Narrow" w:cs="Calibri"/>
                <w:color w:val="000000"/>
                <w:sz w:val="18"/>
                <w:szCs w:val="18"/>
                <w:lang w:val="es-ES" w:eastAsia="es-ES"/>
              </w:rPr>
              <w:t>650.000</w:t>
            </w:r>
          </w:p>
        </w:tc>
        <w:tc>
          <w:tcPr>
            <w:tcW w:w="914" w:type="pct"/>
            <w:tcBorders>
              <w:top w:val="single" w:sz="2" w:space="0" w:color="auto"/>
              <w:left w:val="nil"/>
              <w:bottom w:val="single" w:sz="4" w:space="0" w:color="auto"/>
              <w:right w:val="nil"/>
            </w:tcBorders>
            <w:shd w:val="clear" w:color="auto" w:fill="auto"/>
            <w:noWrap/>
            <w:vAlign w:val="center"/>
          </w:tcPr>
          <w:p w14:paraId="3977F5AA"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117</w:t>
            </w:r>
          </w:p>
        </w:tc>
      </w:tr>
      <w:tr w:rsidR="00807992" w:rsidRPr="00667DFF" w14:paraId="72F83BD4" w14:textId="77777777" w:rsidTr="00317422">
        <w:trPr>
          <w:trHeight w:val="255"/>
        </w:trPr>
        <w:tc>
          <w:tcPr>
            <w:tcW w:w="1923" w:type="pct"/>
            <w:tcBorders>
              <w:top w:val="single" w:sz="4" w:space="0" w:color="auto"/>
              <w:left w:val="nil"/>
              <w:bottom w:val="single" w:sz="4" w:space="0" w:color="auto"/>
              <w:right w:val="nil"/>
            </w:tcBorders>
            <w:shd w:val="clear" w:color="000000" w:fill="FABF8F"/>
            <w:vAlign w:val="center"/>
            <w:hideMark/>
          </w:tcPr>
          <w:p w14:paraId="202ABD82" w14:textId="77777777" w:rsidR="00807992" w:rsidRPr="00667DFF" w:rsidRDefault="00807992" w:rsidP="00807992">
            <w:pPr>
              <w:spacing w:after="0"/>
              <w:ind w:firstLine="0"/>
              <w:jc w:val="left"/>
              <w:rPr>
                <w:rFonts w:ascii="Arial" w:hAnsi="Arial" w:cs="Arial"/>
                <w:color w:val="000000"/>
                <w:sz w:val="18"/>
                <w:szCs w:val="18"/>
                <w:lang w:val="es-ES" w:eastAsia="es-ES"/>
              </w:rPr>
            </w:pPr>
            <w:r w:rsidRPr="00667DFF">
              <w:rPr>
                <w:rFonts w:ascii="Arial" w:hAnsi="Arial" w:cs="Arial"/>
                <w:color w:val="000000"/>
                <w:sz w:val="18"/>
                <w:szCs w:val="18"/>
                <w:lang w:val="es-ES" w:eastAsia="es-ES"/>
              </w:rPr>
              <w:t>Total</w:t>
            </w:r>
          </w:p>
        </w:tc>
        <w:tc>
          <w:tcPr>
            <w:tcW w:w="692" w:type="pct"/>
            <w:tcBorders>
              <w:top w:val="single" w:sz="4" w:space="0" w:color="auto"/>
              <w:left w:val="nil"/>
              <w:bottom w:val="single" w:sz="4" w:space="0" w:color="auto"/>
              <w:right w:val="nil"/>
            </w:tcBorders>
            <w:shd w:val="clear" w:color="000000" w:fill="FABF8F"/>
            <w:vAlign w:val="center"/>
          </w:tcPr>
          <w:p w14:paraId="22B4F633" w14:textId="77777777" w:rsidR="00807992" w:rsidRPr="00667DFF" w:rsidRDefault="00807992" w:rsidP="0080799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27.287.656</w:t>
            </w:r>
          </w:p>
        </w:tc>
        <w:tc>
          <w:tcPr>
            <w:tcW w:w="693" w:type="pct"/>
            <w:tcBorders>
              <w:top w:val="single" w:sz="4" w:space="0" w:color="auto"/>
              <w:left w:val="nil"/>
              <w:bottom w:val="single" w:sz="4" w:space="0" w:color="auto"/>
              <w:right w:val="nil"/>
            </w:tcBorders>
            <w:shd w:val="clear" w:color="000000" w:fill="FABF8F"/>
            <w:vAlign w:val="center"/>
          </w:tcPr>
          <w:p w14:paraId="1355D16E" w14:textId="77777777" w:rsidR="00807992" w:rsidRPr="00667DFF" w:rsidRDefault="00807992" w:rsidP="0080799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18</w:t>
            </w:r>
          </w:p>
        </w:tc>
        <w:tc>
          <w:tcPr>
            <w:tcW w:w="778" w:type="pct"/>
            <w:tcBorders>
              <w:top w:val="single" w:sz="4" w:space="0" w:color="auto"/>
              <w:left w:val="nil"/>
              <w:bottom w:val="single" w:sz="4" w:space="0" w:color="auto"/>
              <w:right w:val="nil"/>
            </w:tcBorders>
            <w:shd w:val="clear" w:color="000000" w:fill="FABF8F"/>
            <w:vAlign w:val="center"/>
          </w:tcPr>
          <w:p w14:paraId="5E5026B3" w14:textId="77777777" w:rsidR="00807992" w:rsidRPr="00667DFF" w:rsidRDefault="00807992" w:rsidP="000023D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7.762.30</w:t>
            </w:r>
            <w:r w:rsidR="000023DA">
              <w:rPr>
                <w:rFonts w:ascii="Arial" w:hAnsi="Arial" w:cs="Arial"/>
                <w:color w:val="000000"/>
                <w:sz w:val="18"/>
                <w:szCs w:val="18"/>
                <w:lang w:val="es-ES" w:eastAsia="es-ES"/>
              </w:rPr>
              <w:t>1</w:t>
            </w:r>
          </w:p>
        </w:tc>
        <w:tc>
          <w:tcPr>
            <w:tcW w:w="914" w:type="pct"/>
            <w:tcBorders>
              <w:top w:val="single" w:sz="4" w:space="0" w:color="auto"/>
              <w:left w:val="nil"/>
              <w:bottom w:val="single" w:sz="4" w:space="0" w:color="auto"/>
              <w:right w:val="nil"/>
            </w:tcBorders>
            <w:shd w:val="clear" w:color="000000" w:fill="FABF8F"/>
            <w:vAlign w:val="center"/>
          </w:tcPr>
          <w:p w14:paraId="43E994A4" w14:textId="77777777" w:rsidR="00807992" w:rsidRPr="00667DFF" w:rsidRDefault="00807992" w:rsidP="0080799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154</w:t>
            </w:r>
          </w:p>
        </w:tc>
      </w:tr>
    </w:tbl>
    <w:p w14:paraId="381C3591" w14:textId="77777777" w:rsidR="003D644A" w:rsidRPr="00974B96" w:rsidRDefault="003D644A" w:rsidP="00131ACA">
      <w:pPr>
        <w:tabs>
          <w:tab w:val="left" w:pos="708"/>
          <w:tab w:val="center" w:pos="2835"/>
          <w:tab w:val="center" w:pos="3969"/>
          <w:tab w:val="center" w:pos="5103"/>
          <w:tab w:val="center" w:pos="6237"/>
          <w:tab w:val="center" w:pos="7371"/>
        </w:tabs>
        <w:spacing w:before="120" w:after="120"/>
        <w:ind w:firstLine="284"/>
        <w:rPr>
          <w:spacing w:val="6"/>
          <w:sz w:val="26"/>
          <w:szCs w:val="24"/>
        </w:rPr>
      </w:pPr>
    </w:p>
    <w:p w14:paraId="2D3FD7C4" w14:textId="77777777" w:rsidR="003D644A" w:rsidRDefault="003D644A" w:rsidP="003D644A">
      <w:pPr>
        <w:pStyle w:val="Prrafodelista"/>
        <w:keepNext/>
        <w:spacing w:after="240"/>
        <w:ind w:left="142" w:firstLine="0"/>
        <w:rPr>
          <w:rFonts w:cs="Arial"/>
          <w:spacing w:val="6"/>
          <w:sz w:val="26"/>
          <w:szCs w:val="24"/>
        </w:rPr>
      </w:pPr>
      <w:r>
        <w:rPr>
          <w:rFonts w:ascii="Arial" w:hAnsi="Arial"/>
          <w:i/>
          <w:iCs/>
          <w:color w:val="000000"/>
          <w:spacing w:val="10"/>
          <w:kern w:val="28"/>
          <w:sz w:val="25"/>
          <w:szCs w:val="26"/>
        </w:rPr>
        <w:t>Transferencias y subvenciones corrientes</w:t>
      </w:r>
    </w:p>
    <w:p w14:paraId="054536C0" w14:textId="77777777" w:rsidR="00807992" w:rsidRDefault="00807992" w:rsidP="00807992">
      <w:pPr>
        <w:tabs>
          <w:tab w:val="left" w:pos="708"/>
          <w:tab w:val="center" w:pos="2835"/>
          <w:tab w:val="center" w:pos="3969"/>
          <w:tab w:val="center" w:pos="5103"/>
          <w:tab w:val="center" w:pos="6237"/>
          <w:tab w:val="center" w:pos="7371"/>
        </w:tabs>
        <w:spacing w:before="240"/>
        <w:ind w:firstLine="284"/>
        <w:rPr>
          <w:rFonts w:cs="Arial"/>
          <w:spacing w:val="6"/>
          <w:sz w:val="26"/>
          <w:szCs w:val="24"/>
        </w:rPr>
      </w:pPr>
      <w:r w:rsidRPr="00667DFF">
        <w:rPr>
          <w:rFonts w:cs="Arial"/>
          <w:spacing w:val="6"/>
          <w:sz w:val="26"/>
          <w:szCs w:val="24"/>
        </w:rPr>
        <w:t>Las transferencias y subvenciones</w:t>
      </w:r>
      <w:r>
        <w:rPr>
          <w:rFonts w:cs="Arial"/>
          <w:spacing w:val="6"/>
          <w:sz w:val="26"/>
          <w:szCs w:val="24"/>
        </w:rPr>
        <w:t xml:space="preserve"> ascendieron a 27,3 </w:t>
      </w:r>
      <w:r w:rsidRPr="00667DFF">
        <w:rPr>
          <w:rFonts w:cs="Arial"/>
          <w:spacing w:val="6"/>
          <w:sz w:val="26"/>
          <w:szCs w:val="24"/>
        </w:rPr>
        <w:t xml:space="preserve">millones y representaron el </w:t>
      </w:r>
      <w:r w:rsidR="003D644A">
        <w:rPr>
          <w:rFonts w:cs="Arial"/>
          <w:spacing w:val="6"/>
          <w:sz w:val="26"/>
          <w:szCs w:val="24"/>
        </w:rPr>
        <w:t xml:space="preserve">12 </w:t>
      </w:r>
      <w:r w:rsidRPr="00515928">
        <w:rPr>
          <w:rFonts w:cs="Arial"/>
          <w:spacing w:val="6"/>
          <w:sz w:val="26"/>
          <w:szCs w:val="24"/>
        </w:rPr>
        <w:t xml:space="preserve">por ciento del total </w:t>
      </w:r>
      <w:r w:rsidRPr="00667DFF">
        <w:rPr>
          <w:rFonts w:cs="Arial"/>
          <w:spacing w:val="6"/>
          <w:sz w:val="26"/>
          <w:szCs w:val="24"/>
        </w:rPr>
        <w:t xml:space="preserve">de obligaciones reconocidas en el </w:t>
      </w:r>
      <w:r>
        <w:rPr>
          <w:rFonts w:cs="Arial"/>
          <w:spacing w:val="6"/>
          <w:sz w:val="26"/>
          <w:szCs w:val="24"/>
        </w:rPr>
        <w:t>ejercicio</w:t>
      </w:r>
      <w:r w:rsidRPr="00667DFF">
        <w:rPr>
          <w:rFonts w:cs="Arial"/>
          <w:spacing w:val="6"/>
          <w:sz w:val="26"/>
          <w:szCs w:val="24"/>
        </w:rPr>
        <w:t xml:space="preserve"> </w:t>
      </w:r>
      <w:r>
        <w:rPr>
          <w:rFonts w:cs="Arial"/>
          <w:spacing w:val="6"/>
          <w:sz w:val="26"/>
          <w:szCs w:val="24"/>
        </w:rPr>
        <w:t>2021</w:t>
      </w:r>
      <w:r w:rsidRPr="00667DFF">
        <w:rPr>
          <w:rFonts w:cs="Arial"/>
          <w:spacing w:val="6"/>
          <w:sz w:val="26"/>
          <w:szCs w:val="24"/>
        </w:rPr>
        <w:t xml:space="preserve">. Su grado de ejecución fue del </w:t>
      </w:r>
      <w:r w:rsidRPr="00515928">
        <w:rPr>
          <w:rFonts w:cs="Arial"/>
          <w:spacing w:val="6"/>
          <w:sz w:val="26"/>
          <w:szCs w:val="24"/>
        </w:rPr>
        <w:t>96 p</w:t>
      </w:r>
      <w:r w:rsidRPr="00667DFF">
        <w:rPr>
          <w:rFonts w:cs="Arial"/>
          <w:spacing w:val="6"/>
          <w:sz w:val="26"/>
          <w:szCs w:val="24"/>
        </w:rPr>
        <w:t>or cie</w:t>
      </w:r>
      <w:r>
        <w:rPr>
          <w:rFonts w:cs="Arial"/>
          <w:spacing w:val="6"/>
          <w:sz w:val="26"/>
          <w:szCs w:val="24"/>
        </w:rPr>
        <w:t>nto de los créditos definitivos y r</w:t>
      </w:r>
      <w:r w:rsidRPr="00667DFF">
        <w:rPr>
          <w:rFonts w:cs="Arial"/>
          <w:spacing w:val="6"/>
          <w:sz w:val="26"/>
          <w:szCs w:val="24"/>
        </w:rPr>
        <w:t xml:space="preserve">especto al </w:t>
      </w:r>
      <w:r>
        <w:rPr>
          <w:rFonts w:cs="Arial"/>
          <w:spacing w:val="6"/>
          <w:sz w:val="26"/>
          <w:szCs w:val="24"/>
        </w:rPr>
        <w:lastRenderedPageBreak/>
        <w:t>ejercicio</w:t>
      </w:r>
      <w:r w:rsidRPr="00667DFF">
        <w:rPr>
          <w:rFonts w:cs="Arial"/>
          <w:spacing w:val="6"/>
          <w:sz w:val="26"/>
          <w:szCs w:val="24"/>
        </w:rPr>
        <w:t xml:space="preserve"> anterior han </w:t>
      </w:r>
      <w:r>
        <w:rPr>
          <w:rFonts w:cs="Arial"/>
          <w:spacing w:val="6"/>
          <w:sz w:val="26"/>
          <w:szCs w:val="24"/>
        </w:rPr>
        <w:t>aumentado en un 18 por ciento, siendo las principales variaciones:</w:t>
      </w:r>
    </w:p>
    <w:p w14:paraId="4B520E3C" w14:textId="77777777" w:rsidR="00807992" w:rsidRPr="000023DA" w:rsidRDefault="00953715" w:rsidP="00A25E5D">
      <w:pPr>
        <w:numPr>
          <w:ilvl w:val="0"/>
          <w:numId w:val="10"/>
        </w:numPr>
        <w:tabs>
          <w:tab w:val="num" w:pos="284"/>
          <w:tab w:val="num" w:pos="600"/>
          <w:tab w:val="num" w:pos="720"/>
          <w:tab w:val="num" w:pos="1320"/>
        </w:tabs>
        <w:spacing w:before="120" w:after="120"/>
        <w:rPr>
          <w:rFonts w:cs="Arial"/>
          <w:spacing w:val="2"/>
          <w:sz w:val="26"/>
          <w:szCs w:val="24"/>
        </w:rPr>
      </w:pPr>
      <w:r>
        <w:rPr>
          <w:rFonts w:cs="Arial"/>
          <w:spacing w:val="2"/>
          <w:sz w:val="26"/>
          <w:szCs w:val="24"/>
        </w:rPr>
        <w:t xml:space="preserve">La mayor parte </w:t>
      </w:r>
      <w:r w:rsidR="000023DA" w:rsidRPr="000023DA">
        <w:rPr>
          <w:rFonts w:cs="Arial"/>
          <w:spacing w:val="2"/>
          <w:sz w:val="26"/>
          <w:szCs w:val="24"/>
        </w:rPr>
        <w:t xml:space="preserve">del </w:t>
      </w:r>
      <w:r w:rsidR="00807992" w:rsidRPr="000023DA">
        <w:rPr>
          <w:rFonts w:cs="Arial"/>
          <w:spacing w:val="2"/>
          <w:sz w:val="26"/>
          <w:szCs w:val="24"/>
        </w:rPr>
        <w:t xml:space="preserve">aumento en un 441 por ciento de las transferencias a </w:t>
      </w:r>
      <w:r w:rsidR="000023DA" w:rsidRPr="000023DA">
        <w:rPr>
          <w:rFonts w:cs="Arial"/>
          <w:spacing w:val="2"/>
          <w:sz w:val="26"/>
          <w:szCs w:val="24"/>
        </w:rPr>
        <w:t xml:space="preserve">entes públicos y sociedades mercantiles de la entidad, está soportado en las </w:t>
      </w:r>
      <w:r w:rsidR="000023DA">
        <w:rPr>
          <w:rFonts w:cs="Arial"/>
          <w:spacing w:val="2"/>
          <w:sz w:val="26"/>
          <w:szCs w:val="24"/>
        </w:rPr>
        <w:t xml:space="preserve">transferencias a </w:t>
      </w:r>
      <w:r w:rsidR="00807992" w:rsidRPr="000023DA">
        <w:rPr>
          <w:rFonts w:cs="Arial"/>
          <w:spacing w:val="2"/>
          <w:sz w:val="26"/>
          <w:szCs w:val="24"/>
        </w:rPr>
        <w:t xml:space="preserve">la sociedad SAD S.L.U. La gestión del servicio de atención a </w:t>
      </w:r>
      <w:r w:rsidR="0079721A">
        <w:rPr>
          <w:rFonts w:cs="Arial"/>
          <w:spacing w:val="2"/>
          <w:sz w:val="26"/>
          <w:szCs w:val="24"/>
        </w:rPr>
        <w:t xml:space="preserve">domicilio </w:t>
      </w:r>
      <w:r w:rsidR="00807992" w:rsidRPr="000023DA">
        <w:rPr>
          <w:rFonts w:cs="Arial"/>
          <w:spacing w:val="2"/>
          <w:sz w:val="26"/>
          <w:szCs w:val="24"/>
        </w:rPr>
        <w:t xml:space="preserve">tal y como se ha comentado </w:t>
      </w:r>
      <w:r w:rsidR="009838F0">
        <w:rPr>
          <w:rFonts w:cs="Arial"/>
          <w:spacing w:val="2"/>
          <w:sz w:val="26"/>
          <w:szCs w:val="24"/>
        </w:rPr>
        <w:t>en otros apartados del informe</w:t>
      </w:r>
      <w:r w:rsidR="00807992" w:rsidRPr="000023DA">
        <w:rPr>
          <w:rFonts w:cs="Arial"/>
          <w:spacing w:val="2"/>
          <w:sz w:val="26"/>
          <w:szCs w:val="24"/>
        </w:rPr>
        <w:t>, fue objeto de un cambio de gestión, por lo que la financiación del coste de personal que anteriorment</w:t>
      </w:r>
      <w:r w:rsidR="0013128B">
        <w:rPr>
          <w:rFonts w:cs="Arial"/>
          <w:spacing w:val="2"/>
          <w:sz w:val="26"/>
          <w:szCs w:val="24"/>
        </w:rPr>
        <w:t>e se imputaba al capítulo 1 de gastos de p</w:t>
      </w:r>
      <w:r w:rsidR="00807992" w:rsidRPr="000023DA">
        <w:rPr>
          <w:rFonts w:cs="Arial"/>
          <w:spacing w:val="2"/>
          <w:sz w:val="26"/>
          <w:szCs w:val="24"/>
        </w:rPr>
        <w:t>ersonal, pasa a financiarse, previa modificación presupuestaria, desde el capítulo de transferencias corrientes a la citada sociedad.</w:t>
      </w:r>
    </w:p>
    <w:p w14:paraId="25F8ED43" w14:textId="77777777" w:rsidR="00807992" w:rsidRDefault="00807992" w:rsidP="00807992">
      <w:pPr>
        <w:numPr>
          <w:ilvl w:val="0"/>
          <w:numId w:val="10"/>
        </w:numPr>
        <w:tabs>
          <w:tab w:val="num" w:pos="284"/>
          <w:tab w:val="num" w:pos="600"/>
          <w:tab w:val="num" w:pos="720"/>
          <w:tab w:val="num" w:pos="1320"/>
        </w:tabs>
        <w:spacing w:before="120" w:after="120"/>
        <w:rPr>
          <w:rFonts w:cs="Arial"/>
          <w:spacing w:val="2"/>
          <w:sz w:val="26"/>
          <w:szCs w:val="24"/>
        </w:rPr>
      </w:pPr>
      <w:r w:rsidRPr="00136DC0">
        <w:rPr>
          <w:rFonts w:cs="Arial"/>
          <w:spacing w:val="2"/>
          <w:sz w:val="26"/>
          <w:szCs w:val="24"/>
        </w:rPr>
        <w:t xml:space="preserve">El aumento del 32 por ciento de subvenciones a empresas </w:t>
      </w:r>
      <w:proofErr w:type="gramStart"/>
      <w:r w:rsidRPr="00136DC0">
        <w:rPr>
          <w:rFonts w:cs="Arial"/>
          <w:spacing w:val="2"/>
          <w:sz w:val="26"/>
          <w:szCs w:val="24"/>
        </w:rPr>
        <w:t>privadas,</w:t>
      </w:r>
      <w:proofErr w:type="gramEnd"/>
      <w:r w:rsidRPr="00136DC0">
        <w:rPr>
          <w:rFonts w:cs="Arial"/>
          <w:spacing w:val="2"/>
          <w:sz w:val="26"/>
          <w:szCs w:val="24"/>
        </w:rPr>
        <w:t xml:space="preserve"> </w:t>
      </w:r>
      <w:r w:rsidR="003D644A">
        <w:rPr>
          <w:rFonts w:cs="Arial"/>
          <w:spacing w:val="2"/>
          <w:sz w:val="26"/>
          <w:szCs w:val="24"/>
        </w:rPr>
        <w:t>está relacionado</w:t>
      </w:r>
      <w:r w:rsidRPr="00136DC0">
        <w:rPr>
          <w:rFonts w:cs="Arial"/>
          <w:spacing w:val="2"/>
          <w:sz w:val="26"/>
          <w:szCs w:val="24"/>
        </w:rPr>
        <w:t xml:space="preserve"> con la campaña de bonos de descuento Pamplona Up para el comercio y hostelería principalmente. </w:t>
      </w:r>
    </w:p>
    <w:p w14:paraId="59B2F888" w14:textId="77777777" w:rsidR="003D644A" w:rsidRPr="00136DC0" w:rsidRDefault="003D644A" w:rsidP="003D644A">
      <w:pPr>
        <w:pStyle w:val="Prrafodelista"/>
        <w:keepNext/>
        <w:spacing w:after="240"/>
        <w:ind w:left="142" w:firstLine="0"/>
        <w:rPr>
          <w:rFonts w:cs="Arial"/>
          <w:spacing w:val="2"/>
          <w:sz w:val="26"/>
          <w:szCs w:val="24"/>
        </w:rPr>
      </w:pPr>
      <w:r>
        <w:rPr>
          <w:rFonts w:ascii="Arial" w:hAnsi="Arial"/>
          <w:i/>
          <w:iCs/>
          <w:color w:val="000000"/>
          <w:spacing w:val="10"/>
          <w:kern w:val="28"/>
          <w:sz w:val="25"/>
          <w:szCs w:val="26"/>
        </w:rPr>
        <w:t>Transferencias y subvenciones de capital</w:t>
      </w:r>
    </w:p>
    <w:p w14:paraId="41F56767" w14:textId="77777777" w:rsidR="00807992" w:rsidRDefault="00807992" w:rsidP="00807992">
      <w:pPr>
        <w:tabs>
          <w:tab w:val="left" w:pos="708"/>
          <w:tab w:val="center" w:pos="2835"/>
          <w:tab w:val="center" w:pos="3969"/>
          <w:tab w:val="center" w:pos="5103"/>
          <w:tab w:val="center" w:pos="6237"/>
          <w:tab w:val="center" w:pos="7371"/>
        </w:tabs>
        <w:spacing w:before="240"/>
        <w:ind w:firstLine="284"/>
        <w:rPr>
          <w:rFonts w:cs="Arial"/>
          <w:color w:val="000000" w:themeColor="text1"/>
          <w:spacing w:val="6"/>
          <w:sz w:val="26"/>
          <w:szCs w:val="24"/>
        </w:rPr>
      </w:pPr>
      <w:r w:rsidRPr="00667DFF">
        <w:rPr>
          <w:rFonts w:cs="Arial"/>
          <w:spacing w:val="6"/>
          <w:sz w:val="26"/>
          <w:szCs w:val="24"/>
        </w:rPr>
        <w:t xml:space="preserve">Las transferencias y subvenciones ascendieron a </w:t>
      </w:r>
      <w:r w:rsidRPr="00515928">
        <w:rPr>
          <w:rFonts w:cs="Arial"/>
          <w:spacing w:val="6"/>
          <w:sz w:val="26"/>
          <w:szCs w:val="24"/>
        </w:rPr>
        <w:t xml:space="preserve">7,8 </w:t>
      </w:r>
      <w:r w:rsidRPr="00667DFF">
        <w:rPr>
          <w:rFonts w:cs="Arial"/>
          <w:spacing w:val="6"/>
          <w:sz w:val="26"/>
          <w:szCs w:val="24"/>
        </w:rPr>
        <w:t xml:space="preserve">millones, lo que supuso el </w:t>
      </w:r>
      <w:r w:rsidRPr="00515928">
        <w:rPr>
          <w:rFonts w:cs="Arial"/>
          <w:spacing w:val="6"/>
          <w:sz w:val="26"/>
          <w:szCs w:val="24"/>
        </w:rPr>
        <w:t xml:space="preserve">tres </w:t>
      </w:r>
      <w:r w:rsidRPr="00667DFF">
        <w:rPr>
          <w:rFonts w:cs="Arial"/>
          <w:spacing w:val="6"/>
          <w:sz w:val="26"/>
          <w:szCs w:val="24"/>
        </w:rPr>
        <w:t xml:space="preserve">por ciento del total de obligaciones reconocidas en </w:t>
      </w:r>
      <w:r>
        <w:rPr>
          <w:rFonts w:cs="Arial"/>
          <w:spacing w:val="6"/>
          <w:sz w:val="26"/>
          <w:szCs w:val="24"/>
        </w:rPr>
        <w:t>2021. Su grado de ejecución fue del 68 por ciento</w:t>
      </w:r>
      <w:r w:rsidRPr="00667DFF">
        <w:rPr>
          <w:rFonts w:cs="Arial"/>
          <w:spacing w:val="6"/>
          <w:sz w:val="26"/>
          <w:szCs w:val="24"/>
        </w:rPr>
        <w:t xml:space="preserve"> </w:t>
      </w:r>
      <w:r w:rsidRPr="00667DFF">
        <w:rPr>
          <w:rFonts w:cs="Arial"/>
          <w:color w:val="000000" w:themeColor="text1"/>
          <w:spacing w:val="6"/>
          <w:sz w:val="26"/>
          <w:szCs w:val="24"/>
        </w:rPr>
        <w:t xml:space="preserve">y han </w:t>
      </w:r>
      <w:r>
        <w:rPr>
          <w:rFonts w:cs="Arial"/>
          <w:color w:val="000000" w:themeColor="text1"/>
          <w:spacing w:val="6"/>
          <w:sz w:val="26"/>
          <w:szCs w:val="24"/>
        </w:rPr>
        <w:t xml:space="preserve">aumentado </w:t>
      </w:r>
      <w:r w:rsidRPr="00667DFF">
        <w:rPr>
          <w:rFonts w:cs="Arial"/>
          <w:color w:val="000000" w:themeColor="text1"/>
          <w:spacing w:val="6"/>
          <w:sz w:val="26"/>
          <w:szCs w:val="24"/>
        </w:rPr>
        <w:t xml:space="preserve">un </w:t>
      </w:r>
      <w:r>
        <w:rPr>
          <w:rFonts w:cs="Arial"/>
          <w:color w:val="000000" w:themeColor="text1"/>
          <w:spacing w:val="6"/>
          <w:sz w:val="26"/>
          <w:szCs w:val="24"/>
        </w:rPr>
        <w:t xml:space="preserve">154 </w:t>
      </w:r>
      <w:r w:rsidRPr="00667DFF">
        <w:rPr>
          <w:rFonts w:cs="Arial"/>
          <w:color w:val="000000" w:themeColor="text1"/>
          <w:spacing w:val="6"/>
          <w:sz w:val="26"/>
          <w:szCs w:val="24"/>
        </w:rPr>
        <w:t>por ciento respecto al ejercicio anter</w:t>
      </w:r>
      <w:r>
        <w:rPr>
          <w:rFonts w:cs="Arial"/>
          <w:color w:val="000000" w:themeColor="text1"/>
          <w:spacing w:val="6"/>
          <w:sz w:val="26"/>
          <w:szCs w:val="24"/>
        </w:rPr>
        <w:t xml:space="preserve">ior, siendo las principales variaciones las correspondientes a: </w:t>
      </w:r>
    </w:p>
    <w:p w14:paraId="7E8CA6C4" w14:textId="77777777" w:rsidR="00807992" w:rsidRPr="00515928" w:rsidRDefault="00807992" w:rsidP="00807992">
      <w:pPr>
        <w:numPr>
          <w:ilvl w:val="0"/>
          <w:numId w:val="10"/>
        </w:numPr>
        <w:tabs>
          <w:tab w:val="num" w:pos="284"/>
          <w:tab w:val="num" w:pos="600"/>
          <w:tab w:val="num" w:pos="720"/>
          <w:tab w:val="num" w:pos="1320"/>
        </w:tabs>
        <w:spacing w:before="120" w:after="120"/>
        <w:rPr>
          <w:rFonts w:cs="Arial"/>
          <w:spacing w:val="2"/>
          <w:sz w:val="26"/>
          <w:szCs w:val="24"/>
        </w:rPr>
      </w:pPr>
      <w:r w:rsidRPr="00515928">
        <w:rPr>
          <w:rFonts w:cs="Arial"/>
          <w:spacing w:val="2"/>
          <w:sz w:val="26"/>
          <w:szCs w:val="24"/>
        </w:rPr>
        <w:t>El aumento del 152 por ciento en las transferencias de capital a los OOAA, para financiar los siguientes gastos de inversión:</w:t>
      </w:r>
    </w:p>
    <w:p w14:paraId="74E6B0ED" w14:textId="77777777" w:rsidR="00807992" w:rsidRPr="00515928" w:rsidRDefault="00807992" w:rsidP="007E5CC4">
      <w:pPr>
        <w:pStyle w:val="Prrafodelista"/>
        <w:numPr>
          <w:ilvl w:val="0"/>
          <w:numId w:val="16"/>
        </w:numPr>
        <w:tabs>
          <w:tab w:val="left" w:pos="284"/>
          <w:tab w:val="center" w:pos="2835"/>
          <w:tab w:val="center" w:pos="3969"/>
          <w:tab w:val="center" w:pos="5103"/>
          <w:tab w:val="center" w:pos="6237"/>
          <w:tab w:val="center" w:pos="7371"/>
        </w:tabs>
        <w:spacing w:before="240"/>
        <w:ind w:left="284" w:hanging="142"/>
        <w:rPr>
          <w:rFonts w:cs="Arial"/>
          <w:spacing w:val="6"/>
          <w:sz w:val="26"/>
          <w:szCs w:val="24"/>
        </w:rPr>
      </w:pPr>
      <w:r w:rsidRPr="00515928">
        <w:rPr>
          <w:rFonts w:cs="Arial"/>
          <w:spacing w:val="6"/>
          <w:sz w:val="26"/>
          <w:szCs w:val="24"/>
        </w:rPr>
        <w:t xml:space="preserve">Escuelas Infantiles: Reformas en los centros educativos de </w:t>
      </w:r>
      <w:proofErr w:type="spellStart"/>
      <w:r w:rsidRPr="00515928">
        <w:rPr>
          <w:rFonts w:cs="Arial"/>
          <w:spacing w:val="6"/>
          <w:sz w:val="26"/>
          <w:szCs w:val="24"/>
        </w:rPr>
        <w:t>Goiz</w:t>
      </w:r>
      <w:proofErr w:type="spellEnd"/>
      <w:r w:rsidRPr="00515928">
        <w:rPr>
          <w:rFonts w:cs="Arial"/>
          <w:spacing w:val="6"/>
          <w:sz w:val="26"/>
          <w:szCs w:val="24"/>
        </w:rPr>
        <w:t xml:space="preserve"> Eder y </w:t>
      </w:r>
      <w:proofErr w:type="spellStart"/>
      <w:r w:rsidRPr="00515928">
        <w:rPr>
          <w:rFonts w:cs="Arial"/>
          <w:spacing w:val="6"/>
          <w:sz w:val="26"/>
          <w:szCs w:val="24"/>
        </w:rPr>
        <w:t>Mendebaldea</w:t>
      </w:r>
      <w:proofErr w:type="spellEnd"/>
      <w:r w:rsidRPr="00515928">
        <w:rPr>
          <w:rFonts w:cs="Arial"/>
          <w:spacing w:val="6"/>
          <w:sz w:val="26"/>
          <w:szCs w:val="24"/>
        </w:rPr>
        <w:t xml:space="preserve">. </w:t>
      </w:r>
    </w:p>
    <w:p w14:paraId="511E5A86" w14:textId="77777777" w:rsidR="00807992" w:rsidRPr="00515928" w:rsidRDefault="00807992" w:rsidP="007E5CC4">
      <w:pPr>
        <w:pStyle w:val="Prrafodelista"/>
        <w:numPr>
          <w:ilvl w:val="0"/>
          <w:numId w:val="16"/>
        </w:numPr>
        <w:tabs>
          <w:tab w:val="left" w:pos="284"/>
          <w:tab w:val="center" w:pos="2835"/>
          <w:tab w:val="center" w:pos="3969"/>
          <w:tab w:val="center" w:pos="5103"/>
          <w:tab w:val="center" w:pos="6237"/>
          <w:tab w:val="center" w:pos="7371"/>
        </w:tabs>
        <w:spacing w:before="240"/>
        <w:ind w:left="284" w:hanging="142"/>
        <w:rPr>
          <w:rFonts w:cs="Arial"/>
          <w:spacing w:val="6"/>
          <w:sz w:val="26"/>
          <w:szCs w:val="24"/>
        </w:rPr>
      </w:pPr>
      <w:r w:rsidRPr="00515928">
        <w:rPr>
          <w:rFonts w:cs="Arial"/>
          <w:spacing w:val="6"/>
          <w:sz w:val="26"/>
          <w:szCs w:val="24"/>
        </w:rPr>
        <w:t>Gerencia</w:t>
      </w:r>
      <w:r w:rsidR="003D644A">
        <w:rPr>
          <w:rFonts w:cs="Arial"/>
          <w:spacing w:val="6"/>
          <w:sz w:val="26"/>
          <w:szCs w:val="24"/>
        </w:rPr>
        <w:t xml:space="preserve"> de Urbanismo: Ejecución de la Primera</w:t>
      </w:r>
      <w:r w:rsidRPr="00515928">
        <w:rPr>
          <w:rFonts w:cs="Arial"/>
          <w:spacing w:val="6"/>
          <w:sz w:val="26"/>
          <w:szCs w:val="24"/>
        </w:rPr>
        <w:t xml:space="preserve"> fase Magdalena-</w:t>
      </w:r>
      <w:proofErr w:type="spellStart"/>
      <w:r w:rsidRPr="00515928">
        <w:rPr>
          <w:rFonts w:cs="Arial"/>
          <w:spacing w:val="6"/>
          <w:sz w:val="26"/>
          <w:szCs w:val="24"/>
        </w:rPr>
        <w:t>Txantrea</w:t>
      </w:r>
      <w:proofErr w:type="spellEnd"/>
      <w:r w:rsidRPr="00515928">
        <w:rPr>
          <w:rFonts w:cs="Arial"/>
          <w:spacing w:val="6"/>
          <w:sz w:val="26"/>
          <w:szCs w:val="24"/>
        </w:rPr>
        <w:t xml:space="preserve"> Sur, parcelas </w:t>
      </w:r>
      <w:proofErr w:type="spellStart"/>
      <w:r w:rsidRPr="00515928">
        <w:rPr>
          <w:rFonts w:cs="Arial"/>
          <w:spacing w:val="6"/>
          <w:sz w:val="26"/>
          <w:szCs w:val="24"/>
        </w:rPr>
        <w:t>Lezkairu</w:t>
      </w:r>
      <w:proofErr w:type="spellEnd"/>
      <w:r w:rsidRPr="00515928">
        <w:rPr>
          <w:rFonts w:cs="Arial"/>
          <w:spacing w:val="6"/>
          <w:sz w:val="26"/>
          <w:szCs w:val="24"/>
        </w:rPr>
        <w:t>, mejora del acceso peatonal entre Pamplona y Orcoyen y para la financiación de la redacción del PEAU de la Milagrosa.</w:t>
      </w:r>
    </w:p>
    <w:p w14:paraId="1483AC36" w14:textId="77777777" w:rsidR="00807992" w:rsidRDefault="00807992" w:rsidP="00807992">
      <w:pPr>
        <w:numPr>
          <w:ilvl w:val="0"/>
          <w:numId w:val="10"/>
        </w:numPr>
        <w:tabs>
          <w:tab w:val="num" w:pos="284"/>
          <w:tab w:val="num" w:pos="600"/>
          <w:tab w:val="num" w:pos="720"/>
          <w:tab w:val="num" w:pos="1320"/>
        </w:tabs>
        <w:spacing w:before="120" w:after="120"/>
        <w:rPr>
          <w:rFonts w:cs="Arial"/>
          <w:spacing w:val="2"/>
          <w:sz w:val="26"/>
          <w:szCs w:val="24"/>
        </w:rPr>
      </w:pPr>
      <w:r>
        <w:rPr>
          <w:rFonts w:cs="Arial"/>
          <w:spacing w:val="2"/>
          <w:sz w:val="26"/>
          <w:szCs w:val="24"/>
        </w:rPr>
        <w:t xml:space="preserve">El notable aumento de financiación en 2021 en dos millones a las sociedades </w:t>
      </w:r>
      <w:proofErr w:type="gramStart"/>
      <w:r>
        <w:rPr>
          <w:rFonts w:cs="Arial"/>
          <w:spacing w:val="2"/>
          <w:sz w:val="26"/>
          <w:szCs w:val="24"/>
        </w:rPr>
        <w:t>mercantiles,</w:t>
      </w:r>
      <w:proofErr w:type="gramEnd"/>
      <w:r>
        <w:rPr>
          <w:rFonts w:cs="Arial"/>
          <w:spacing w:val="2"/>
          <w:sz w:val="26"/>
          <w:szCs w:val="24"/>
        </w:rPr>
        <w:t xml:space="preserve"> se debe a que en el ejercicio anterior no se financió ninguna inversión de las empresas públicas. </w:t>
      </w:r>
      <w:r w:rsidR="00C26216">
        <w:rPr>
          <w:rFonts w:cs="Arial"/>
          <w:spacing w:val="2"/>
          <w:sz w:val="26"/>
          <w:szCs w:val="24"/>
        </w:rPr>
        <w:t>Para el ejercicio 2021 se han</w:t>
      </w:r>
      <w:r>
        <w:rPr>
          <w:rFonts w:cs="Arial"/>
          <w:spacing w:val="2"/>
          <w:sz w:val="26"/>
          <w:szCs w:val="24"/>
        </w:rPr>
        <w:t xml:space="preserve"> </w:t>
      </w:r>
      <w:r w:rsidR="00C26216">
        <w:rPr>
          <w:rFonts w:cs="Arial"/>
          <w:spacing w:val="2"/>
          <w:sz w:val="26"/>
          <w:szCs w:val="24"/>
        </w:rPr>
        <w:t>previsto l</w:t>
      </w:r>
      <w:r>
        <w:rPr>
          <w:rFonts w:cs="Arial"/>
          <w:spacing w:val="2"/>
          <w:sz w:val="26"/>
          <w:szCs w:val="24"/>
        </w:rPr>
        <w:t>as siguientes inversiones:</w:t>
      </w:r>
    </w:p>
    <w:p w14:paraId="1A724BD1" w14:textId="77777777" w:rsidR="00807992" w:rsidRPr="00515928" w:rsidRDefault="00807992" w:rsidP="007E5CC4">
      <w:pPr>
        <w:pStyle w:val="Prrafodelista"/>
        <w:numPr>
          <w:ilvl w:val="0"/>
          <w:numId w:val="16"/>
        </w:numPr>
        <w:tabs>
          <w:tab w:val="left" w:pos="284"/>
          <w:tab w:val="center" w:pos="2835"/>
          <w:tab w:val="center" w:pos="3969"/>
          <w:tab w:val="center" w:pos="5103"/>
          <w:tab w:val="center" w:pos="6237"/>
          <w:tab w:val="center" w:pos="7371"/>
        </w:tabs>
        <w:spacing w:before="240"/>
        <w:ind w:left="284" w:hanging="142"/>
        <w:rPr>
          <w:rFonts w:cs="Arial"/>
          <w:spacing w:val="2"/>
          <w:sz w:val="26"/>
          <w:szCs w:val="24"/>
        </w:rPr>
      </w:pPr>
      <w:proofErr w:type="spellStart"/>
      <w:r w:rsidRPr="00515928">
        <w:rPr>
          <w:rFonts w:cs="Arial"/>
          <w:spacing w:val="2"/>
          <w:sz w:val="26"/>
          <w:szCs w:val="24"/>
        </w:rPr>
        <w:t>Comiruña</w:t>
      </w:r>
      <w:proofErr w:type="spellEnd"/>
      <w:r w:rsidRPr="00515928">
        <w:rPr>
          <w:rFonts w:cs="Arial"/>
          <w:spacing w:val="2"/>
          <w:sz w:val="26"/>
          <w:szCs w:val="24"/>
        </w:rPr>
        <w:t>: un millón para la financiación de obras en el Mercado del II Ensanche</w:t>
      </w:r>
      <w:r w:rsidR="0079721A">
        <w:rPr>
          <w:rFonts w:cs="Arial"/>
          <w:spacing w:val="2"/>
          <w:sz w:val="26"/>
          <w:szCs w:val="24"/>
        </w:rPr>
        <w:t>.</w:t>
      </w:r>
    </w:p>
    <w:p w14:paraId="2DD34D3F" w14:textId="77777777" w:rsidR="00807992" w:rsidRDefault="00807992" w:rsidP="007E5CC4">
      <w:pPr>
        <w:pStyle w:val="Prrafodelista"/>
        <w:numPr>
          <w:ilvl w:val="0"/>
          <w:numId w:val="16"/>
        </w:numPr>
        <w:tabs>
          <w:tab w:val="left" w:pos="284"/>
          <w:tab w:val="center" w:pos="2835"/>
          <w:tab w:val="center" w:pos="3969"/>
          <w:tab w:val="center" w:pos="5103"/>
          <w:tab w:val="center" w:pos="6237"/>
          <w:tab w:val="center" w:pos="7371"/>
        </w:tabs>
        <w:spacing w:before="240"/>
        <w:ind w:left="284" w:hanging="142"/>
        <w:rPr>
          <w:rFonts w:cs="Arial"/>
          <w:spacing w:val="2"/>
          <w:sz w:val="26"/>
          <w:szCs w:val="24"/>
        </w:rPr>
      </w:pPr>
      <w:r w:rsidRPr="00515928">
        <w:rPr>
          <w:rFonts w:cs="Arial"/>
          <w:spacing w:val="2"/>
          <w:sz w:val="26"/>
          <w:szCs w:val="24"/>
        </w:rPr>
        <w:t xml:space="preserve">Pamplona Centro Histórico: </w:t>
      </w:r>
      <w:r>
        <w:rPr>
          <w:rFonts w:cs="Arial"/>
          <w:spacing w:val="2"/>
          <w:sz w:val="26"/>
          <w:szCs w:val="24"/>
        </w:rPr>
        <w:t xml:space="preserve">un millón destinado a financiar la creación de una oficina de barrio relacionado con </w:t>
      </w:r>
      <w:r w:rsidRPr="00186034">
        <w:rPr>
          <w:rFonts w:cs="Arial"/>
          <w:spacing w:val="2"/>
          <w:sz w:val="26"/>
          <w:szCs w:val="24"/>
        </w:rPr>
        <w:t xml:space="preserve">actuaciones en viviendas para regeneración urbana.  </w:t>
      </w:r>
    </w:p>
    <w:p w14:paraId="1E4725D5" w14:textId="77777777" w:rsidR="00317422" w:rsidRDefault="00317422">
      <w:pPr>
        <w:spacing w:after="0"/>
        <w:ind w:firstLine="0"/>
        <w:jc w:val="left"/>
        <w:rPr>
          <w:rFonts w:cs="Arial"/>
          <w:spacing w:val="2"/>
          <w:sz w:val="26"/>
          <w:szCs w:val="24"/>
        </w:rPr>
      </w:pPr>
      <w:r>
        <w:rPr>
          <w:rFonts w:cs="Arial"/>
          <w:spacing w:val="2"/>
          <w:sz w:val="26"/>
          <w:szCs w:val="24"/>
        </w:rPr>
        <w:br w:type="page"/>
      </w:r>
    </w:p>
    <w:p w14:paraId="2A831BD8" w14:textId="77777777" w:rsidR="00807992" w:rsidRDefault="00807992" w:rsidP="00807992">
      <w:pPr>
        <w:tabs>
          <w:tab w:val="left" w:pos="708"/>
          <w:tab w:val="center" w:pos="2835"/>
          <w:tab w:val="center" w:pos="3969"/>
          <w:tab w:val="center" w:pos="5103"/>
          <w:tab w:val="center" w:pos="6237"/>
          <w:tab w:val="center" w:pos="7371"/>
        </w:tabs>
        <w:spacing w:before="240"/>
        <w:ind w:firstLine="284"/>
        <w:rPr>
          <w:rFonts w:cs="Arial"/>
          <w:spacing w:val="6"/>
          <w:sz w:val="26"/>
          <w:szCs w:val="24"/>
        </w:rPr>
      </w:pPr>
      <w:r>
        <w:rPr>
          <w:rFonts w:cs="Arial"/>
          <w:spacing w:val="6"/>
          <w:sz w:val="26"/>
          <w:szCs w:val="24"/>
        </w:rPr>
        <w:lastRenderedPageBreak/>
        <w:t>Hemos fiscalizado los</w:t>
      </w:r>
      <w:r w:rsidRPr="00667DFF">
        <w:rPr>
          <w:rFonts w:cs="Arial"/>
          <w:spacing w:val="6"/>
          <w:sz w:val="26"/>
          <w:szCs w:val="24"/>
        </w:rPr>
        <w:t xml:space="preserve"> siguiente</w:t>
      </w:r>
      <w:r>
        <w:rPr>
          <w:rFonts w:cs="Arial"/>
          <w:spacing w:val="6"/>
          <w:sz w:val="26"/>
          <w:szCs w:val="24"/>
        </w:rPr>
        <w:t>s expedientes</w:t>
      </w:r>
      <w:r w:rsidRPr="00667DFF">
        <w:rPr>
          <w:rFonts w:cs="Arial"/>
          <w:spacing w:val="6"/>
          <w:sz w:val="26"/>
          <w:szCs w:val="24"/>
        </w:rPr>
        <w:t>:</w:t>
      </w:r>
    </w:p>
    <w:tbl>
      <w:tblPr>
        <w:tblW w:w="8789" w:type="dxa"/>
        <w:tblLayout w:type="fixed"/>
        <w:tblCellMar>
          <w:left w:w="70" w:type="dxa"/>
          <w:right w:w="70" w:type="dxa"/>
        </w:tblCellMar>
        <w:tblLook w:val="04A0" w:firstRow="1" w:lastRow="0" w:firstColumn="1" w:lastColumn="0" w:noHBand="0" w:noVBand="1"/>
      </w:tblPr>
      <w:tblGrid>
        <w:gridCol w:w="7513"/>
        <w:gridCol w:w="1276"/>
      </w:tblGrid>
      <w:tr w:rsidR="00807992" w:rsidRPr="00515928" w14:paraId="7452C352" w14:textId="77777777" w:rsidTr="00EE2FA3">
        <w:trPr>
          <w:trHeight w:val="255"/>
        </w:trPr>
        <w:tc>
          <w:tcPr>
            <w:tcW w:w="7513" w:type="dxa"/>
            <w:tcBorders>
              <w:top w:val="single" w:sz="4" w:space="0" w:color="auto"/>
              <w:left w:val="nil"/>
              <w:bottom w:val="single" w:sz="4" w:space="0" w:color="auto"/>
              <w:right w:val="nil"/>
            </w:tcBorders>
            <w:shd w:val="clear" w:color="auto" w:fill="FABF8F" w:themeFill="accent6" w:themeFillTint="99"/>
            <w:noWrap/>
            <w:vAlign w:val="bottom"/>
            <w:hideMark/>
          </w:tcPr>
          <w:p w14:paraId="02D0018B" w14:textId="77777777" w:rsidR="00807992" w:rsidRPr="00515928" w:rsidRDefault="00807992" w:rsidP="00807992">
            <w:pPr>
              <w:spacing w:after="0"/>
              <w:ind w:firstLine="0"/>
              <w:rPr>
                <w:rFonts w:ascii="Arial" w:hAnsi="Arial" w:cs="Arial"/>
                <w:color w:val="000000"/>
                <w:sz w:val="18"/>
                <w:szCs w:val="18"/>
                <w:lang w:val="es-ES" w:eastAsia="es-ES"/>
              </w:rPr>
            </w:pPr>
            <w:r>
              <w:rPr>
                <w:rFonts w:ascii="Arial" w:hAnsi="Arial" w:cs="Arial"/>
                <w:color w:val="000000"/>
                <w:sz w:val="18"/>
                <w:szCs w:val="18"/>
                <w:lang w:val="es-ES" w:eastAsia="es-ES"/>
              </w:rPr>
              <w:t>Subvenciones corrientes</w:t>
            </w:r>
          </w:p>
        </w:tc>
        <w:tc>
          <w:tcPr>
            <w:tcW w:w="1276" w:type="dxa"/>
            <w:tcBorders>
              <w:top w:val="single" w:sz="4" w:space="0" w:color="auto"/>
              <w:left w:val="nil"/>
              <w:bottom w:val="single" w:sz="4" w:space="0" w:color="auto"/>
              <w:right w:val="nil"/>
            </w:tcBorders>
            <w:shd w:val="clear" w:color="auto" w:fill="FABF8F" w:themeFill="accent6" w:themeFillTint="99"/>
            <w:noWrap/>
            <w:vAlign w:val="bottom"/>
            <w:hideMark/>
          </w:tcPr>
          <w:p w14:paraId="00D7DD55" w14:textId="77777777" w:rsidR="00807992" w:rsidRPr="00515928" w:rsidRDefault="00807992" w:rsidP="002C00A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ORN </w:t>
            </w:r>
          </w:p>
        </w:tc>
      </w:tr>
      <w:tr w:rsidR="00807992" w:rsidRPr="00515928" w14:paraId="3317BCD8" w14:textId="77777777" w:rsidTr="00EE2FA3">
        <w:trPr>
          <w:trHeight w:val="198"/>
        </w:trPr>
        <w:tc>
          <w:tcPr>
            <w:tcW w:w="7513" w:type="dxa"/>
            <w:tcBorders>
              <w:top w:val="single" w:sz="4" w:space="0" w:color="auto"/>
              <w:left w:val="nil"/>
              <w:bottom w:val="single" w:sz="2" w:space="0" w:color="auto"/>
              <w:right w:val="nil"/>
            </w:tcBorders>
            <w:shd w:val="clear" w:color="auto" w:fill="auto"/>
            <w:vAlign w:val="bottom"/>
            <w:hideMark/>
          </w:tcPr>
          <w:p w14:paraId="261C0F87" w14:textId="77777777" w:rsidR="00807992" w:rsidRPr="00515928" w:rsidRDefault="00807992" w:rsidP="00807992">
            <w:pPr>
              <w:spacing w:after="0"/>
              <w:ind w:firstLine="0"/>
              <w:rPr>
                <w:rFonts w:ascii="Arial Narrow" w:hAnsi="Arial Narrow" w:cs="Calibri"/>
                <w:color w:val="000000"/>
                <w:sz w:val="18"/>
                <w:szCs w:val="18"/>
                <w:lang w:val="es-ES" w:eastAsia="es-ES"/>
              </w:rPr>
            </w:pPr>
            <w:r w:rsidRPr="00515928">
              <w:rPr>
                <w:rFonts w:ascii="Arial Narrow" w:hAnsi="Arial Narrow" w:cs="Calibri"/>
                <w:color w:val="000000"/>
                <w:sz w:val="18"/>
                <w:szCs w:val="18"/>
                <w:lang w:val="es-ES" w:eastAsia="es-ES"/>
              </w:rPr>
              <w:t>Convocatoria de subvenciones en régimen de concurrencia competitiva, para entidades deportivas pamplonesas por su participación en competiciones nacionales oficiales de élite, de carácter no profesional, en categoría absoluta durante la temporada 2020/21</w:t>
            </w:r>
          </w:p>
        </w:tc>
        <w:tc>
          <w:tcPr>
            <w:tcW w:w="1276" w:type="dxa"/>
            <w:tcBorders>
              <w:top w:val="single" w:sz="4" w:space="0" w:color="auto"/>
              <w:left w:val="nil"/>
              <w:bottom w:val="single" w:sz="2" w:space="0" w:color="auto"/>
              <w:right w:val="nil"/>
            </w:tcBorders>
            <w:shd w:val="clear" w:color="auto" w:fill="auto"/>
            <w:noWrap/>
            <w:vAlign w:val="center"/>
          </w:tcPr>
          <w:p w14:paraId="1D8C86B0" w14:textId="77777777" w:rsidR="00807992" w:rsidRDefault="00807992" w:rsidP="00807992">
            <w:pPr>
              <w:spacing w:after="0"/>
              <w:ind w:firstLine="0"/>
              <w:jc w:val="right"/>
              <w:rPr>
                <w:rFonts w:ascii="Arial Narrow" w:hAnsi="Arial Narrow" w:cs="Calibri"/>
                <w:sz w:val="18"/>
                <w:szCs w:val="18"/>
                <w:lang w:val="es-ES" w:eastAsia="es-ES"/>
              </w:rPr>
            </w:pPr>
            <w:r>
              <w:rPr>
                <w:rFonts w:ascii="Arial Narrow" w:hAnsi="Arial Narrow" w:cs="Calibri"/>
                <w:sz w:val="18"/>
                <w:szCs w:val="18"/>
              </w:rPr>
              <w:t>436.000</w:t>
            </w:r>
          </w:p>
        </w:tc>
      </w:tr>
      <w:tr w:rsidR="00807992" w:rsidRPr="00515928" w14:paraId="7DEDB64C" w14:textId="77777777" w:rsidTr="0066649C">
        <w:trPr>
          <w:trHeight w:val="198"/>
        </w:trPr>
        <w:tc>
          <w:tcPr>
            <w:tcW w:w="7513" w:type="dxa"/>
            <w:tcBorders>
              <w:top w:val="single" w:sz="2" w:space="0" w:color="auto"/>
              <w:left w:val="nil"/>
              <w:bottom w:val="single" w:sz="2" w:space="0" w:color="auto"/>
              <w:right w:val="nil"/>
            </w:tcBorders>
            <w:shd w:val="clear" w:color="auto" w:fill="auto"/>
            <w:vAlign w:val="bottom"/>
            <w:hideMark/>
          </w:tcPr>
          <w:p w14:paraId="30B47912" w14:textId="77777777" w:rsidR="00807992" w:rsidRPr="00515928" w:rsidRDefault="00807992" w:rsidP="00807992">
            <w:pPr>
              <w:spacing w:after="0"/>
              <w:ind w:firstLine="0"/>
              <w:rPr>
                <w:rFonts w:ascii="Arial Narrow" w:hAnsi="Arial Narrow" w:cs="Calibri"/>
                <w:color w:val="000000"/>
                <w:sz w:val="18"/>
                <w:szCs w:val="18"/>
                <w:lang w:val="es-ES" w:eastAsia="es-ES"/>
              </w:rPr>
            </w:pPr>
            <w:r w:rsidRPr="00515928">
              <w:rPr>
                <w:rFonts w:ascii="Arial Narrow" w:hAnsi="Arial Narrow" w:cs="Calibri"/>
                <w:color w:val="000000"/>
                <w:sz w:val="18"/>
                <w:szCs w:val="18"/>
                <w:lang w:val="es-ES" w:eastAsia="es-ES"/>
              </w:rPr>
              <w:t xml:space="preserve">Convocatoria de subvenciones en régimen de evaluación </w:t>
            </w:r>
            <w:proofErr w:type="gramStart"/>
            <w:r w:rsidRPr="00515928">
              <w:rPr>
                <w:rFonts w:ascii="Arial Narrow" w:hAnsi="Arial Narrow" w:cs="Calibri"/>
                <w:color w:val="000000"/>
                <w:sz w:val="18"/>
                <w:szCs w:val="18"/>
                <w:lang w:val="es-ES" w:eastAsia="es-ES"/>
              </w:rPr>
              <w:t>individualizada ,</w:t>
            </w:r>
            <w:proofErr w:type="gramEnd"/>
            <w:r w:rsidRPr="00515928">
              <w:rPr>
                <w:rFonts w:ascii="Arial Narrow" w:hAnsi="Arial Narrow" w:cs="Calibri"/>
                <w:color w:val="000000"/>
                <w:sz w:val="18"/>
                <w:szCs w:val="18"/>
                <w:lang w:val="es-ES" w:eastAsia="es-ES"/>
              </w:rPr>
              <w:t xml:space="preserve"> destinada a la realización de actividades complementarias y extraescolares durante el curso 2020-2021.</w:t>
            </w:r>
          </w:p>
        </w:tc>
        <w:tc>
          <w:tcPr>
            <w:tcW w:w="1276" w:type="dxa"/>
            <w:tcBorders>
              <w:top w:val="single" w:sz="2" w:space="0" w:color="auto"/>
              <w:left w:val="nil"/>
              <w:bottom w:val="single" w:sz="2" w:space="0" w:color="auto"/>
              <w:right w:val="nil"/>
            </w:tcBorders>
            <w:shd w:val="clear" w:color="auto" w:fill="auto"/>
            <w:noWrap/>
            <w:vAlign w:val="center"/>
          </w:tcPr>
          <w:p w14:paraId="16956FC6" w14:textId="77777777" w:rsidR="00807992" w:rsidRDefault="00807992" w:rsidP="00807992">
            <w:pPr>
              <w:jc w:val="right"/>
              <w:rPr>
                <w:rFonts w:ascii="Arial Narrow" w:hAnsi="Arial Narrow" w:cs="Calibri"/>
                <w:sz w:val="18"/>
                <w:szCs w:val="18"/>
              </w:rPr>
            </w:pPr>
            <w:r>
              <w:rPr>
                <w:rFonts w:ascii="Arial Narrow" w:hAnsi="Arial Narrow" w:cs="Calibri"/>
                <w:sz w:val="18"/>
                <w:szCs w:val="18"/>
              </w:rPr>
              <w:t>117.311</w:t>
            </w:r>
          </w:p>
        </w:tc>
      </w:tr>
      <w:tr w:rsidR="00807992" w:rsidRPr="00515928" w14:paraId="167101EB" w14:textId="77777777" w:rsidTr="0066649C">
        <w:trPr>
          <w:trHeight w:val="198"/>
        </w:trPr>
        <w:tc>
          <w:tcPr>
            <w:tcW w:w="7513" w:type="dxa"/>
            <w:tcBorders>
              <w:top w:val="single" w:sz="2" w:space="0" w:color="auto"/>
              <w:left w:val="nil"/>
              <w:bottom w:val="single" w:sz="2" w:space="0" w:color="auto"/>
              <w:right w:val="nil"/>
            </w:tcBorders>
            <w:shd w:val="clear" w:color="auto" w:fill="auto"/>
            <w:vAlign w:val="bottom"/>
            <w:hideMark/>
          </w:tcPr>
          <w:p w14:paraId="23778ABB" w14:textId="77777777" w:rsidR="00807992" w:rsidRPr="00515928" w:rsidRDefault="00807992" w:rsidP="00807992">
            <w:pPr>
              <w:spacing w:after="0"/>
              <w:ind w:firstLine="0"/>
              <w:rPr>
                <w:rFonts w:ascii="Arial Narrow" w:hAnsi="Arial Narrow" w:cs="Calibri"/>
                <w:color w:val="000000"/>
                <w:sz w:val="18"/>
                <w:szCs w:val="18"/>
                <w:lang w:val="es-ES" w:eastAsia="es-ES"/>
              </w:rPr>
            </w:pPr>
            <w:r w:rsidRPr="00515928">
              <w:rPr>
                <w:rFonts w:ascii="Arial Narrow" w:hAnsi="Arial Narrow" w:cs="Calibri"/>
                <w:color w:val="000000"/>
                <w:sz w:val="18"/>
                <w:szCs w:val="18"/>
                <w:lang w:val="es-ES" w:eastAsia="es-ES"/>
              </w:rPr>
              <w:t xml:space="preserve">Convocatoria de subvenciones en régimen de evaluación individualizada para regular la concesión de subvenciones destinadas a la concesión de prestaciones económicas para alimentación en comedores </w:t>
            </w:r>
            <w:proofErr w:type="gramStart"/>
            <w:r w:rsidRPr="00515928">
              <w:rPr>
                <w:rFonts w:ascii="Arial Narrow" w:hAnsi="Arial Narrow" w:cs="Calibri"/>
                <w:color w:val="000000"/>
                <w:sz w:val="18"/>
                <w:szCs w:val="18"/>
                <w:lang w:val="es-ES" w:eastAsia="es-ES"/>
              </w:rPr>
              <w:t>escolares  enero</w:t>
            </w:r>
            <w:proofErr w:type="gramEnd"/>
            <w:r w:rsidRPr="00515928">
              <w:rPr>
                <w:rFonts w:ascii="Arial Narrow" w:hAnsi="Arial Narrow" w:cs="Calibri"/>
                <w:color w:val="000000"/>
                <w:sz w:val="18"/>
                <w:szCs w:val="18"/>
                <w:lang w:val="es-ES" w:eastAsia="es-ES"/>
              </w:rPr>
              <w:t>/junio 2021.</w:t>
            </w:r>
          </w:p>
        </w:tc>
        <w:tc>
          <w:tcPr>
            <w:tcW w:w="1276" w:type="dxa"/>
            <w:tcBorders>
              <w:top w:val="single" w:sz="2" w:space="0" w:color="auto"/>
              <w:left w:val="nil"/>
              <w:bottom w:val="single" w:sz="2" w:space="0" w:color="auto"/>
              <w:right w:val="nil"/>
            </w:tcBorders>
            <w:shd w:val="clear" w:color="auto" w:fill="auto"/>
            <w:noWrap/>
            <w:vAlign w:val="center"/>
          </w:tcPr>
          <w:p w14:paraId="3C11EAFF" w14:textId="77777777" w:rsidR="00807992" w:rsidRDefault="00807992" w:rsidP="00807992">
            <w:pPr>
              <w:jc w:val="right"/>
              <w:rPr>
                <w:rFonts w:ascii="Arial Narrow" w:hAnsi="Arial Narrow" w:cs="Calibri"/>
                <w:sz w:val="18"/>
                <w:szCs w:val="18"/>
              </w:rPr>
            </w:pPr>
            <w:r>
              <w:rPr>
                <w:rFonts w:ascii="Arial Narrow" w:hAnsi="Arial Narrow" w:cs="Calibri"/>
                <w:sz w:val="18"/>
                <w:szCs w:val="18"/>
              </w:rPr>
              <w:t>307.533</w:t>
            </w:r>
          </w:p>
        </w:tc>
      </w:tr>
      <w:tr w:rsidR="00807992" w:rsidRPr="00515928" w14:paraId="367EAB2C" w14:textId="77777777" w:rsidTr="0066649C">
        <w:trPr>
          <w:trHeight w:val="198"/>
        </w:trPr>
        <w:tc>
          <w:tcPr>
            <w:tcW w:w="7513" w:type="dxa"/>
            <w:tcBorders>
              <w:top w:val="single" w:sz="2" w:space="0" w:color="auto"/>
              <w:left w:val="nil"/>
              <w:bottom w:val="single" w:sz="2" w:space="0" w:color="auto"/>
              <w:right w:val="nil"/>
            </w:tcBorders>
            <w:shd w:val="clear" w:color="auto" w:fill="auto"/>
            <w:vAlign w:val="bottom"/>
            <w:hideMark/>
          </w:tcPr>
          <w:p w14:paraId="08636094" w14:textId="77777777" w:rsidR="00807992" w:rsidRPr="00515928" w:rsidRDefault="00807992" w:rsidP="00807992">
            <w:pPr>
              <w:spacing w:after="0"/>
              <w:ind w:firstLine="0"/>
              <w:rPr>
                <w:rFonts w:ascii="Arial Narrow" w:hAnsi="Arial Narrow" w:cs="Calibri"/>
                <w:color w:val="000000"/>
                <w:sz w:val="18"/>
                <w:szCs w:val="18"/>
                <w:lang w:val="es-ES" w:eastAsia="es-ES"/>
              </w:rPr>
            </w:pPr>
            <w:r w:rsidRPr="00515928">
              <w:rPr>
                <w:rFonts w:ascii="Arial Narrow" w:hAnsi="Arial Narrow" w:cs="Calibri"/>
                <w:color w:val="000000"/>
                <w:sz w:val="18"/>
                <w:szCs w:val="18"/>
                <w:lang w:val="es-ES" w:eastAsia="es-ES"/>
              </w:rPr>
              <w:t>Convocatoria de subvenciones en régimen de evaluación individualizada para gastos de mantenimiento del sector de hostelería y alojamientos</w:t>
            </w:r>
          </w:p>
        </w:tc>
        <w:tc>
          <w:tcPr>
            <w:tcW w:w="1276" w:type="dxa"/>
            <w:tcBorders>
              <w:top w:val="single" w:sz="2" w:space="0" w:color="auto"/>
              <w:left w:val="nil"/>
              <w:bottom w:val="single" w:sz="2" w:space="0" w:color="auto"/>
              <w:right w:val="nil"/>
            </w:tcBorders>
            <w:shd w:val="clear" w:color="auto" w:fill="auto"/>
            <w:noWrap/>
            <w:vAlign w:val="center"/>
          </w:tcPr>
          <w:p w14:paraId="677CB6D3" w14:textId="77777777" w:rsidR="00807992" w:rsidRDefault="00807992" w:rsidP="00317422">
            <w:pPr>
              <w:ind w:firstLine="348"/>
              <w:jc w:val="right"/>
              <w:rPr>
                <w:rFonts w:ascii="Arial Narrow" w:hAnsi="Arial Narrow" w:cs="Calibri"/>
                <w:sz w:val="18"/>
                <w:szCs w:val="18"/>
              </w:rPr>
            </w:pPr>
            <w:r>
              <w:rPr>
                <w:rFonts w:ascii="Arial Narrow" w:hAnsi="Arial Narrow" w:cs="Calibri"/>
                <w:sz w:val="18"/>
                <w:szCs w:val="18"/>
              </w:rPr>
              <w:t>1.018.808</w:t>
            </w:r>
          </w:p>
        </w:tc>
      </w:tr>
      <w:tr w:rsidR="00807992" w:rsidRPr="00515928" w14:paraId="4C591406" w14:textId="77777777" w:rsidTr="0066649C">
        <w:trPr>
          <w:trHeight w:val="198"/>
        </w:trPr>
        <w:tc>
          <w:tcPr>
            <w:tcW w:w="7513" w:type="dxa"/>
            <w:tcBorders>
              <w:top w:val="single" w:sz="2" w:space="0" w:color="auto"/>
              <w:left w:val="nil"/>
              <w:bottom w:val="single" w:sz="2" w:space="0" w:color="auto"/>
              <w:right w:val="nil"/>
            </w:tcBorders>
            <w:shd w:val="clear" w:color="auto" w:fill="auto"/>
            <w:vAlign w:val="bottom"/>
            <w:hideMark/>
          </w:tcPr>
          <w:p w14:paraId="34798DC1" w14:textId="77777777" w:rsidR="00807992" w:rsidRPr="00515928" w:rsidRDefault="00807992" w:rsidP="002C00AA">
            <w:pPr>
              <w:spacing w:after="0"/>
              <w:ind w:firstLine="0"/>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C</w:t>
            </w:r>
            <w:r w:rsidRPr="00515928">
              <w:rPr>
                <w:rFonts w:ascii="Arial Narrow" w:hAnsi="Arial Narrow" w:cs="Calibri"/>
                <w:color w:val="000000"/>
                <w:sz w:val="18"/>
                <w:szCs w:val="18"/>
                <w:lang w:val="es-ES" w:eastAsia="es-ES"/>
              </w:rPr>
              <w:t>onvenio c</w:t>
            </w:r>
            <w:r>
              <w:rPr>
                <w:rFonts w:ascii="Arial Narrow" w:hAnsi="Arial Narrow" w:cs="Calibri"/>
                <w:color w:val="000000"/>
                <w:sz w:val="18"/>
                <w:szCs w:val="18"/>
                <w:lang w:val="es-ES" w:eastAsia="es-ES"/>
              </w:rPr>
              <w:t xml:space="preserve">on el colegio de abogados para </w:t>
            </w:r>
            <w:r w:rsidRPr="00515928">
              <w:rPr>
                <w:rFonts w:ascii="Arial Narrow" w:hAnsi="Arial Narrow" w:cs="Calibri"/>
                <w:color w:val="000000"/>
                <w:sz w:val="18"/>
                <w:szCs w:val="18"/>
                <w:lang w:val="es-ES" w:eastAsia="es-ES"/>
              </w:rPr>
              <w:t>la "oficina de mediación hipotecaria".</w:t>
            </w:r>
          </w:p>
        </w:tc>
        <w:tc>
          <w:tcPr>
            <w:tcW w:w="1276" w:type="dxa"/>
            <w:tcBorders>
              <w:top w:val="single" w:sz="2" w:space="0" w:color="auto"/>
              <w:left w:val="nil"/>
              <w:bottom w:val="single" w:sz="2" w:space="0" w:color="auto"/>
              <w:right w:val="nil"/>
            </w:tcBorders>
            <w:shd w:val="clear" w:color="auto" w:fill="auto"/>
            <w:noWrap/>
            <w:vAlign w:val="center"/>
          </w:tcPr>
          <w:p w14:paraId="363FE5A1" w14:textId="77777777" w:rsidR="00807992" w:rsidRDefault="00807992" w:rsidP="002C00AA">
            <w:pPr>
              <w:spacing w:after="0"/>
              <w:jc w:val="right"/>
              <w:rPr>
                <w:rFonts w:ascii="Arial Narrow" w:hAnsi="Arial Narrow" w:cs="Calibri"/>
                <w:sz w:val="18"/>
                <w:szCs w:val="18"/>
              </w:rPr>
            </w:pPr>
            <w:r>
              <w:rPr>
                <w:rFonts w:ascii="Arial Narrow" w:hAnsi="Arial Narrow" w:cs="Calibri"/>
                <w:sz w:val="18"/>
                <w:szCs w:val="18"/>
              </w:rPr>
              <w:t>25.500</w:t>
            </w:r>
          </w:p>
        </w:tc>
      </w:tr>
      <w:tr w:rsidR="00807992" w:rsidRPr="00515928" w14:paraId="224B452F" w14:textId="77777777" w:rsidTr="0066649C">
        <w:trPr>
          <w:trHeight w:val="198"/>
        </w:trPr>
        <w:tc>
          <w:tcPr>
            <w:tcW w:w="7513" w:type="dxa"/>
            <w:tcBorders>
              <w:top w:val="single" w:sz="2" w:space="0" w:color="auto"/>
              <w:left w:val="nil"/>
              <w:bottom w:val="single" w:sz="2" w:space="0" w:color="auto"/>
              <w:right w:val="nil"/>
            </w:tcBorders>
            <w:shd w:val="clear" w:color="auto" w:fill="auto"/>
            <w:noWrap/>
            <w:vAlign w:val="bottom"/>
            <w:hideMark/>
          </w:tcPr>
          <w:p w14:paraId="10620F69" w14:textId="77777777" w:rsidR="00807992" w:rsidRPr="00515928" w:rsidRDefault="00807992" w:rsidP="002C00AA">
            <w:pPr>
              <w:spacing w:after="0"/>
              <w:ind w:firstLine="0"/>
              <w:rPr>
                <w:rFonts w:ascii="Arial Narrow" w:hAnsi="Arial Narrow" w:cs="Calibri"/>
                <w:color w:val="000000"/>
                <w:sz w:val="18"/>
                <w:szCs w:val="18"/>
                <w:lang w:val="es-ES" w:eastAsia="es-ES"/>
              </w:rPr>
            </w:pPr>
            <w:r w:rsidRPr="00515928">
              <w:rPr>
                <w:rFonts w:ascii="Arial Narrow" w:hAnsi="Arial Narrow" w:cs="Calibri"/>
                <w:color w:val="000000"/>
                <w:sz w:val="18"/>
                <w:szCs w:val="18"/>
                <w:lang w:val="es-ES" w:eastAsia="es-ES"/>
              </w:rPr>
              <w:t>Orfeón Pamplonés / Difusión y conservación patrimonio musical de la ciudad</w:t>
            </w:r>
          </w:p>
        </w:tc>
        <w:tc>
          <w:tcPr>
            <w:tcW w:w="1276" w:type="dxa"/>
            <w:tcBorders>
              <w:top w:val="single" w:sz="2" w:space="0" w:color="auto"/>
              <w:left w:val="nil"/>
              <w:bottom w:val="single" w:sz="2" w:space="0" w:color="auto"/>
              <w:right w:val="nil"/>
            </w:tcBorders>
            <w:shd w:val="clear" w:color="auto" w:fill="auto"/>
            <w:noWrap/>
            <w:vAlign w:val="center"/>
          </w:tcPr>
          <w:p w14:paraId="1CF5F1D5" w14:textId="77777777" w:rsidR="00807992" w:rsidRDefault="00807992" w:rsidP="002C00AA">
            <w:pPr>
              <w:spacing w:after="0"/>
              <w:jc w:val="right"/>
              <w:rPr>
                <w:rFonts w:ascii="Arial Narrow" w:hAnsi="Arial Narrow" w:cs="Calibri"/>
                <w:sz w:val="18"/>
                <w:szCs w:val="18"/>
              </w:rPr>
            </w:pPr>
            <w:r>
              <w:rPr>
                <w:rFonts w:ascii="Arial Narrow" w:hAnsi="Arial Narrow" w:cs="Calibri"/>
                <w:sz w:val="18"/>
                <w:szCs w:val="18"/>
              </w:rPr>
              <w:t>100.000</w:t>
            </w:r>
          </w:p>
        </w:tc>
      </w:tr>
      <w:tr w:rsidR="00807992" w:rsidRPr="00515928" w14:paraId="002B136B" w14:textId="77777777" w:rsidTr="0066649C">
        <w:trPr>
          <w:trHeight w:val="198"/>
        </w:trPr>
        <w:tc>
          <w:tcPr>
            <w:tcW w:w="7513" w:type="dxa"/>
            <w:tcBorders>
              <w:top w:val="single" w:sz="2" w:space="0" w:color="auto"/>
              <w:left w:val="nil"/>
              <w:bottom w:val="single" w:sz="2" w:space="0" w:color="auto"/>
              <w:right w:val="nil"/>
            </w:tcBorders>
            <w:shd w:val="clear" w:color="auto" w:fill="auto"/>
            <w:noWrap/>
            <w:vAlign w:val="bottom"/>
            <w:hideMark/>
          </w:tcPr>
          <w:p w14:paraId="3CA9D685" w14:textId="77777777" w:rsidR="00807992" w:rsidRPr="00515928" w:rsidRDefault="00807992" w:rsidP="002C00AA">
            <w:pPr>
              <w:spacing w:after="0"/>
              <w:ind w:firstLine="0"/>
              <w:rPr>
                <w:rFonts w:ascii="Arial Narrow" w:hAnsi="Arial Narrow" w:cs="Calibri"/>
                <w:color w:val="000000"/>
                <w:sz w:val="18"/>
                <w:szCs w:val="18"/>
                <w:lang w:val="es-ES" w:eastAsia="es-ES"/>
              </w:rPr>
            </w:pPr>
            <w:r w:rsidRPr="00515928">
              <w:rPr>
                <w:rFonts w:ascii="Arial Narrow" w:hAnsi="Arial Narrow" w:cs="Calibri"/>
                <w:color w:val="000000"/>
                <w:sz w:val="18"/>
                <w:szCs w:val="18"/>
                <w:lang w:val="es-ES" w:eastAsia="es-ES"/>
              </w:rPr>
              <w:t>Universidad Pública de Navarra / Convenio de colaboración para realización actividades culturales</w:t>
            </w:r>
          </w:p>
        </w:tc>
        <w:tc>
          <w:tcPr>
            <w:tcW w:w="1276" w:type="dxa"/>
            <w:tcBorders>
              <w:top w:val="single" w:sz="2" w:space="0" w:color="auto"/>
              <w:left w:val="nil"/>
              <w:bottom w:val="single" w:sz="2" w:space="0" w:color="auto"/>
              <w:right w:val="nil"/>
            </w:tcBorders>
            <w:shd w:val="clear" w:color="auto" w:fill="auto"/>
            <w:noWrap/>
            <w:vAlign w:val="center"/>
          </w:tcPr>
          <w:p w14:paraId="5A9779DE" w14:textId="77777777" w:rsidR="00807992" w:rsidRDefault="00807992" w:rsidP="002C00AA">
            <w:pPr>
              <w:spacing w:after="0"/>
              <w:jc w:val="right"/>
              <w:rPr>
                <w:rFonts w:ascii="Arial Narrow" w:hAnsi="Arial Narrow" w:cs="Calibri"/>
                <w:sz w:val="18"/>
                <w:szCs w:val="18"/>
              </w:rPr>
            </w:pPr>
            <w:r>
              <w:rPr>
                <w:rFonts w:ascii="Arial Narrow" w:hAnsi="Arial Narrow" w:cs="Calibri"/>
                <w:sz w:val="18"/>
                <w:szCs w:val="18"/>
              </w:rPr>
              <w:t>20.000</w:t>
            </w:r>
          </w:p>
        </w:tc>
      </w:tr>
      <w:tr w:rsidR="00807992" w:rsidRPr="00515928" w14:paraId="66F90334" w14:textId="77777777" w:rsidTr="0066649C">
        <w:trPr>
          <w:trHeight w:val="198"/>
        </w:trPr>
        <w:tc>
          <w:tcPr>
            <w:tcW w:w="7513" w:type="dxa"/>
            <w:tcBorders>
              <w:top w:val="single" w:sz="2" w:space="0" w:color="auto"/>
              <w:left w:val="nil"/>
              <w:bottom w:val="single" w:sz="4" w:space="0" w:color="auto"/>
              <w:right w:val="nil"/>
            </w:tcBorders>
            <w:shd w:val="clear" w:color="auto" w:fill="auto"/>
            <w:noWrap/>
            <w:vAlign w:val="bottom"/>
          </w:tcPr>
          <w:p w14:paraId="0F949437" w14:textId="77777777" w:rsidR="00807992" w:rsidRPr="00515928" w:rsidRDefault="00807992" w:rsidP="002C00AA">
            <w:pPr>
              <w:spacing w:after="0"/>
              <w:ind w:firstLine="0"/>
              <w:rPr>
                <w:rFonts w:ascii="Arial Narrow" w:hAnsi="Arial Narrow" w:cs="Calibri"/>
                <w:color w:val="000000"/>
                <w:sz w:val="18"/>
                <w:szCs w:val="18"/>
                <w:lang w:val="es-ES" w:eastAsia="es-ES"/>
              </w:rPr>
            </w:pPr>
            <w:r w:rsidRPr="00515928">
              <w:rPr>
                <w:rFonts w:ascii="Arial Narrow" w:hAnsi="Arial Narrow" w:cs="Calibri"/>
                <w:color w:val="000000"/>
                <w:sz w:val="18"/>
                <w:szCs w:val="18"/>
                <w:lang w:val="es-ES" w:eastAsia="es-ES"/>
              </w:rPr>
              <w:t>Grupos Municipales</w:t>
            </w:r>
          </w:p>
        </w:tc>
        <w:tc>
          <w:tcPr>
            <w:tcW w:w="1276" w:type="dxa"/>
            <w:tcBorders>
              <w:top w:val="single" w:sz="2" w:space="0" w:color="auto"/>
              <w:left w:val="nil"/>
              <w:bottom w:val="single" w:sz="4" w:space="0" w:color="auto"/>
              <w:right w:val="nil"/>
            </w:tcBorders>
            <w:shd w:val="clear" w:color="auto" w:fill="auto"/>
            <w:noWrap/>
            <w:vAlign w:val="center"/>
          </w:tcPr>
          <w:p w14:paraId="5206B921" w14:textId="77777777" w:rsidR="00807992" w:rsidRDefault="00807992" w:rsidP="002C00AA">
            <w:pPr>
              <w:spacing w:after="0"/>
              <w:jc w:val="right"/>
              <w:rPr>
                <w:rFonts w:ascii="Arial Narrow" w:hAnsi="Arial Narrow" w:cs="Calibri"/>
                <w:sz w:val="18"/>
                <w:szCs w:val="18"/>
              </w:rPr>
            </w:pPr>
            <w:r>
              <w:rPr>
                <w:rFonts w:ascii="Arial Narrow" w:hAnsi="Arial Narrow" w:cs="Calibri"/>
                <w:sz w:val="18"/>
                <w:szCs w:val="18"/>
              </w:rPr>
              <w:t>137.750</w:t>
            </w:r>
          </w:p>
        </w:tc>
      </w:tr>
      <w:tr w:rsidR="00807992" w:rsidRPr="003C40F0" w14:paraId="64B46CCD" w14:textId="77777777" w:rsidTr="0066649C">
        <w:trPr>
          <w:trHeight w:val="255"/>
        </w:trPr>
        <w:tc>
          <w:tcPr>
            <w:tcW w:w="7513" w:type="dxa"/>
            <w:tcBorders>
              <w:top w:val="single" w:sz="4" w:space="0" w:color="auto"/>
              <w:left w:val="nil"/>
              <w:bottom w:val="single" w:sz="4" w:space="0" w:color="auto"/>
              <w:right w:val="nil"/>
            </w:tcBorders>
            <w:shd w:val="clear" w:color="auto" w:fill="FABF8F" w:themeFill="accent6" w:themeFillTint="99"/>
            <w:noWrap/>
            <w:vAlign w:val="bottom"/>
            <w:hideMark/>
          </w:tcPr>
          <w:p w14:paraId="79FCDA99" w14:textId="77777777" w:rsidR="00807992" w:rsidRPr="003C40F0" w:rsidRDefault="00807992" w:rsidP="00807992">
            <w:pPr>
              <w:spacing w:after="0"/>
              <w:ind w:firstLine="0"/>
              <w:rPr>
                <w:rFonts w:ascii="Arial" w:hAnsi="Arial" w:cs="Arial"/>
                <w:color w:val="000000"/>
                <w:sz w:val="18"/>
                <w:szCs w:val="18"/>
                <w:lang w:val="es-ES" w:eastAsia="es-ES"/>
              </w:rPr>
            </w:pPr>
            <w:r w:rsidRPr="003C40F0">
              <w:rPr>
                <w:rFonts w:ascii="Arial" w:hAnsi="Arial" w:cs="Arial"/>
                <w:color w:val="000000"/>
                <w:sz w:val="18"/>
                <w:szCs w:val="18"/>
                <w:lang w:val="es-ES" w:eastAsia="es-ES"/>
              </w:rPr>
              <w:t>Total</w:t>
            </w:r>
          </w:p>
        </w:tc>
        <w:tc>
          <w:tcPr>
            <w:tcW w:w="1276" w:type="dxa"/>
            <w:tcBorders>
              <w:top w:val="single" w:sz="4" w:space="0" w:color="auto"/>
              <w:left w:val="nil"/>
              <w:bottom w:val="single" w:sz="4" w:space="0" w:color="auto"/>
              <w:right w:val="nil"/>
            </w:tcBorders>
            <w:shd w:val="clear" w:color="auto" w:fill="FABF8F" w:themeFill="accent6" w:themeFillTint="99"/>
            <w:noWrap/>
            <w:vAlign w:val="bottom"/>
          </w:tcPr>
          <w:p w14:paraId="745B1152" w14:textId="77777777" w:rsidR="00807992" w:rsidRPr="003C40F0" w:rsidRDefault="00807992" w:rsidP="00807992">
            <w:pPr>
              <w:spacing w:after="0"/>
              <w:ind w:firstLine="0"/>
              <w:jc w:val="right"/>
              <w:rPr>
                <w:rFonts w:ascii="Arial" w:hAnsi="Arial" w:cs="Arial"/>
                <w:sz w:val="18"/>
                <w:szCs w:val="18"/>
                <w:lang w:val="es-ES" w:eastAsia="es-ES"/>
              </w:rPr>
            </w:pPr>
            <w:r w:rsidRPr="003C40F0">
              <w:rPr>
                <w:rFonts w:ascii="Arial" w:hAnsi="Arial" w:cs="Arial"/>
                <w:sz w:val="18"/>
                <w:szCs w:val="18"/>
                <w:lang w:val="es-ES" w:eastAsia="es-ES"/>
              </w:rPr>
              <w:t>2.162.903</w:t>
            </w:r>
          </w:p>
        </w:tc>
      </w:tr>
      <w:tr w:rsidR="009838F0" w:rsidRPr="00515928" w14:paraId="73BFCD06" w14:textId="77777777" w:rsidTr="0066649C">
        <w:trPr>
          <w:trHeight w:val="255"/>
        </w:trPr>
        <w:tc>
          <w:tcPr>
            <w:tcW w:w="7513" w:type="dxa"/>
            <w:tcBorders>
              <w:top w:val="single" w:sz="4" w:space="0" w:color="auto"/>
              <w:left w:val="nil"/>
              <w:bottom w:val="single" w:sz="4" w:space="0" w:color="auto"/>
              <w:right w:val="nil"/>
            </w:tcBorders>
            <w:shd w:val="clear" w:color="auto" w:fill="FABF8F" w:themeFill="accent6" w:themeFillTint="99"/>
            <w:noWrap/>
            <w:vAlign w:val="bottom"/>
            <w:hideMark/>
          </w:tcPr>
          <w:p w14:paraId="78BED19B" w14:textId="77777777" w:rsidR="009838F0" w:rsidRPr="00515928" w:rsidRDefault="009838F0" w:rsidP="007677FF">
            <w:pPr>
              <w:spacing w:after="0"/>
              <w:ind w:firstLine="0"/>
              <w:rPr>
                <w:rFonts w:ascii="Arial" w:hAnsi="Arial" w:cs="Arial"/>
                <w:color w:val="000000"/>
                <w:sz w:val="18"/>
                <w:szCs w:val="18"/>
                <w:lang w:val="es-ES" w:eastAsia="es-ES"/>
              </w:rPr>
            </w:pPr>
            <w:r>
              <w:rPr>
                <w:rFonts w:ascii="Arial" w:hAnsi="Arial" w:cs="Arial"/>
                <w:color w:val="000000"/>
                <w:sz w:val="18"/>
                <w:szCs w:val="18"/>
                <w:lang w:val="es-ES" w:eastAsia="es-ES"/>
              </w:rPr>
              <w:t>Transferencias de capital</w:t>
            </w:r>
          </w:p>
        </w:tc>
        <w:tc>
          <w:tcPr>
            <w:tcW w:w="1276" w:type="dxa"/>
            <w:tcBorders>
              <w:top w:val="single" w:sz="4" w:space="0" w:color="auto"/>
              <w:left w:val="nil"/>
              <w:bottom w:val="single" w:sz="4" w:space="0" w:color="auto"/>
              <w:right w:val="nil"/>
            </w:tcBorders>
            <w:shd w:val="clear" w:color="auto" w:fill="FABF8F" w:themeFill="accent6" w:themeFillTint="99"/>
            <w:noWrap/>
            <w:vAlign w:val="bottom"/>
            <w:hideMark/>
          </w:tcPr>
          <w:p w14:paraId="4B7C1F0B" w14:textId="77777777" w:rsidR="009838F0" w:rsidRPr="00186034" w:rsidRDefault="009838F0" w:rsidP="00BD7D48">
            <w:pPr>
              <w:spacing w:after="0"/>
              <w:ind w:firstLine="0"/>
              <w:jc w:val="right"/>
              <w:rPr>
                <w:rFonts w:ascii="Arial" w:hAnsi="Arial" w:cs="Arial"/>
                <w:sz w:val="18"/>
                <w:szCs w:val="18"/>
                <w:lang w:val="es-ES" w:eastAsia="es-ES"/>
              </w:rPr>
            </w:pPr>
            <w:r w:rsidRPr="00186034">
              <w:rPr>
                <w:rFonts w:ascii="Arial" w:hAnsi="Arial" w:cs="Arial"/>
                <w:sz w:val="18"/>
                <w:szCs w:val="18"/>
                <w:lang w:val="es-ES" w:eastAsia="es-ES"/>
              </w:rPr>
              <w:t xml:space="preserve">ORN </w:t>
            </w:r>
          </w:p>
        </w:tc>
      </w:tr>
      <w:tr w:rsidR="009838F0" w:rsidRPr="0013706C" w14:paraId="48159519" w14:textId="77777777" w:rsidTr="0066649C">
        <w:trPr>
          <w:trHeight w:val="198"/>
        </w:trPr>
        <w:tc>
          <w:tcPr>
            <w:tcW w:w="7513" w:type="dxa"/>
            <w:tcBorders>
              <w:top w:val="single" w:sz="4" w:space="0" w:color="auto"/>
              <w:left w:val="nil"/>
              <w:bottom w:val="single" w:sz="2" w:space="0" w:color="auto"/>
              <w:right w:val="nil"/>
            </w:tcBorders>
            <w:shd w:val="clear" w:color="auto" w:fill="auto"/>
            <w:vAlign w:val="bottom"/>
          </w:tcPr>
          <w:p w14:paraId="20294BD4" w14:textId="77777777" w:rsidR="009838F0" w:rsidRPr="0013706C" w:rsidRDefault="009838F0" w:rsidP="007677FF">
            <w:pPr>
              <w:spacing w:after="0"/>
              <w:ind w:firstLine="0"/>
              <w:rPr>
                <w:rFonts w:ascii="Arial Narrow" w:hAnsi="Arial Narrow" w:cs="Calibri"/>
                <w:color w:val="000000"/>
                <w:sz w:val="18"/>
                <w:szCs w:val="18"/>
                <w:lang w:val="es-ES" w:eastAsia="es-ES"/>
              </w:rPr>
            </w:pPr>
            <w:r w:rsidRPr="0013706C">
              <w:rPr>
                <w:rFonts w:ascii="Arial Narrow" w:hAnsi="Arial Narrow" w:cs="Calibri"/>
                <w:color w:val="000000"/>
                <w:sz w:val="18"/>
                <w:szCs w:val="18"/>
                <w:lang w:val="es-ES" w:eastAsia="es-ES"/>
              </w:rPr>
              <w:t xml:space="preserve">Transferencias a </w:t>
            </w:r>
            <w:proofErr w:type="spellStart"/>
            <w:r w:rsidRPr="0013706C">
              <w:rPr>
                <w:rFonts w:ascii="Arial Narrow" w:hAnsi="Arial Narrow" w:cs="Calibri"/>
                <w:color w:val="000000"/>
                <w:sz w:val="18"/>
                <w:szCs w:val="18"/>
                <w:lang w:val="es-ES" w:eastAsia="es-ES"/>
              </w:rPr>
              <w:t>Comiruña</w:t>
            </w:r>
            <w:proofErr w:type="spellEnd"/>
          </w:p>
        </w:tc>
        <w:tc>
          <w:tcPr>
            <w:tcW w:w="1276" w:type="dxa"/>
            <w:tcBorders>
              <w:top w:val="single" w:sz="4" w:space="0" w:color="auto"/>
              <w:left w:val="nil"/>
              <w:bottom w:val="single" w:sz="2" w:space="0" w:color="auto"/>
              <w:right w:val="nil"/>
            </w:tcBorders>
            <w:shd w:val="clear" w:color="auto" w:fill="auto"/>
            <w:noWrap/>
            <w:vAlign w:val="bottom"/>
          </w:tcPr>
          <w:p w14:paraId="6B4EC62D" w14:textId="77777777" w:rsidR="009838F0" w:rsidRPr="0013706C" w:rsidRDefault="009838F0" w:rsidP="007677FF">
            <w:pPr>
              <w:spacing w:after="0"/>
              <w:ind w:firstLine="0"/>
              <w:jc w:val="right"/>
              <w:rPr>
                <w:rFonts w:ascii="Arial Narrow" w:hAnsi="Arial Narrow" w:cs="Calibri"/>
                <w:sz w:val="18"/>
                <w:szCs w:val="18"/>
                <w:lang w:val="es-ES" w:eastAsia="es-ES"/>
              </w:rPr>
            </w:pPr>
            <w:r w:rsidRPr="0013706C">
              <w:rPr>
                <w:rFonts w:ascii="Arial Narrow" w:hAnsi="Arial Narrow" w:cs="Calibri"/>
                <w:sz w:val="18"/>
                <w:szCs w:val="18"/>
                <w:lang w:val="es-ES" w:eastAsia="es-ES"/>
              </w:rPr>
              <w:t>1.000.000</w:t>
            </w:r>
          </w:p>
        </w:tc>
      </w:tr>
      <w:tr w:rsidR="009838F0" w:rsidRPr="0013706C" w14:paraId="55DD86D1" w14:textId="77777777" w:rsidTr="0066649C">
        <w:trPr>
          <w:trHeight w:val="198"/>
        </w:trPr>
        <w:tc>
          <w:tcPr>
            <w:tcW w:w="7513" w:type="dxa"/>
            <w:tcBorders>
              <w:top w:val="single" w:sz="2" w:space="0" w:color="auto"/>
              <w:left w:val="nil"/>
              <w:bottom w:val="single" w:sz="4" w:space="0" w:color="auto"/>
              <w:right w:val="nil"/>
            </w:tcBorders>
            <w:shd w:val="clear" w:color="auto" w:fill="auto"/>
            <w:vAlign w:val="bottom"/>
          </w:tcPr>
          <w:p w14:paraId="7F05B785" w14:textId="77777777" w:rsidR="009838F0" w:rsidRPr="0013706C" w:rsidRDefault="009838F0" w:rsidP="007677FF">
            <w:pPr>
              <w:spacing w:after="0"/>
              <w:ind w:firstLine="0"/>
              <w:rPr>
                <w:rFonts w:ascii="Arial Narrow" w:hAnsi="Arial Narrow" w:cs="Calibri"/>
                <w:color w:val="000000"/>
                <w:sz w:val="18"/>
                <w:szCs w:val="18"/>
                <w:lang w:val="es-ES" w:eastAsia="es-ES"/>
              </w:rPr>
            </w:pPr>
            <w:r w:rsidRPr="0013706C">
              <w:rPr>
                <w:rFonts w:ascii="Arial Narrow" w:hAnsi="Arial Narrow" w:cs="Calibri"/>
                <w:color w:val="000000"/>
                <w:sz w:val="18"/>
                <w:szCs w:val="18"/>
                <w:lang w:val="es-ES" w:eastAsia="es-ES"/>
              </w:rPr>
              <w:t>Transferencias a Pamplona Centro Histórico</w:t>
            </w:r>
            <w:r>
              <w:rPr>
                <w:rFonts w:ascii="Arial Narrow" w:hAnsi="Arial Narrow" w:cs="Calibri"/>
                <w:color w:val="000000"/>
                <w:sz w:val="18"/>
                <w:szCs w:val="18"/>
                <w:lang w:val="es-ES" w:eastAsia="es-ES"/>
              </w:rPr>
              <w:t xml:space="preserve"> S.A.U.</w:t>
            </w:r>
          </w:p>
        </w:tc>
        <w:tc>
          <w:tcPr>
            <w:tcW w:w="1276" w:type="dxa"/>
            <w:tcBorders>
              <w:top w:val="single" w:sz="2" w:space="0" w:color="auto"/>
              <w:left w:val="nil"/>
              <w:bottom w:val="single" w:sz="4" w:space="0" w:color="auto"/>
              <w:right w:val="nil"/>
            </w:tcBorders>
            <w:shd w:val="clear" w:color="auto" w:fill="auto"/>
            <w:noWrap/>
            <w:vAlign w:val="bottom"/>
          </w:tcPr>
          <w:p w14:paraId="195E688C" w14:textId="77777777" w:rsidR="009838F0" w:rsidRPr="0013706C" w:rsidRDefault="009838F0" w:rsidP="007677FF">
            <w:pPr>
              <w:spacing w:after="0"/>
              <w:ind w:firstLine="0"/>
              <w:jc w:val="right"/>
              <w:rPr>
                <w:rFonts w:ascii="Arial Narrow" w:hAnsi="Arial Narrow" w:cs="Calibri"/>
                <w:sz w:val="18"/>
                <w:szCs w:val="18"/>
                <w:lang w:val="es-ES" w:eastAsia="es-ES"/>
              </w:rPr>
            </w:pPr>
            <w:r w:rsidRPr="0013706C">
              <w:rPr>
                <w:rFonts w:ascii="Arial Narrow" w:hAnsi="Arial Narrow" w:cs="Calibri"/>
                <w:sz w:val="18"/>
                <w:szCs w:val="18"/>
                <w:lang w:val="es-ES" w:eastAsia="es-ES"/>
              </w:rPr>
              <w:t>1.025.000</w:t>
            </w:r>
          </w:p>
        </w:tc>
      </w:tr>
      <w:tr w:rsidR="009838F0" w:rsidRPr="003C40F0" w14:paraId="6E6AA7E3" w14:textId="77777777" w:rsidTr="0066649C">
        <w:trPr>
          <w:trHeight w:val="255"/>
        </w:trPr>
        <w:tc>
          <w:tcPr>
            <w:tcW w:w="7513" w:type="dxa"/>
            <w:tcBorders>
              <w:top w:val="single" w:sz="4" w:space="0" w:color="auto"/>
              <w:left w:val="nil"/>
              <w:bottom w:val="single" w:sz="4" w:space="0" w:color="auto"/>
              <w:right w:val="nil"/>
            </w:tcBorders>
            <w:shd w:val="clear" w:color="auto" w:fill="FABF8F" w:themeFill="accent6" w:themeFillTint="99"/>
            <w:noWrap/>
            <w:vAlign w:val="bottom"/>
            <w:hideMark/>
          </w:tcPr>
          <w:p w14:paraId="2E89F677" w14:textId="77777777" w:rsidR="009838F0" w:rsidRPr="003C40F0" w:rsidRDefault="009838F0" w:rsidP="007677FF">
            <w:pPr>
              <w:spacing w:after="0"/>
              <w:ind w:firstLine="0"/>
              <w:rPr>
                <w:rFonts w:ascii="Arial" w:hAnsi="Arial" w:cs="Arial"/>
                <w:color w:val="000000"/>
                <w:sz w:val="18"/>
                <w:szCs w:val="18"/>
                <w:lang w:val="es-ES" w:eastAsia="es-ES"/>
              </w:rPr>
            </w:pPr>
            <w:r w:rsidRPr="003C40F0">
              <w:rPr>
                <w:rFonts w:ascii="Arial" w:hAnsi="Arial" w:cs="Arial"/>
                <w:color w:val="000000"/>
                <w:sz w:val="18"/>
                <w:szCs w:val="18"/>
                <w:lang w:val="es-ES" w:eastAsia="es-ES"/>
              </w:rPr>
              <w:t>Total</w:t>
            </w:r>
          </w:p>
        </w:tc>
        <w:tc>
          <w:tcPr>
            <w:tcW w:w="1276" w:type="dxa"/>
            <w:tcBorders>
              <w:top w:val="single" w:sz="4" w:space="0" w:color="auto"/>
              <w:left w:val="nil"/>
              <w:bottom w:val="single" w:sz="4" w:space="0" w:color="auto"/>
              <w:right w:val="nil"/>
            </w:tcBorders>
            <w:shd w:val="clear" w:color="auto" w:fill="FABF8F" w:themeFill="accent6" w:themeFillTint="99"/>
            <w:noWrap/>
            <w:vAlign w:val="bottom"/>
            <w:hideMark/>
          </w:tcPr>
          <w:p w14:paraId="7DC0F457" w14:textId="77777777" w:rsidR="009838F0" w:rsidRPr="003C40F0" w:rsidRDefault="009838F0" w:rsidP="007677FF">
            <w:pPr>
              <w:spacing w:after="0"/>
              <w:ind w:firstLine="0"/>
              <w:jc w:val="right"/>
              <w:rPr>
                <w:rFonts w:ascii="Arial" w:hAnsi="Arial" w:cs="Arial"/>
                <w:sz w:val="18"/>
                <w:szCs w:val="18"/>
                <w:lang w:val="es-ES" w:eastAsia="es-ES"/>
              </w:rPr>
            </w:pPr>
            <w:r w:rsidRPr="003C40F0">
              <w:rPr>
                <w:rFonts w:ascii="Arial" w:hAnsi="Arial" w:cs="Arial"/>
                <w:sz w:val="18"/>
                <w:szCs w:val="18"/>
                <w:lang w:val="es-ES" w:eastAsia="es-ES"/>
              </w:rPr>
              <w:t>2.025.000</w:t>
            </w:r>
          </w:p>
        </w:tc>
      </w:tr>
    </w:tbl>
    <w:p w14:paraId="0CB79A17" w14:textId="77777777" w:rsidR="00807992" w:rsidRDefault="00807992" w:rsidP="00807992">
      <w:pPr>
        <w:spacing w:before="240" w:after="120"/>
        <w:ind w:firstLine="284"/>
        <w:rPr>
          <w:rFonts w:cs="Arial"/>
          <w:spacing w:val="6"/>
          <w:sz w:val="26"/>
          <w:szCs w:val="24"/>
        </w:rPr>
      </w:pPr>
      <w:r w:rsidRPr="00667DFF">
        <w:rPr>
          <w:rFonts w:cs="Arial"/>
          <w:spacing w:val="6"/>
          <w:sz w:val="26"/>
          <w:szCs w:val="24"/>
        </w:rPr>
        <w:t xml:space="preserve">En general, todas </w:t>
      </w:r>
      <w:r>
        <w:rPr>
          <w:rFonts w:cs="Arial"/>
          <w:spacing w:val="6"/>
          <w:sz w:val="26"/>
          <w:szCs w:val="24"/>
        </w:rPr>
        <w:t xml:space="preserve">las </w:t>
      </w:r>
      <w:r w:rsidRPr="00667DFF">
        <w:rPr>
          <w:rFonts w:cs="Arial"/>
          <w:spacing w:val="6"/>
          <w:sz w:val="26"/>
          <w:szCs w:val="24"/>
        </w:rPr>
        <w:t>subve</w:t>
      </w:r>
      <w:r>
        <w:rPr>
          <w:rFonts w:cs="Arial"/>
          <w:spacing w:val="6"/>
          <w:sz w:val="26"/>
          <w:szCs w:val="24"/>
        </w:rPr>
        <w:t>nciones y</w:t>
      </w:r>
      <w:r w:rsidRPr="00667DFF">
        <w:rPr>
          <w:rFonts w:cs="Arial"/>
          <w:spacing w:val="6"/>
          <w:sz w:val="26"/>
          <w:szCs w:val="24"/>
        </w:rPr>
        <w:t xml:space="preserve"> transferencias </w:t>
      </w:r>
      <w:r>
        <w:rPr>
          <w:rFonts w:cs="Arial"/>
          <w:spacing w:val="6"/>
          <w:sz w:val="26"/>
          <w:szCs w:val="24"/>
        </w:rPr>
        <w:t xml:space="preserve">concedidas están </w:t>
      </w:r>
      <w:r w:rsidRPr="00667DFF">
        <w:rPr>
          <w:rFonts w:cs="Arial"/>
          <w:spacing w:val="6"/>
          <w:sz w:val="26"/>
          <w:szCs w:val="24"/>
        </w:rPr>
        <w:t xml:space="preserve">aprobadas, </w:t>
      </w:r>
      <w:r>
        <w:rPr>
          <w:rFonts w:cs="Arial"/>
          <w:spacing w:val="6"/>
          <w:sz w:val="26"/>
          <w:szCs w:val="24"/>
        </w:rPr>
        <w:t xml:space="preserve">pagadas, </w:t>
      </w:r>
      <w:r w:rsidRPr="00667DFF">
        <w:rPr>
          <w:rFonts w:cs="Arial"/>
          <w:spacing w:val="6"/>
          <w:sz w:val="26"/>
          <w:szCs w:val="24"/>
        </w:rPr>
        <w:t>fiscalizadas y conta</w:t>
      </w:r>
      <w:r>
        <w:rPr>
          <w:rFonts w:cs="Arial"/>
          <w:spacing w:val="6"/>
          <w:sz w:val="26"/>
          <w:szCs w:val="24"/>
        </w:rPr>
        <w:t xml:space="preserve">bilizadas adecuadamente según </w:t>
      </w:r>
      <w:r w:rsidRPr="00667DFF">
        <w:rPr>
          <w:rFonts w:cs="Arial"/>
          <w:spacing w:val="6"/>
          <w:sz w:val="26"/>
          <w:szCs w:val="24"/>
        </w:rPr>
        <w:t xml:space="preserve">las convocatorias </w:t>
      </w:r>
      <w:r>
        <w:rPr>
          <w:rFonts w:cs="Arial"/>
          <w:spacing w:val="6"/>
          <w:sz w:val="26"/>
          <w:szCs w:val="24"/>
        </w:rPr>
        <w:t>y/o acuerdos correspondientes, si bien s</w:t>
      </w:r>
      <w:r w:rsidRPr="00667DFF">
        <w:rPr>
          <w:rFonts w:cs="Arial"/>
          <w:spacing w:val="6"/>
          <w:sz w:val="26"/>
          <w:szCs w:val="24"/>
        </w:rPr>
        <w:t>eñalamos los siguientes aspectos</w:t>
      </w:r>
      <w:r>
        <w:rPr>
          <w:rFonts w:cs="Arial"/>
          <w:spacing w:val="6"/>
          <w:sz w:val="26"/>
          <w:szCs w:val="24"/>
        </w:rPr>
        <w:t>:</w:t>
      </w:r>
    </w:p>
    <w:p w14:paraId="7A9F2A1C" w14:textId="77777777" w:rsidR="003D644A" w:rsidRDefault="003D644A" w:rsidP="003D644A">
      <w:pPr>
        <w:numPr>
          <w:ilvl w:val="0"/>
          <w:numId w:val="10"/>
        </w:numPr>
        <w:tabs>
          <w:tab w:val="num" w:pos="284"/>
          <w:tab w:val="num" w:pos="600"/>
          <w:tab w:val="num" w:pos="720"/>
          <w:tab w:val="num" w:pos="1320"/>
        </w:tabs>
        <w:spacing w:before="120" w:after="120"/>
        <w:rPr>
          <w:rFonts w:cs="Arial"/>
          <w:spacing w:val="2"/>
          <w:sz w:val="26"/>
          <w:szCs w:val="24"/>
        </w:rPr>
      </w:pPr>
      <w:r>
        <w:rPr>
          <w:rFonts w:cs="Arial"/>
          <w:spacing w:val="2"/>
          <w:sz w:val="26"/>
          <w:szCs w:val="24"/>
        </w:rPr>
        <w:t xml:space="preserve">El ayuntamiento aprueba para cada área su correspondiente plan estratégico de subvenciones. En el ejercicio 2022 ha aprobado un plan estratégico de subvenciones para todo el ayuntamiento, unificando de esta forma criterios en torno a los procedimientos de concesión de ayudas municipales. </w:t>
      </w:r>
    </w:p>
    <w:p w14:paraId="471F787F" w14:textId="77777777" w:rsidR="00807992" w:rsidRDefault="00807992" w:rsidP="00807992">
      <w:pPr>
        <w:numPr>
          <w:ilvl w:val="0"/>
          <w:numId w:val="10"/>
        </w:numPr>
        <w:tabs>
          <w:tab w:val="num" w:pos="284"/>
          <w:tab w:val="num" w:pos="600"/>
          <w:tab w:val="num" w:pos="720"/>
          <w:tab w:val="num" w:pos="1320"/>
        </w:tabs>
        <w:spacing w:before="120" w:after="120"/>
        <w:rPr>
          <w:rFonts w:cs="Arial"/>
          <w:spacing w:val="2"/>
          <w:sz w:val="26"/>
          <w:szCs w:val="24"/>
        </w:rPr>
      </w:pPr>
      <w:r>
        <w:rPr>
          <w:rFonts w:cs="Arial"/>
          <w:spacing w:val="2"/>
          <w:sz w:val="26"/>
          <w:szCs w:val="24"/>
        </w:rPr>
        <w:t xml:space="preserve">Las concesiones de subvenciones con carácter general se publican en la Base de Datos Nacional de Subvenciones, sin que se publiquen en el BON las concesiones superiores a 3.000 euros tal y como establece la Ordenanza Municipal. </w:t>
      </w:r>
      <w:r w:rsidRPr="00F749E6">
        <w:rPr>
          <w:rFonts w:cs="Arial"/>
          <w:spacing w:val="2"/>
          <w:sz w:val="26"/>
          <w:szCs w:val="24"/>
        </w:rPr>
        <w:t xml:space="preserve"> </w:t>
      </w:r>
    </w:p>
    <w:p w14:paraId="1D5E7196" w14:textId="77777777" w:rsidR="008200A8" w:rsidRPr="00F20E58" w:rsidRDefault="00807992" w:rsidP="00807992">
      <w:pPr>
        <w:numPr>
          <w:ilvl w:val="0"/>
          <w:numId w:val="10"/>
        </w:numPr>
        <w:tabs>
          <w:tab w:val="num" w:pos="284"/>
          <w:tab w:val="num" w:pos="600"/>
          <w:tab w:val="num" w:pos="720"/>
          <w:tab w:val="num" w:pos="1320"/>
        </w:tabs>
        <w:spacing w:before="120" w:after="120"/>
        <w:rPr>
          <w:rFonts w:cs="Arial"/>
          <w:spacing w:val="2"/>
          <w:sz w:val="26"/>
          <w:szCs w:val="24"/>
        </w:rPr>
      </w:pPr>
      <w:r w:rsidRPr="00F20E58">
        <w:rPr>
          <w:rFonts w:cs="Arial"/>
          <w:spacing w:val="2"/>
          <w:sz w:val="26"/>
          <w:szCs w:val="24"/>
        </w:rPr>
        <w:t xml:space="preserve">En la convocatoria de subvenciones para entidades deportivas pamplonesas y en la ayuda concedida al Orfeón Pamplonés, </w:t>
      </w:r>
      <w:r w:rsidR="00C83D8D" w:rsidRPr="00F20E58">
        <w:rPr>
          <w:rFonts w:cs="Arial"/>
          <w:spacing w:val="2"/>
          <w:sz w:val="26"/>
          <w:szCs w:val="24"/>
        </w:rPr>
        <w:t>se dan por vá</w:t>
      </w:r>
      <w:r w:rsidR="008200A8" w:rsidRPr="00F20E58">
        <w:rPr>
          <w:rFonts w:cs="Arial"/>
          <w:spacing w:val="2"/>
          <w:sz w:val="26"/>
          <w:szCs w:val="24"/>
        </w:rPr>
        <w:t>lidos los ingresos que se reflejan en las fichas de gastos/ingresos sin que se solicite su acreditación suficiente. Su no verificación</w:t>
      </w:r>
      <w:r w:rsidR="00C83D8D" w:rsidRPr="00F20E58">
        <w:rPr>
          <w:rFonts w:cs="Arial"/>
          <w:spacing w:val="2"/>
          <w:sz w:val="26"/>
          <w:szCs w:val="24"/>
        </w:rPr>
        <w:t xml:space="preserve"> </w:t>
      </w:r>
      <w:r w:rsidR="008200A8" w:rsidRPr="00F20E58">
        <w:rPr>
          <w:rFonts w:cs="Arial"/>
          <w:spacing w:val="2"/>
          <w:sz w:val="26"/>
          <w:szCs w:val="24"/>
        </w:rPr>
        <w:t>limita la capacidad de calcular el déficit real de las actividades subvencionadas.</w:t>
      </w:r>
    </w:p>
    <w:p w14:paraId="4B384BFA" w14:textId="77777777" w:rsidR="00807992" w:rsidRPr="00F20E58" w:rsidRDefault="00807992" w:rsidP="00807992">
      <w:pPr>
        <w:numPr>
          <w:ilvl w:val="0"/>
          <w:numId w:val="10"/>
        </w:numPr>
        <w:tabs>
          <w:tab w:val="num" w:pos="284"/>
          <w:tab w:val="num" w:pos="600"/>
          <w:tab w:val="num" w:pos="720"/>
          <w:tab w:val="num" w:pos="1320"/>
        </w:tabs>
        <w:spacing w:before="120" w:after="120"/>
        <w:rPr>
          <w:rFonts w:cs="Arial"/>
          <w:spacing w:val="2"/>
          <w:sz w:val="26"/>
          <w:szCs w:val="24"/>
        </w:rPr>
      </w:pPr>
      <w:r w:rsidRPr="002E248F">
        <w:rPr>
          <w:rFonts w:cs="Arial"/>
          <w:spacing w:val="2"/>
          <w:sz w:val="26"/>
          <w:szCs w:val="24"/>
        </w:rPr>
        <w:t>En la convocatoria de subvenciones destinadas a la concesión de prestaciones económicas para alimentación en comedores escolares enero/junio 2021, destacamos que la gestión de estas ayudas se realiza a través de entidades gestoras (centro escolar, APYMA o gestor del servicio de comedor) que son las que perciben la subvención para posteriormente distribuirlas a las familias que reúnen los requisitos para ser beneficiarios. Hemos observado la ausencia de “</w:t>
      </w:r>
      <w:r w:rsidRPr="002E248F">
        <w:rPr>
          <w:rFonts w:cs="Arial"/>
          <w:i/>
          <w:spacing w:val="2"/>
          <w:sz w:val="26"/>
          <w:szCs w:val="24"/>
        </w:rPr>
        <w:t>un convenio de colaboración entre el órgano concedente y la entidad colaboradora en el que se regularán las condiciones y obligaciones asumidas por ésta</w:t>
      </w:r>
      <w:r w:rsidRPr="002E248F">
        <w:rPr>
          <w:rFonts w:cs="Arial"/>
          <w:spacing w:val="2"/>
          <w:sz w:val="26"/>
          <w:szCs w:val="24"/>
        </w:rPr>
        <w:t xml:space="preserve">.” tal y como exige la Ley 38/2003 de Subvenciones y la Ordenanza </w:t>
      </w:r>
      <w:r w:rsidRPr="00F20E58">
        <w:rPr>
          <w:rFonts w:cs="Arial"/>
          <w:spacing w:val="2"/>
          <w:sz w:val="26"/>
          <w:szCs w:val="24"/>
        </w:rPr>
        <w:t xml:space="preserve">Municipal. </w:t>
      </w:r>
      <w:r w:rsidR="00F20E58">
        <w:rPr>
          <w:rFonts w:cs="Arial"/>
          <w:spacing w:val="2"/>
          <w:sz w:val="26"/>
          <w:szCs w:val="24"/>
        </w:rPr>
        <w:t>No obstante, indicamos que s</w:t>
      </w:r>
      <w:r w:rsidR="00C83D8D" w:rsidRPr="00F20E58">
        <w:rPr>
          <w:rFonts w:cs="Arial"/>
          <w:spacing w:val="2"/>
          <w:sz w:val="26"/>
          <w:szCs w:val="24"/>
        </w:rPr>
        <w:t xml:space="preserve">i bien el </w:t>
      </w:r>
      <w:r w:rsidR="00C83D8D" w:rsidRPr="00F20E58">
        <w:rPr>
          <w:rFonts w:cs="Arial"/>
          <w:spacing w:val="2"/>
          <w:sz w:val="26"/>
          <w:szCs w:val="24"/>
        </w:rPr>
        <w:lastRenderedPageBreak/>
        <w:t xml:space="preserve">ayuntamiento contempla como alternativa la firma de un documento donde se reflejan determinadas obligaciones, no todas las entidades lo firman. </w:t>
      </w:r>
    </w:p>
    <w:p w14:paraId="49C79069" w14:textId="77777777" w:rsidR="00807992" w:rsidRDefault="00807992" w:rsidP="00807992">
      <w:pPr>
        <w:spacing w:before="240" w:after="120"/>
        <w:ind w:firstLine="284"/>
        <w:rPr>
          <w:rFonts w:cs="Arial"/>
          <w:spacing w:val="6"/>
          <w:sz w:val="26"/>
          <w:szCs w:val="24"/>
        </w:rPr>
      </w:pPr>
      <w:r w:rsidRPr="00F749E6">
        <w:rPr>
          <w:rFonts w:cs="Arial"/>
          <w:spacing w:val="6"/>
          <w:sz w:val="26"/>
          <w:szCs w:val="24"/>
        </w:rPr>
        <w:t>Asimismo</w:t>
      </w:r>
      <w:r>
        <w:rPr>
          <w:rFonts w:cs="Arial"/>
          <w:spacing w:val="6"/>
          <w:sz w:val="26"/>
          <w:szCs w:val="24"/>
        </w:rPr>
        <w:t xml:space="preserve">, </w:t>
      </w:r>
      <w:r w:rsidRPr="00F749E6">
        <w:rPr>
          <w:rFonts w:cs="Arial"/>
          <w:spacing w:val="6"/>
          <w:sz w:val="26"/>
          <w:szCs w:val="24"/>
        </w:rPr>
        <w:t xml:space="preserve">la convocatoria establece la realización de forma aleatoria por parte del ayuntamiento de comprobaciones para verificar el cumplimiento durante todo el periodo de la concesión, de los requisitos que dan derecho a la percepción </w:t>
      </w:r>
      <w:r>
        <w:rPr>
          <w:rFonts w:cs="Arial"/>
          <w:spacing w:val="6"/>
          <w:sz w:val="26"/>
          <w:szCs w:val="24"/>
        </w:rPr>
        <w:t>de la ayuda al comedor escolar, indicando que s</w:t>
      </w:r>
      <w:r w:rsidRPr="00F749E6">
        <w:rPr>
          <w:rFonts w:cs="Arial"/>
          <w:spacing w:val="6"/>
          <w:sz w:val="26"/>
          <w:szCs w:val="24"/>
        </w:rPr>
        <w:t>e reali</w:t>
      </w:r>
      <w:r>
        <w:rPr>
          <w:rFonts w:cs="Arial"/>
          <w:spacing w:val="6"/>
          <w:sz w:val="26"/>
          <w:szCs w:val="24"/>
        </w:rPr>
        <w:t>zarán auditorías al menos al 15 por ciento</w:t>
      </w:r>
      <w:r w:rsidRPr="00F749E6">
        <w:rPr>
          <w:rFonts w:cs="Arial"/>
          <w:spacing w:val="6"/>
          <w:sz w:val="26"/>
          <w:szCs w:val="24"/>
        </w:rPr>
        <w:t xml:space="preserve"> de las solicitudes concedidas.</w:t>
      </w:r>
      <w:r>
        <w:rPr>
          <w:rFonts w:cs="Arial"/>
          <w:spacing w:val="6"/>
          <w:sz w:val="26"/>
          <w:szCs w:val="24"/>
        </w:rPr>
        <w:t xml:space="preserve"> Hemos comprobado que no se realizan este tipo de comprobaciones. </w:t>
      </w:r>
    </w:p>
    <w:p w14:paraId="07FBD6C7" w14:textId="77777777" w:rsidR="00807992" w:rsidRDefault="00807992" w:rsidP="00807992">
      <w:pPr>
        <w:numPr>
          <w:ilvl w:val="0"/>
          <w:numId w:val="10"/>
        </w:numPr>
        <w:tabs>
          <w:tab w:val="num" w:pos="284"/>
          <w:tab w:val="num" w:pos="600"/>
          <w:tab w:val="num" w:pos="720"/>
          <w:tab w:val="num" w:pos="1320"/>
        </w:tabs>
        <w:spacing w:before="120" w:after="120"/>
        <w:rPr>
          <w:rFonts w:cs="Arial"/>
          <w:spacing w:val="2"/>
          <w:sz w:val="26"/>
          <w:szCs w:val="24"/>
        </w:rPr>
      </w:pPr>
      <w:r w:rsidRPr="00F749E6">
        <w:rPr>
          <w:rFonts w:cs="Arial"/>
          <w:spacing w:val="2"/>
          <w:sz w:val="26"/>
          <w:szCs w:val="24"/>
        </w:rPr>
        <w:t>E</w:t>
      </w:r>
      <w:r>
        <w:rPr>
          <w:rFonts w:cs="Arial"/>
          <w:spacing w:val="2"/>
          <w:sz w:val="26"/>
          <w:szCs w:val="24"/>
        </w:rPr>
        <w:t>n el Conve</w:t>
      </w:r>
      <w:r w:rsidR="003D644A">
        <w:rPr>
          <w:rFonts w:cs="Arial"/>
          <w:spacing w:val="2"/>
          <w:sz w:val="26"/>
          <w:szCs w:val="24"/>
        </w:rPr>
        <w:t xml:space="preserve">nio con el Colegio de Abogados para la prestación del servicio de la oficina de mediación hipotecaria, </w:t>
      </w:r>
      <w:r>
        <w:rPr>
          <w:rFonts w:cs="Arial"/>
          <w:spacing w:val="2"/>
          <w:sz w:val="26"/>
          <w:szCs w:val="24"/>
        </w:rPr>
        <w:t>destacamos en primer lugar que la aprobación del convenio del documento se produce el 15 de julio de 2021, cuando la vigencia del convenio es del 1 de septiembre de 2020 al 31 de agosto de 2021.</w:t>
      </w:r>
    </w:p>
    <w:p w14:paraId="636B4078" w14:textId="77777777" w:rsidR="00807992" w:rsidRPr="00F749E6" w:rsidRDefault="00807992" w:rsidP="00807992">
      <w:pPr>
        <w:spacing w:before="240" w:after="120"/>
        <w:ind w:firstLine="284"/>
        <w:rPr>
          <w:rFonts w:cs="Arial"/>
          <w:spacing w:val="6"/>
          <w:sz w:val="26"/>
          <w:szCs w:val="24"/>
        </w:rPr>
      </w:pPr>
      <w:r w:rsidRPr="00F749E6">
        <w:rPr>
          <w:rFonts w:cs="Arial"/>
          <w:spacing w:val="6"/>
          <w:sz w:val="26"/>
          <w:szCs w:val="24"/>
        </w:rPr>
        <w:t xml:space="preserve">En cualquier caso, como aspecto más relevante </w:t>
      </w:r>
      <w:r w:rsidR="003D644A">
        <w:rPr>
          <w:rFonts w:cs="Arial"/>
          <w:spacing w:val="6"/>
          <w:sz w:val="26"/>
          <w:szCs w:val="24"/>
        </w:rPr>
        <w:t xml:space="preserve">hay que resaltar </w:t>
      </w:r>
      <w:r w:rsidRPr="00F749E6">
        <w:rPr>
          <w:rFonts w:cs="Arial"/>
          <w:spacing w:val="6"/>
          <w:sz w:val="26"/>
          <w:szCs w:val="24"/>
        </w:rPr>
        <w:t>que esta Cámara fiscalizó este</w:t>
      </w:r>
      <w:r w:rsidR="003D644A">
        <w:rPr>
          <w:rFonts w:cs="Arial"/>
          <w:spacing w:val="6"/>
          <w:sz w:val="26"/>
          <w:szCs w:val="24"/>
        </w:rPr>
        <w:t xml:space="preserve"> convenio en el ejercicio 2017 y </w:t>
      </w:r>
      <w:r w:rsidRPr="00F749E6">
        <w:rPr>
          <w:rFonts w:cs="Arial"/>
          <w:spacing w:val="6"/>
          <w:sz w:val="26"/>
          <w:szCs w:val="24"/>
        </w:rPr>
        <w:t xml:space="preserve">consideró como forma más adecuada de </w:t>
      </w:r>
      <w:r>
        <w:rPr>
          <w:rFonts w:cs="Arial"/>
          <w:spacing w:val="6"/>
          <w:sz w:val="26"/>
          <w:szCs w:val="24"/>
        </w:rPr>
        <w:t>calificación jurídica la de un contrato de servicios a tramitar de conformi</w:t>
      </w:r>
      <w:r w:rsidRPr="00F749E6">
        <w:rPr>
          <w:rFonts w:cs="Arial"/>
          <w:spacing w:val="6"/>
          <w:sz w:val="26"/>
          <w:szCs w:val="24"/>
        </w:rPr>
        <w:t>dad con el marco contractual, en lugar de calificarse jurídicamente como una actuación subvencionabl</w:t>
      </w:r>
      <w:r w:rsidR="00617091">
        <w:rPr>
          <w:rFonts w:cs="Arial"/>
          <w:spacing w:val="6"/>
          <w:sz w:val="26"/>
          <w:szCs w:val="24"/>
        </w:rPr>
        <w:t>e al citado colegio profesional. Por ello</w:t>
      </w:r>
      <w:r w:rsidRPr="00F749E6">
        <w:rPr>
          <w:rFonts w:cs="Arial"/>
          <w:spacing w:val="6"/>
          <w:sz w:val="26"/>
          <w:szCs w:val="24"/>
        </w:rPr>
        <w:t xml:space="preserve"> nos reiteramos en la opinión que emitimos en la fiscalización del ejercicio 2017</w:t>
      </w:r>
      <w:r w:rsidR="00A41BD9">
        <w:rPr>
          <w:rFonts w:cs="Arial"/>
          <w:spacing w:val="6"/>
          <w:sz w:val="26"/>
          <w:szCs w:val="24"/>
        </w:rPr>
        <w:t>.</w:t>
      </w:r>
    </w:p>
    <w:p w14:paraId="249533EE" w14:textId="77777777" w:rsidR="00807992" w:rsidRDefault="00807992" w:rsidP="00725269">
      <w:pPr>
        <w:numPr>
          <w:ilvl w:val="0"/>
          <w:numId w:val="10"/>
        </w:numPr>
        <w:tabs>
          <w:tab w:val="num" w:pos="284"/>
          <w:tab w:val="num" w:pos="600"/>
          <w:tab w:val="num" w:pos="720"/>
          <w:tab w:val="num" w:pos="1320"/>
        </w:tabs>
        <w:spacing w:before="120" w:after="120"/>
        <w:rPr>
          <w:rFonts w:cs="Arial"/>
          <w:spacing w:val="6"/>
          <w:sz w:val="26"/>
          <w:szCs w:val="24"/>
        </w:rPr>
      </w:pPr>
      <w:r w:rsidRPr="00F749E6">
        <w:rPr>
          <w:rFonts w:cs="Arial"/>
          <w:spacing w:val="6"/>
          <w:sz w:val="26"/>
          <w:szCs w:val="24"/>
        </w:rPr>
        <w:t xml:space="preserve">En el convenio firmado con la UPNA para la realización de actividades culturales, al igual que hemos comentado en el Convenio con el Colegio de Abogados, la aprobación y firma del Convenio se realiza </w:t>
      </w:r>
      <w:r>
        <w:rPr>
          <w:rFonts w:cs="Arial"/>
          <w:spacing w:val="6"/>
          <w:sz w:val="26"/>
          <w:szCs w:val="24"/>
        </w:rPr>
        <w:t xml:space="preserve">de forma extemporánea </w:t>
      </w:r>
      <w:r w:rsidRPr="00F749E6">
        <w:rPr>
          <w:rFonts w:cs="Arial"/>
          <w:spacing w:val="6"/>
          <w:sz w:val="26"/>
          <w:szCs w:val="24"/>
        </w:rPr>
        <w:t xml:space="preserve">a finales de 2021, teniendo en cuenta que </w:t>
      </w:r>
      <w:r>
        <w:rPr>
          <w:rFonts w:cs="Arial"/>
          <w:spacing w:val="6"/>
          <w:sz w:val="26"/>
          <w:szCs w:val="24"/>
        </w:rPr>
        <w:t>l</w:t>
      </w:r>
      <w:r w:rsidRPr="00F749E6">
        <w:rPr>
          <w:rFonts w:cs="Arial"/>
          <w:spacing w:val="6"/>
          <w:sz w:val="26"/>
          <w:szCs w:val="24"/>
        </w:rPr>
        <w:t>as actividades subvencionadas se llevarán a cabo del 1 de enero al 31 de diciembre de 2021.</w:t>
      </w:r>
    </w:p>
    <w:p w14:paraId="0AF6005D" w14:textId="77777777" w:rsidR="00807992" w:rsidRPr="00F749E6" w:rsidRDefault="00617091" w:rsidP="00807992">
      <w:pPr>
        <w:tabs>
          <w:tab w:val="left" w:pos="480"/>
          <w:tab w:val="num" w:pos="720"/>
          <w:tab w:val="num" w:pos="1320"/>
        </w:tabs>
        <w:spacing w:after="260"/>
        <w:ind w:firstLine="284"/>
        <w:rPr>
          <w:rFonts w:cs="Arial"/>
          <w:spacing w:val="6"/>
          <w:sz w:val="26"/>
          <w:szCs w:val="24"/>
        </w:rPr>
      </w:pPr>
      <w:r>
        <w:rPr>
          <w:rFonts w:cs="Arial"/>
          <w:spacing w:val="6"/>
          <w:sz w:val="26"/>
          <w:szCs w:val="24"/>
        </w:rPr>
        <w:t>L</w:t>
      </w:r>
      <w:r w:rsidR="00807992">
        <w:rPr>
          <w:rFonts w:cs="Arial"/>
          <w:spacing w:val="6"/>
          <w:sz w:val="26"/>
          <w:szCs w:val="24"/>
        </w:rPr>
        <w:t>a selección de la muestra de facturas para verificar la justificación de los gastos ha sido seleccionada por la universidad, cuando debiera haber sido elegida por el ayuntamiento.</w:t>
      </w:r>
    </w:p>
    <w:p w14:paraId="1A78AD87" w14:textId="77777777" w:rsidR="00807992" w:rsidRPr="00514797" w:rsidRDefault="00807992" w:rsidP="00725269">
      <w:pPr>
        <w:numPr>
          <w:ilvl w:val="0"/>
          <w:numId w:val="10"/>
        </w:numPr>
        <w:tabs>
          <w:tab w:val="num" w:pos="284"/>
          <w:tab w:val="num" w:pos="600"/>
          <w:tab w:val="num" w:pos="720"/>
          <w:tab w:val="num" w:pos="1320"/>
        </w:tabs>
        <w:spacing w:before="120" w:after="120"/>
        <w:rPr>
          <w:rFonts w:cs="Arial"/>
          <w:spacing w:val="6"/>
          <w:sz w:val="26"/>
          <w:szCs w:val="24"/>
        </w:rPr>
      </w:pPr>
      <w:r w:rsidRPr="00514797">
        <w:rPr>
          <w:rFonts w:cs="Arial"/>
          <w:spacing w:val="6"/>
          <w:sz w:val="26"/>
          <w:szCs w:val="24"/>
        </w:rPr>
        <w:t xml:space="preserve">Las subvenciones a los grupos </w:t>
      </w:r>
      <w:proofErr w:type="gramStart"/>
      <w:r w:rsidRPr="00514797">
        <w:rPr>
          <w:rFonts w:cs="Arial"/>
          <w:spacing w:val="6"/>
          <w:sz w:val="26"/>
          <w:szCs w:val="24"/>
        </w:rPr>
        <w:t>municipales,</w:t>
      </w:r>
      <w:proofErr w:type="gramEnd"/>
      <w:r w:rsidRPr="00514797">
        <w:rPr>
          <w:rFonts w:cs="Arial"/>
          <w:spacing w:val="6"/>
          <w:sz w:val="26"/>
          <w:szCs w:val="24"/>
        </w:rPr>
        <w:t xml:space="preserve"> fueron objeto de revisión en </w:t>
      </w:r>
      <w:r w:rsidR="000023DA" w:rsidRPr="00514797">
        <w:rPr>
          <w:rFonts w:cs="Arial"/>
          <w:spacing w:val="6"/>
          <w:sz w:val="26"/>
          <w:szCs w:val="24"/>
        </w:rPr>
        <w:t xml:space="preserve">nuestra </w:t>
      </w:r>
      <w:r w:rsidRPr="00514797">
        <w:rPr>
          <w:rFonts w:cs="Arial"/>
          <w:spacing w:val="6"/>
          <w:sz w:val="26"/>
          <w:szCs w:val="24"/>
        </w:rPr>
        <w:t xml:space="preserve">fiscalización correspondiente al ejercicio 2017. En el citado informe, esta Cámara </w:t>
      </w:r>
      <w:r w:rsidR="00514797" w:rsidRPr="00514797">
        <w:rPr>
          <w:rFonts w:cs="Arial"/>
          <w:spacing w:val="6"/>
          <w:sz w:val="26"/>
          <w:szCs w:val="24"/>
        </w:rPr>
        <w:t xml:space="preserve">realizó una serie de advertencias </w:t>
      </w:r>
      <w:r w:rsidRPr="00514797">
        <w:rPr>
          <w:rFonts w:cs="Arial"/>
          <w:spacing w:val="6"/>
          <w:sz w:val="26"/>
          <w:szCs w:val="24"/>
        </w:rPr>
        <w:t xml:space="preserve">y planteó las correspondientes recomendaciones; recomendaciones que fueron </w:t>
      </w:r>
      <w:r w:rsidR="000023DA" w:rsidRPr="00514797">
        <w:rPr>
          <w:rFonts w:cs="Arial"/>
          <w:spacing w:val="6"/>
          <w:sz w:val="26"/>
          <w:szCs w:val="24"/>
        </w:rPr>
        <w:t xml:space="preserve">atendidas </w:t>
      </w:r>
      <w:r w:rsidRPr="00514797">
        <w:rPr>
          <w:rFonts w:cs="Arial"/>
          <w:spacing w:val="6"/>
          <w:sz w:val="26"/>
          <w:szCs w:val="24"/>
        </w:rPr>
        <w:t xml:space="preserve">y </w:t>
      </w:r>
      <w:r w:rsidR="000023DA" w:rsidRPr="00514797">
        <w:rPr>
          <w:rFonts w:cs="Arial"/>
          <w:spacing w:val="6"/>
          <w:sz w:val="26"/>
          <w:szCs w:val="24"/>
        </w:rPr>
        <w:t xml:space="preserve">se </w:t>
      </w:r>
      <w:r w:rsidRPr="00514797">
        <w:rPr>
          <w:rFonts w:cs="Arial"/>
          <w:spacing w:val="6"/>
          <w:sz w:val="26"/>
          <w:szCs w:val="24"/>
        </w:rPr>
        <w:t>desarroll</w:t>
      </w:r>
      <w:r w:rsidR="000023DA" w:rsidRPr="00514797">
        <w:rPr>
          <w:rFonts w:cs="Arial"/>
          <w:spacing w:val="6"/>
          <w:sz w:val="26"/>
          <w:szCs w:val="24"/>
        </w:rPr>
        <w:t xml:space="preserve">aron </w:t>
      </w:r>
      <w:r w:rsidRPr="00514797">
        <w:rPr>
          <w:rFonts w:cs="Arial"/>
          <w:spacing w:val="6"/>
          <w:sz w:val="26"/>
          <w:szCs w:val="24"/>
        </w:rPr>
        <w:t>reglamentario en las Bases de Ejecución del Presupuesto del Ayuntamiento del ejercicio 2019, manteniéndose en la actualidad, lo que ha supuesto una evidente mejora, de la que destacamos como principales novedades:</w:t>
      </w:r>
    </w:p>
    <w:p w14:paraId="22A5E14C" w14:textId="77777777" w:rsidR="00807992" w:rsidRPr="00514797" w:rsidRDefault="00FF79A5" w:rsidP="00807992">
      <w:pPr>
        <w:pStyle w:val="Prrafodelista"/>
        <w:numPr>
          <w:ilvl w:val="0"/>
          <w:numId w:val="18"/>
        </w:numPr>
        <w:tabs>
          <w:tab w:val="num" w:pos="600"/>
          <w:tab w:val="num" w:pos="720"/>
          <w:tab w:val="num" w:pos="1320"/>
        </w:tabs>
        <w:spacing w:before="240" w:after="120"/>
        <w:rPr>
          <w:rFonts w:cs="Arial"/>
          <w:spacing w:val="6"/>
          <w:sz w:val="26"/>
          <w:szCs w:val="24"/>
        </w:rPr>
      </w:pPr>
      <w:r>
        <w:rPr>
          <w:rFonts w:cs="Arial"/>
          <w:spacing w:val="6"/>
          <w:sz w:val="26"/>
          <w:szCs w:val="24"/>
        </w:rPr>
        <w:t xml:space="preserve">La exigencia de justificar la aportación a los partidos políticos </w:t>
      </w:r>
      <w:r w:rsidR="00807992" w:rsidRPr="00514797">
        <w:rPr>
          <w:rFonts w:cs="Arial"/>
          <w:spacing w:val="6"/>
          <w:sz w:val="26"/>
          <w:szCs w:val="24"/>
        </w:rPr>
        <w:t>a los que pertenecen</w:t>
      </w:r>
      <w:r w:rsidR="00807992" w:rsidRPr="00514797">
        <w:rPr>
          <w:rStyle w:val="Refdenotaalpie"/>
          <w:spacing w:val="6"/>
          <w:sz w:val="26"/>
          <w:szCs w:val="24"/>
        </w:rPr>
        <w:footnoteReference w:id="8"/>
      </w:r>
      <w:r w:rsidR="00807992" w:rsidRPr="00514797">
        <w:rPr>
          <w:rFonts w:cs="Arial"/>
          <w:spacing w:val="6"/>
          <w:sz w:val="26"/>
          <w:szCs w:val="24"/>
        </w:rPr>
        <w:t xml:space="preserve">, </w:t>
      </w:r>
      <w:r>
        <w:rPr>
          <w:rFonts w:cs="Arial"/>
          <w:spacing w:val="6"/>
          <w:sz w:val="26"/>
          <w:szCs w:val="24"/>
        </w:rPr>
        <w:t xml:space="preserve">mediante la formalización de un convenio </w:t>
      </w:r>
      <w:r w:rsidR="00807992" w:rsidRPr="00514797">
        <w:rPr>
          <w:rFonts w:cs="Arial"/>
          <w:spacing w:val="6"/>
          <w:sz w:val="26"/>
          <w:szCs w:val="24"/>
        </w:rPr>
        <w:t xml:space="preserve">donde se refleje la contrapartida por los servicios prestados por los partidos políticos al servicio del </w:t>
      </w:r>
      <w:r w:rsidR="00807992" w:rsidRPr="00514797">
        <w:rPr>
          <w:rFonts w:cs="Arial"/>
          <w:spacing w:val="6"/>
          <w:sz w:val="26"/>
          <w:szCs w:val="24"/>
        </w:rPr>
        <w:lastRenderedPageBreak/>
        <w:t xml:space="preserve">funcionamiento de los grupos. </w:t>
      </w:r>
      <w:r w:rsidR="00617091">
        <w:rPr>
          <w:rFonts w:cs="Arial"/>
          <w:spacing w:val="6"/>
          <w:sz w:val="26"/>
          <w:szCs w:val="24"/>
        </w:rPr>
        <w:t>E</w:t>
      </w:r>
      <w:r w:rsidR="00807992" w:rsidRPr="00514797">
        <w:rPr>
          <w:rFonts w:cs="Arial"/>
          <w:spacing w:val="6"/>
          <w:sz w:val="26"/>
          <w:szCs w:val="24"/>
        </w:rPr>
        <w:t>sta regulación responde al criterio incluido en la Moción 1.445 del Tribunal de Cuentas.</w:t>
      </w:r>
    </w:p>
    <w:p w14:paraId="50C0DE80" w14:textId="77777777" w:rsidR="00807992" w:rsidRPr="00514797" w:rsidRDefault="00807992" w:rsidP="00807992">
      <w:pPr>
        <w:pStyle w:val="Prrafodelista"/>
        <w:numPr>
          <w:ilvl w:val="0"/>
          <w:numId w:val="18"/>
        </w:numPr>
        <w:tabs>
          <w:tab w:val="num" w:pos="600"/>
          <w:tab w:val="num" w:pos="720"/>
          <w:tab w:val="num" w:pos="1320"/>
        </w:tabs>
        <w:spacing w:before="240" w:after="120"/>
        <w:rPr>
          <w:rFonts w:cs="Arial"/>
          <w:spacing w:val="6"/>
          <w:sz w:val="26"/>
          <w:szCs w:val="24"/>
        </w:rPr>
      </w:pPr>
      <w:r w:rsidRPr="00514797">
        <w:rPr>
          <w:rFonts w:cs="Arial"/>
          <w:spacing w:val="6"/>
          <w:sz w:val="26"/>
          <w:szCs w:val="24"/>
        </w:rPr>
        <w:t>La cuenta justificativa es objeto de fiscalización por la Intervención y posteriormente se aprueba formalmente por Resolu</w:t>
      </w:r>
      <w:r w:rsidR="00CF62A2" w:rsidRPr="00514797">
        <w:rPr>
          <w:rFonts w:cs="Arial"/>
          <w:spacing w:val="6"/>
          <w:sz w:val="26"/>
          <w:szCs w:val="24"/>
        </w:rPr>
        <w:t xml:space="preserve">ción de Alcaldía. En relación con </w:t>
      </w:r>
      <w:r w:rsidRPr="00514797">
        <w:rPr>
          <w:rFonts w:cs="Arial"/>
          <w:spacing w:val="6"/>
          <w:sz w:val="26"/>
          <w:szCs w:val="24"/>
        </w:rPr>
        <w:t xml:space="preserve">la Intervención indicamos </w:t>
      </w:r>
      <w:proofErr w:type="gramStart"/>
      <w:r w:rsidRPr="00514797">
        <w:rPr>
          <w:rFonts w:cs="Arial"/>
          <w:spacing w:val="6"/>
          <w:sz w:val="26"/>
          <w:szCs w:val="24"/>
        </w:rPr>
        <w:t>que</w:t>
      </w:r>
      <w:proofErr w:type="gramEnd"/>
      <w:r w:rsidRPr="00514797">
        <w:rPr>
          <w:rFonts w:cs="Arial"/>
          <w:spacing w:val="6"/>
          <w:sz w:val="26"/>
          <w:szCs w:val="24"/>
        </w:rPr>
        <w:t xml:space="preserve"> como consecuencia de la fiscalización efectuada, los grupos municipales tuvieron que reintegrar 13.559 euros en 2019 y 2.574 euros en 2020. Los citados reintegros hemos comprobado que se efectuaron en 2021 y 2022 respectivamente. </w:t>
      </w:r>
    </w:p>
    <w:p w14:paraId="1224AFB1" w14:textId="77777777" w:rsidR="00807992" w:rsidRDefault="00807992" w:rsidP="00807992">
      <w:pPr>
        <w:pStyle w:val="texto"/>
        <w:spacing w:after="240"/>
        <w:rPr>
          <w:lang w:eastAsia="es-ES"/>
        </w:rPr>
      </w:pPr>
      <w:r w:rsidRPr="00514797">
        <w:rPr>
          <w:lang w:eastAsia="es-ES"/>
        </w:rPr>
        <w:t xml:space="preserve">Se ha revisado la partida de gasto correspondiente a las asignaciones a los grupos municipales con un importe de </w:t>
      </w:r>
      <w:r w:rsidR="003A3A86">
        <w:rPr>
          <w:lang w:eastAsia="es-ES"/>
        </w:rPr>
        <w:t>137.750 euros</w:t>
      </w:r>
      <w:r w:rsidRPr="00514797">
        <w:rPr>
          <w:lang w:eastAsia="es-ES"/>
        </w:rPr>
        <w:t>, con</w:t>
      </w:r>
      <w:r w:rsidR="000023DA" w:rsidRPr="00514797">
        <w:rPr>
          <w:lang w:eastAsia="es-ES"/>
        </w:rPr>
        <w:t xml:space="preserve"> el siguiente detalle por grupo, así como el destino y justificación de la subvención percibida que han presentado por los grupos: </w:t>
      </w:r>
    </w:p>
    <w:tbl>
      <w:tblPr>
        <w:tblW w:w="8789" w:type="dxa"/>
        <w:tblCellMar>
          <w:left w:w="70" w:type="dxa"/>
          <w:right w:w="70" w:type="dxa"/>
        </w:tblCellMar>
        <w:tblLook w:val="04A0" w:firstRow="1" w:lastRow="0" w:firstColumn="1" w:lastColumn="0" w:noHBand="0" w:noVBand="1"/>
      </w:tblPr>
      <w:tblGrid>
        <w:gridCol w:w="1144"/>
        <w:gridCol w:w="1069"/>
        <w:gridCol w:w="2182"/>
        <w:gridCol w:w="567"/>
        <w:gridCol w:w="992"/>
        <w:gridCol w:w="567"/>
        <w:gridCol w:w="1276"/>
        <w:gridCol w:w="992"/>
      </w:tblGrid>
      <w:tr w:rsidR="00807992" w:rsidRPr="00514797" w14:paraId="76E542B5" w14:textId="77777777" w:rsidTr="00EE2FA3">
        <w:trPr>
          <w:trHeight w:val="255"/>
        </w:trPr>
        <w:tc>
          <w:tcPr>
            <w:tcW w:w="1144" w:type="dxa"/>
            <w:tcBorders>
              <w:top w:val="single" w:sz="4" w:space="0" w:color="auto"/>
              <w:left w:val="nil"/>
              <w:bottom w:val="single" w:sz="4" w:space="0" w:color="auto"/>
              <w:right w:val="nil"/>
            </w:tcBorders>
            <w:shd w:val="clear" w:color="auto" w:fill="FABF8F" w:themeFill="accent6" w:themeFillTint="99"/>
            <w:vAlign w:val="center"/>
            <w:hideMark/>
          </w:tcPr>
          <w:p w14:paraId="2474CEF4" w14:textId="77777777" w:rsidR="00807992" w:rsidRPr="00514797" w:rsidRDefault="00807992" w:rsidP="0066649C">
            <w:pPr>
              <w:spacing w:after="0"/>
              <w:ind w:firstLine="0"/>
              <w:jc w:val="left"/>
              <w:rPr>
                <w:rFonts w:ascii="Arial" w:hAnsi="Arial" w:cs="Arial"/>
                <w:sz w:val="16"/>
                <w:szCs w:val="16"/>
                <w:lang w:eastAsia="es-ES"/>
              </w:rPr>
            </w:pPr>
            <w:r w:rsidRPr="00514797">
              <w:rPr>
                <w:rFonts w:ascii="Arial" w:hAnsi="Arial" w:cs="Arial"/>
                <w:sz w:val="16"/>
                <w:szCs w:val="16"/>
                <w:lang w:eastAsia="es-ES"/>
              </w:rPr>
              <w:t>Grupo</w:t>
            </w:r>
          </w:p>
          <w:p w14:paraId="30341C37" w14:textId="77777777" w:rsidR="00807992" w:rsidRPr="00514797" w:rsidRDefault="00807992" w:rsidP="0066649C">
            <w:pPr>
              <w:spacing w:after="0"/>
              <w:ind w:firstLine="0"/>
              <w:jc w:val="left"/>
              <w:rPr>
                <w:rFonts w:ascii="Arial" w:hAnsi="Arial" w:cs="Arial"/>
                <w:sz w:val="16"/>
                <w:szCs w:val="16"/>
                <w:lang w:val="es-ES" w:eastAsia="es-ES"/>
              </w:rPr>
            </w:pPr>
            <w:r w:rsidRPr="00514797">
              <w:rPr>
                <w:rFonts w:ascii="Arial" w:hAnsi="Arial" w:cs="Arial"/>
                <w:sz w:val="16"/>
                <w:szCs w:val="16"/>
                <w:lang w:eastAsia="es-ES"/>
              </w:rPr>
              <w:t>Municipal</w:t>
            </w:r>
          </w:p>
        </w:tc>
        <w:tc>
          <w:tcPr>
            <w:tcW w:w="1069" w:type="dxa"/>
            <w:tcBorders>
              <w:top w:val="single" w:sz="4" w:space="0" w:color="auto"/>
              <w:left w:val="nil"/>
              <w:bottom w:val="single" w:sz="4" w:space="0" w:color="auto"/>
              <w:right w:val="nil"/>
            </w:tcBorders>
            <w:shd w:val="clear" w:color="auto" w:fill="FABF8F" w:themeFill="accent6" w:themeFillTint="99"/>
            <w:vAlign w:val="center"/>
            <w:hideMark/>
          </w:tcPr>
          <w:p w14:paraId="5A2B3EF3" w14:textId="77777777" w:rsidR="00807992" w:rsidRPr="00514797" w:rsidRDefault="00807992" w:rsidP="0066649C">
            <w:pPr>
              <w:spacing w:after="0"/>
              <w:ind w:firstLine="0"/>
              <w:jc w:val="right"/>
              <w:rPr>
                <w:rFonts w:ascii="Arial" w:hAnsi="Arial" w:cs="Arial"/>
                <w:sz w:val="16"/>
                <w:szCs w:val="16"/>
                <w:lang w:eastAsia="es-ES"/>
              </w:rPr>
            </w:pPr>
            <w:r w:rsidRPr="00514797">
              <w:rPr>
                <w:rFonts w:ascii="Arial" w:hAnsi="Arial" w:cs="Arial"/>
                <w:sz w:val="16"/>
                <w:szCs w:val="16"/>
                <w:lang w:eastAsia="es-ES"/>
              </w:rPr>
              <w:t>Importe</w:t>
            </w:r>
          </w:p>
          <w:p w14:paraId="481AC95E" w14:textId="77777777" w:rsidR="00807992" w:rsidRPr="00514797" w:rsidRDefault="00807992" w:rsidP="0066649C">
            <w:pPr>
              <w:spacing w:after="0"/>
              <w:ind w:firstLine="0"/>
              <w:jc w:val="right"/>
              <w:rPr>
                <w:rFonts w:ascii="Arial" w:hAnsi="Arial" w:cs="Arial"/>
                <w:sz w:val="16"/>
                <w:szCs w:val="16"/>
                <w:lang w:val="es-ES" w:eastAsia="es-ES"/>
              </w:rPr>
            </w:pPr>
            <w:r w:rsidRPr="00514797">
              <w:rPr>
                <w:rFonts w:ascii="Arial" w:hAnsi="Arial" w:cs="Arial"/>
                <w:sz w:val="16"/>
                <w:szCs w:val="16"/>
                <w:lang w:eastAsia="es-ES"/>
              </w:rPr>
              <w:t xml:space="preserve"> subvención</w:t>
            </w:r>
          </w:p>
        </w:tc>
        <w:tc>
          <w:tcPr>
            <w:tcW w:w="2182" w:type="dxa"/>
            <w:tcBorders>
              <w:top w:val="single" w:sz="4" w:space="0" w:color="auto"/>
              <w:left w:val="nil"/>
              <w:bottom w:val="single" w:sz="4" w:space="0" w:color="auto"/>
              <w:right w:val="nil"/>
            </w:tcBorders>
            <w:shd w:val="clear" w:color="auto" w:fill="FABF8F" w:themeFill="accent6" w:themeFillTint="99"/>
            <w:vAlign w:val="center"/>
            <w:hideMark/>
          </w:tcPr>
          <w:p w14:paraId="46ABF3DD" w14:textId="77777777" w:rsidR="00807992" w:rsidRPr="00514797" w:rsidRDefault="00807992" w:rsidP="0066649C">
            <w:pPr>
              <w:spacing w:after="0"/>
              <w:ind w:firstLine="0"/>
              <w:jc w:val="right"/>
              <w:rPr>
                <w:rFonts w:ascii="Arial" w:hAnsi="Arial" w:cs="Arial"/>
                <w:sz w:val="16"/>
                <w:szCs w:val="16"/>
                <w:lang w:val="es-ES" w:eastAsia="es-ES"/>
              </w:rPr>
            </w:pPr>
            <w:r w:rsidRPr="00514797">
              <w:rPr>
                <w:rFonts w:ascii="Arial" w:hAnsi="Arial" w:cs="Arial"/>
                <w:sz w:val="16"/>
                <w:szCs w:val="16"/>
                <w:lang w:eastAsia="es-ES"/>
              </w:rPr>
              <w:t>Traspaso entidades vinculadas (LO 8/2007, art. 2.e)</w:t>
            </w:r>
          </w:p>
        </w:tc>
        <w:tc>
          <w:tcPr>
            <w:tcW w:w="567" w:type="dxa"/>
            <w:tcBorders>
              <w:top w:val="single" w:sz="4" w:space="0" w:color="auto"/>
              <w:left w:val="nil"/>
              <w:bottom w:val="single" w:sz="4" w:space="0" w:color="auto"/>
              <w:right w:val="nil"/>
            </w:tcBorders>
            <w:shd w:val="clear" w:color="auto" w:fill="FABF8F" w:themeFill="accent6" w:themeFillTint="99"/>
            <w:vAlign w:val="center"/>
            <w:hideMark/>
          </w:tcPr>
          <w:p w14:paraId="4DB74185" w14:textId="77777777" w:rsidR="00807992" w:rsidRPr="00514797" w:rsidRDefault="00807992" w:rsidP="0066649C">
            <w:pPr>
              <w:spacing w:after="0"/>
              <w:ind w:firstLine="0"/>
              <w:jc w:val="right"/>
              <w:rPr>
                <w:rFonts w:ascii="Arial" w:hAnsi="Arial" w:cs="Arial"/>
                <w:sz w:val="16"/>
                <w:szCs w:val="16"/>
                <w:lang w:val="es-ES" w:eastAsia="es-ES"/>
              </w:rPr>
            </w:pPr>
            <w:r w:rsidRPr="00514797">
              <w:rPr>
                <w:rFonts w:ascii="Arial" w:hAnsi="Arial" w:cs="Arial"/>
                <w:sz w:val="16"/>
                <w:szCs w:val="16"/>
                <w:lang w:eastAsia="es-ES"/>
              </w:rPr>
              <w:t>%</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0A597C29" w14:textId="77777777" w:rsidR="00807992" w:rsidRPr="00514797" w:rsidRDefault="00807992" w:rsidP="0066649C">
            <w:pPr>
              <w:spacing w:after="0"/>
              <w:ind w:firstLine="0"/>
              <w:jc w:val="right"/>
              <w:rPr>
                <w:rFonts w:ascii="Arial" w:hAnsi="Arial" w:cs="Arial"/>
                <w:sz w:val="16"/>
                <w:szCs w:val="16"/>
                <w:lang w:val="es-ES" w:eastAsia="es-ES"/>
              </w:rPr>
            </w:pPr>
            <w:r w:rsidRPr="00514797">
              <w:rPr>
                <w:rFonts w:ascii="Arial" w:hAnsi="Arial" w:cs="Arial"/>
                <w:sz w:val="16"/>
                <w:szCs w:val="16"/>
                <w:lang w:eastAsia="es-ES"/>
              </w:rPr>
              <w:t>Gastos de funcionamiento</w:t>
            </w:r>
          </w:p>
        </w:tc>
        <w:tc>
          <w:tcPr>
            <w:tcW w:w="567" w:type="dxa"/>
            <w:tcBorders>
              <w:top w:val="single" w:sz="4" w:space="0" w:color="auto"/>
              <w:left w:val="nil"/>
              <w:bottom w:val="single" w:sz="4" w:space="0" w:color="auto"/>
              <w:right w:val="nil"/>
            </w:tcBorders>
            <w:shd w:val="clear" w:color="auto" w:fill="FABF8F" w:themeFill="accent6" w:themeFillTint="99"/>
            <w:vAlign w:val="center"/>
            <w:hideMark/>
          </w:tcPr>
          <w:p w14:paraId="25FCF981" w14:textId="77777777" w:rsidR="00807992" w:rsidRPr="00514797" w:rsidRDefault="00807992" w:rsidP="0066649C">
            <w:pPr>
              <w:spacing w:after="0"/>
              <w:ind w:firstLine="0"/>
              <w:jc w:val="right"/>
              <w:rPr>
                <w:rFonts w:ascii="Arial" w:hAnsi="Arial" w:cs="Arial"/>
                <w:sz w:val="16"/>
                <w:szCs w:val="16"/>
                <w:lang w:val="es-ES" w:eastAsia="es-ES"/>
              </w:rPr>
            </w:pPr>
            <w:r w:rsidRPr="00514797">
              <w:rPr>
                <w:rFonts w:ascii="Arial" w:hAnsi="Arial" w:cs="Arial"/>
                <w:sz w:val="16"/>
                <w:szCs w:val="16"/>
                <w:lang w:eastAsia="es-ES"/>
              </w:rPr>
              <w:t>%</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14:paraId="74FC7DB6" w14:textId="77777777" w:rsidR="00807992" w:rsidRPr="00514797" w:rsidRDefault="00807992" w:rsidP="0066649C">
            <w:pPr>
              <w:spacing w:after="0"/>
              <w:ind w:firstLine="0"/>
              <w:jc w:val="right"/>
              <w:rPr>
                <w:rFonts w:ascii="Arial" w:hAnsi="Arial" w:cs="Arial"/>
                <w:sz w:val="16"/>
                <w:szCs w:val="16"/>
                <w:lang w:val="es-ES" w:eastAsia="es-ES"/>
              </w:rPr>
            </w:pPr>
            <w:r w:rsidRPr="00514797">
              <w:rPr>
                <w:rFonts w:ascii="Arial" w:hAnsi="Arial" w:cs="Arial"/>
                <w:sz w:val="16"/>
                <w:szCs w:val="16"/>
                <w:lang w:val="es-ES" w:eastAsia="es-ES"/>
              </w:rPr>
              <w:t>Gastos totales justificados</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156FA3A2" w14:textId="77777777" w:rsidR="00807992" w:rsidRPr="00514797" w:rsidRDefault="00807992" w:rsidP="0066649C">
            <w:pPr>
              <w:spacing w:after="0"/>
              <w:ind w:firstLine="0"/>
              <w:jc w:val="right"/>
              <w:rPr>
                <w:rFonts w:ascii="Arial" w:hAnsi="Arial" w:cs="Arial"/>
                <w:sz w:val="16"/>
                <w:szCs w:val="16"/>
                <w:lang w:val="es-ES" w:eastAsia="es-ES"/>
              </w:rPr>
            </w:pPr>
            <w:r w:rsidRPr="00514797">
              <w:rPr>
                <w:rFonts w:ascii="Arial" w:hAnsi="Arial" w:cs="Arial"/>
                <w:sz w:val="16"/>
                <w:szCs w:val="16"/>
                <w:lang w:val="es-ES" w:eastAsia="es-ES"/>
              </w:rPr>
              <w:t>Devolución</w:t>
            </w:r>
          </w:p>
        </w:tc>
      </w:tr>
      <w:tr w:rsidR="00807992" w:rsidRPr="00514797" w14:paraId="383DF2D5" w14:textId="77777777" w:rsidTr="00EE2FA3">
        <w:trPr>
          <w:trHeight w:val="198"/>
        </w:trPr>
        <w:tc>
          <w:tcPr>
            <w:tcW w:w="1144" w:type="dxa"/>
            <w:tcBorders>
              <w:top w:val="single" w:sz="4" w:space="0" w:color="auto"/>
              <w:left w:val="nil"/>
              <w:bottom w:val="single" w:sz="2" w:space="0" w:color="auto"/>
              <w:right w:val="nil"/>
            </w:tcBorders>
            <w:shd w:val="clear" w:color="auto" w:fill="auto"/>
            <w:vAlign w:val="center"/>
            <w:hideMark/>
          </w:tcPr>
          <w:p w14:paraId="543D172F" w14:textId="77777777" w:rsidR="00807992" w:rsidRPr="00514797" w:rsidRDefault="00807992" w:rsidP="00807992">
            <w:pPr>
              <w:spacing w:after="0"/>
              <w:ind w:firstLine="0"/>
              <w:jc w:val="left"/>
              <w:rPr>
                <w:rFonts w:ascii="Arial Narrow" w:hAnsi="Arial Narrow" w:cs="Arial"/>
                <w:sz w:val="18"/>
                <w:szCs w:val="18"/>
                <w:lang w:val="es-ES" w:eastAsia="es-ES"/>
              </w:rPr>
            </w:pPr>
            <w:r w:rsidRPr="00514797">
              <w:rPr>
                <w:rFonts w:ascii="Arial Narrow" w:hAnsi="Arial Narrow" w:cs="Arial"/>
                <w:sz w:val="18"/>
                <w:szCs w:val="18"/>
                <w:lang w:val="es-ES" w:eastAsia="es-ES"/>
              </w:rPr>
              <w:t>UPN</w:t>
            </w:r>
          </w:p>
        </w:tc>
        <w:tc>
          <w:tcPr>
            <w:tcW w:w="1069" w:type="dxa"/>
            <w:tcBorders>
              <w:top w:val="single" w:sz="4" w:space="0" w:color="auto"/>
              <w:left w:val="nil"/>
              <w:bottom w:val="single" w:sz="2" w:space="0" w:color="auto"/>
              <w:right w:val="nil"/>
            </w:tcBorders>
            <w:shd w:val="clear" w:color="auto" w:fill="auto"/>
            <w:noWrap/>
            <w:vAlign w:val="bottom"/>
            <w:hideMark/>
          </w:tcPr>
          <w:p w14:paraId="46AF429C" w14:textId="77777777" w:rsidR="00807992" w:rsidRPr="00514797" w:rsidRDefault="00807992" w:rsidP="00807992">
            <w:pPr>
              <w:spacing w:after="0"/>
              <w:ind w:firstLine="0"/>
              <w:jc w:val="left"/>
              <w:rPr>
                <w:rFonts w:ascii="Arial Narrow" w:hAnsi="Arial Narrow" w:cs="Calibri"/>
                <w:sz w:val="18"/>
                <w:szCs w:val="18"/>
                <w:lang w:val="es-ES" w:eastAsia="es-ES"/>
              </w:rPr>
            </w:pPr>
            <w:r w:rsidRPr="00514797">
              <w:rPr>
                <w:rFonts w:ascii="Arial Narrow" w:hAnsi="Arial Narrow" w:cs="Calibri"/>
                <w:sz w:val="18"/>
                <w:szCs w:val="18"/>
                <w:lang w:val="es-ES" w:eastAsia="es-ES"/>
              </w:rPr>
              <w:t> </w:t>
            </w:r>
          </w:p>
        </w:tc>
        <w:tc>
          <w:tcPr>
            <w:tcW w:w="2182" w:type="dxa"/>
            <w:tcBorders>
              <w:top w:val="single" w:sz="4" w:space="0" w:color="auto"/>
              <w:left w:val="nil"/>
              <w:bottom w:val="single" w:sz="2" w:space="0" w:color="auto"/>
              <w:right w:val="nil"/>
            </w:tcBorders>
            <w:shd w:val="clear" w:color="auto" w:fill="auto"/>
            <w:vAlign w:val="center"/>
            <w:hideMark/>
          </w:tcPr>
          <w:p w14:paraId="4C9B4106" w14:textId="77777777" w:rsidR="00807992" w:rsidRPr="00514797" w:rsidRDefault="00807992" w:rsidP="00807992">
            <w:pPr>
              <w:spacing w:after="0"/>
              <w:ind w:firstLine="0"/>
              <w:jc w:val="right"/>
              <w:rPr>
                <w:rFonts w:ascii="Arial Narrow" w:hAnsi="Arial Narrow" w:cs="Calibri"/>
                <w:sz w:val="18"/>
                <w:szCs w:val="18"/>
                <w:lang w:val="es-ES" w:eastAsia="es-ES"/>
              </w:rPr>
            </w:pPr>
            <w:r w:rsidRPr="00514797">
              <w:rPr>
                <w:rFonts w:ascii="Arial Narrow" w:hAnsi="Arial Narrow" w:cs="Calibri"/>
                <w:sz w:val="18"/>
                <w:szCs w:val="18"/>
                <w:lang w:val="es-ES" w:eastAsia="es-ES"/>
              </w:rPr>
              <w:t>46.000</w:t>
            </w:r>
          </w:p>
        </w:tc>
        <w:tc>
          <w:tcPr>
            <w:tcW w:w="567" w:type="dxa"/>
            <w:tcBorders>
              <w:top w:val="single" w:sz="4" w:space="0" w:color="auto"/>
              <w:left w:val="nil"/>
              <w:bottom w:val="single" w:sz="2" w:space="0" w:color="auto"/>
              <w:right w:val="nil"/>
            </w:tcBorders>
            <w:shd w:val="clear" w:color="auto" w:fill="auto"/>
            <w:noWrap/>
            <w:vAlign w:val="bottom"/>
            <w:hideMark/>
          </w:tcPr>
          <w:p w14:paraId="7B1A61A9" w14:textId="77777777" w:rsidR="00807992" w:rsidRPr="00514797" w:rsidRDefault="00807992" w:rsidP="00807992">
            <w:pPr>
              <w:spacing w:after="0"/>
              <w:ind w:firstLine="0"/>
              <w:jc w:val="center"/>
              <w:rPr>
                <w:rFonts w:ascii="Arial Narrow" w:hAnsi="Arial Narrow" w:cs="Calibri"/>
                <w:sz w:val="18"/>
                <w:szCs w:val="18"/>
                <w:lang w:val="es-ES" w:eastAsia="es-ES"/>
              </w:rPr>
            </w:pPr>
            <w:r w:rsidRPr="00514797">
              <w:rPr>
                <w:rFonts w:ascii="Arial Narrow" w:hAnsi="Arial Narrow" w:cs="Calibri"/>
                <w:sz w:val="18"/>
                <w:szCs w:val="18"/>
                <w:lang w:val="es-ES" w:eastAsia="es-ES"/>
              </w:rPr>
              <w:t>74</w:t>
            </w:r>
          </w:p>
        </w:tc>
        <w:tc>
          <w:tcPr>
            <w:tcW w:w="992" w:type="dxa"/>
            <w:tcBorders>
              <w:top w:val="single" w:sz="4" w:space="0" w:color="auto"/>
              <w:left w:val="nil"/>
              <w:bottom w:val="single" w:sz="2" w:space="0" w:color="auto"/>
              <w:right w:val="nil"/>
            </w:tcBorders>
            <w:shd w:val="clear" w:color="auto" w:fill="auto"/>
            <w:vAlign w:val="center"/>
            <w:hideMark/>
          </w:tcPr>
          <w:p w14:paraId="3E219278" w14:textId="77777777" w:rsidR="00807992" w:rsidRPr="00514797" w:rsidRDefault="00807992" w:rsidP="00807992">
            <w:pPr>
              <w:spacing w:after="0"/>
              <w:ind w:firstLine="0"/>
              <w:jc w:val="left"/>
              <w:rPr>
                <w:rFonts w:ascii="Arial Narrow" w:hAnsi="Arial Narrow" w:cs="Arial"/>
                <w:sz w:val="18"/>
                <w:szCs w:val="18"/>
                <w:lang w:val="es-ES" w:eastAsia="es-ES"/>
              </w:rPr>
            </w:pPr>
            <w:r w:rsidRPr="00514797">
              <w:rPr>
                <w:rFonts w:ascii="Arial Narrow" w:hAnsi="Arial Narrow" w:cs="Arial"/>
                <w:sz w:val="18"/>
                <w:szCs w:val="18"/>
                <w:lang w:val="es-ES" w:eastAsia="es-ES"/>
              </w:rPr>
              <w:t> </w:t>
            </w:r>
          </w:p>
        </w:tc>
        <w:tc>
          <w:tcPr>
            <w:tcW w:w="567" w:type="dxa"/>
            <w:tcBorders>
              <w:top w:val="single" w:sz="4" w:space="0" w:color="auto"/>
              <w:left w:val="nil"/>
              <w:bottom w:val="single" w:sz="2" w:space="0" w:color="auto"/>
              <w:right w:val="nil"/>
            </w:tcBorders>
            <w:shd w:val="clear" w:color="auto" w:fill="auto"/>
            <w:vAlign w:val="center"/>
            <w:hideMark/>
          </w:tcPr>
          <w:p w14:paraId="28FCEC06" w14:textId="77777777" w:rsidR="00807992" w:rsidRPr="00514797" w:rsidRDefault="00807992" w:rsidP="00807992">
            <w:pPr>
              <w:spacing w:after="0"/>
              <w:ind w:firstLine="0"/>
              <w:jc w:val="center"/>
              <w:rPr>
                <w:rFonts w:ascii="Arial Narrow" w:hAnsi="Arial Narrow" w:cs="Arial"/>
                <w:sz w:val="18"/>
                <w:szCs w:val="18"/>
                <w:lang w:val="es-ES" w:eastAsia="es-ES"/>
              </w:rPr>
            </w:pPr>
            <w:r w:rsidRPr="00514797">
              <w:rPr>
                <w:rFonts w:ascii="Arial Narrow" w:hAnsi="Arial Narrow" w:cs="Arial"/>
                <w:sz w:val="18"/>
                <w:szCs w:val="18"/>
                <w:lang w:val="es-ES" w:eastAsia="es-ES"/>
              </w:rPr>
              <w:t> </w:t>
            </w:r>
          </w:p>
        </w:tc>
        <w:tc>
          <w:tcPr>
            <w:tcW w:w="1276" w:type="dxa"/>
            <w:tcBorders>
              <w:top w:val="single" w:sz="4" w:space="0" w:color="auto"/>
              <w:left w:val="nil"/>
              <w:bottom w:val="single" w:sz="2" w:space="0" w:color="auto"/>
              <w:right w:val="nil"/>
            </w:tcBorders>
            <w:shd w:val="clear" w:color="auto" w:fill="auto"/>
            <w:vAlign w:val="center"/>
            <w:hideMark/>
          </w:tcPr>
          <w:p w14:paraId="09F76146" w14:textId="77777777" w:rsidR="00807992" w:rsidRPr="00514797" w:rsidRDefault="00807992" w:rsidP="00807992">
            <w:pPr>
              <w:spacing w:after="0"/>
              <w:ind w:firstLine="0"/>
              <w:jc w:val="center"/>
              <w:rPr>
                <w:rFonts w:ascii="Arial Narrow" w:hAnsi="Arial Narrow" w:cs="Arial"/>
                <w:sz w:val="18"/>
                <w:szCs w:val="18"/>
                <w:lang w:val="es-ES" w:eastAsia="es-ES"/>
              </w:rPr>
            </w:pPr>
            <w:r w:rsidRPr="00514797">
              <w:rPr>
                <w:rFonts w:ascii="Arial Narrow" w:hAnsi="Arial Narrow" w:cs="Arial"/>
                <w:sz w:val="18"/>
                <w:szCs w:val="18"/>
                <w:lang w:val="es-ES" w:eastAsia="es-ES"/>
              </w:rPr>
              <w:t> </w:t>
            </w:r>
          </w:p>
        </w:tc>
        <w:tc>
          <w:tcPr>
            <w:tcW w:w="992" w:type="dxa"/>
            <w:tcBorders>
              <w:top w:val="single" w:sz="4" w:space="0" w:color="auto"/>
              <w:left w:val="nil"/>
              <w:bottom w:val="single" w:sz="2" w:space="0" w:color="auto"/>
              <w:right w:val="nil"/>
            </w:tcBorders>
            <w:shd w:val="clear" w:color="auto" w:fill="auto"/>
            <w:vAlign w:val="center"/>
            <w:hideMark/>
          </w:tcPr>
          <w:p w14:paraId="725B6BA8" w14:textId="77777777" w:rsidR="00807992" w:rsidRPr="00514797" w:rsidRDefault="00807992" w:rsidP="00807992">
            <w:pPr>
              <w:spacing w:after="0"/>
              <w:ind w:firstLine="0"/>
              <w:jc w:val="center"/>
              <w:rPr>
                <w:rFonts w:ascii="Arial Narrow" w:hAnsi="Arial Narrow" w:cs="Arial"/>
                <w:sz w:val="18"/>
                <w:szCs w:val="18"/>
                <w:lang w:val="es-ES" w:eastAsia="es-ES"/>
              </w:rPr>
            </w:pPr>
            <w:r w:rsidRPr="00514797">
              <w:rPr>
                <w:rFonts w:ascii="Arial Narrow" w:hAnsi="Arial Narrow" w:cs="Arial"/>
                <w:sz w:val="18"/>
                <w:szCs w:val="18"/>
                <w:lang w:val="es-ES" w:eastAsia="es-ES"/>
              </w:rPr>
              <w:t> </w:t>
            </w:r>
          </w:p>
        </w:tc>
      </w:tr>
      <w:tr w:rsidR="00807992" w:rsidRPr="00514797" w14:paraId="2E6C16F6" w14:textId="77777777" w:rsidTr="0066649C">
        <w:trPr>
          <w:trHeight w:val="198"/>
        </w:trPr>
        <w:tc>
          <w:tcPr>
            <w:tcW w:w="1144" w:type="dxa"/>
            <w:tcBorders>
              <w:top w:val="single" w:sz="2" w:space="0" w:color="auto"/>
              <w:left w:val="nil"/>
              <w:bottom w:val="single" w:sz="2" w:space="0" w:color="auto"/>
              <w:right w:val="nil"/>
            </w:tcBorders>
            <w:shd w:val="clear" w:color="auto" w:fill="auto"/>
            <w:vAlign w:val="center"/>
            <w:hideMark/>
          </w:tcPr>
          <w:p w14:paraId="3B99B750" w14:textId="77777777" w:rsidR="00807992" w:rsidRPr="00514797" w:rsidRDefault="00807992" w:rsidP="00807992">
            <w:pPr>
              <w:spacing w:after="0"/>
              <w:ind w:firstLine="0"/>
              <w:jc w:val="left"/>
              <w:rPr>
                <w:rFonts w:ascii="Arial Narrow" w:hAnsi="Arial Narrow" w:cs="Arial"/>
                <w:sz w:val="18"/>
                <w:szCs w:val="18"/>
                <w:lang w:val="es-ES" w:eastAsia="es-ES"/>
              </w:rPr>
            </w:pPr>
            <w:r w:rsidRPr="00514797">
              <w:rPr>
                <w:rFonts w:ascii="Arial Narrow" w:hAnsi="Arial Narrow" w:cs="Arial"/>
                <w:sz w:val="18"/>
                <w:szCs w:val="18"/>
                <w:lang w:val="es-ES" w:eastAsia="es-ES"/>
              </w:rPr>
              <w:t>Ciudadanos</w:t>
            </w:r>
          </w:p>
        </w:tc>
        <w:tc>
          <w:tcPr>
            <w:tcW w:w="1069" w:type="dxa"/>
            <w:tcBorders>
              <w:top w:val="single" w:sz="2" w:space="0" w:color="auto"/>
              <w:left w:val="nil"/>
              <w:bottom w:val="single" w:sz="2" w:space="0" w:color="auto"/>
              <w:right w:val="nil"/>
            </w:tcBorders>
            <w:shd w:val="clear" w:color="auto" w:fill="auto"/>
            <w:noWrap/>
            <w:vAlign w:val="bottom"/>
            <w:hideMark/>
          </w:tcPr>
          <w:p w14:paraId="131A3B0D" w14:textId="77777777" w:rsidR="00807992" w:rsidRPr="00514797" w:rsidRDefault="00807992" w:rsidP="00807992">
            <w:pPr>
              <w:spacing w:after="0"/>
              <w:ind w:firstLine="0"/>
              <w:jc w:val="left"/>
              <w:rPr>
                <w:rFonts w:ascii="Arial Narrow" w:hAnsi="Arial Narrow" w:cs="Arial"/>
                <w:sz w:val="18"/>
                <w:szCs w:val="18"/>
                <w:lang w:val="es-ES" w:eastAsia="es-ES"/>
              </w:rPr>
            </w:pPr>
          </w:p>
        </w:tc>
        <w:tc>
          <w:tcPr>
            <w:tcW w:w="2182" w:type="dxa"/>
            <w:tcBorders>
              <w:top w:val="single" w:sz="2" w:space="0" w:color="auto"/>
              <w:left w:val="nil"/>
              <w:bottom w:val="single" w:sz="2" w:space="0" w:color="auto"/>
              <w:right w:val="nil"/>
            </w:tcBorders>
            <w:shd w:val="clear" w:color="auto" w:fill="auto"/>
            <w:vAlign w:val="center"/>
            <w:hideMark/>
          </w:tcPr>
          <w:p w14:paraId="70582408" w14:textId="77777777" w:rsidR="00807992" w:rsidRPr="00514797" w:rsidRDefault="00807992" w:rsidP="00807992">
            <w:pPr>
              <w:spacing w:after="0"/>
              <w:ind w:firstLine="0"/>
              <w:jc w:val="right"/>
              <w:rPr>
                <w:rFonts w:ascii="Arial Narrow" w:hAnsi="Arial Narrow" w:cs="Calibri"/>
                <w:sz w:val="18"/>
                <w:szCs w:val="18"/>
                <w:lang w:val="es-ES" w:eastAsia="es-ES"/>
              </w:rPr>
            </w:pPr>
            <w:r w:rsidRPr="00514797">
              <w:rPr>
                <w:rFonts w:ascii="Arial Narrow" w:hAnsi="Arial Narrow" w:cs="Calibri"/>
                <w:sz w:val="18"/>
                <w:szCs w:val="18"/>
                <w:lang w:val="es-ES" w:eastAsia="es-ES"/>
              </w:rPr>
              <w:t>4.668</w:t>
            </w:r>
          </w:p>
        </w:tc>
        <w:tc>
          <w:tcPr>
            <w:tcW w:w="567" w:type="dxa"/>
            <w:tcBorders>
              <w:top w:val="single" w:sz="2" w:space="0" w:color="auto"/>
              <w:left w:val="nil"/>
              <w:bottom w:val="single" w:sz="2" w:space="0" w:color="auto"/>
              <w:right w:val="nil"/>
            </w:tcBorders>
            <w:shd w:val="clear" w:color="auto" w:fill="auto"/>
            <w:noWrap/>
            <w:vAlign w:val="bottom"/>
            <w:hideMark/>
          </w:tcPr>
          <w:p w14:paraId="006B3D99" w14:textId="77777777" w:rsidR="00807992" w:rsidRPr="00514797" w:rsidRDefault="00807992" w:rsidP="00807992">
            <w:pPr>
              <w:spacing w:after="0"/>
              <w:ind w:firstLine="0"/>
              <w:jc w:val="center"/>
              <w:rPr>
                <w:rFonts w:ascii="Arial Narrow" w:hAnsi="Arial Narrow" w:cs="Calibri"/>
                <w:sz w:val="18"/>
                <w:szCs w:val="18"/>
                <w:lang w:val="es-ES" w:eastAsia="es-ES"/>
              </w:rPr>
            </w:pPr>
            <w:r w:rsidRPr="00514797">
              <w:rPr>
                <w:rFonts w:ascii="Arial Narrow" w:hAnsi="Arial Narrow" w:cs="Calibri"/>
                <w:sz w:val="18"/>
                <w:szCs w:val="18"/>
                <w:lang w:val="es-ES" w:eastAsia="es-ES"/>
              </w:rPr>
              <w:t>8</w:t>
            </w:r>
          </w:p>
        </w:tc>
        <w:tc>
          <w:tcPr>
            <w:tcW w:w="992" w:type="dxa"/>
            <w:tcBorders>
              <w:top w:val="single" w:sz="2" w:space="0" w:color="auto"/>
              <w:left w:val="nil"/>
              <w:bottom w:val="single" w:sz="2" w:space="0" w:color="auto"/>
              <w:right w:val="nil"/>
            </w:tcBorders>
            <w:shd w:val="clear" w:color="auto" w:fill="auto"/>
            <w:vAlign w:val="center"/>
            <w:hideMark/>
          </w:tcPr>
          <w:p w14:paraId="2D26BF45" w14:textId="77777777" w:rsidR="00807992" w:rsidRPr="00514797" w:rsidRDefault="00807992" w:rsidP="00807992">
            <w:pPr>
              <w:spacing w:after="0"/>
              <w:ind w:firstLine="0"/>
              <w:jc w:val="center"/>
              <w:rPr>
                <w:rFonts w:ascii="Arial Narrow" w:hAnsi="Arial Narrow" w:cs="Calibri"/>
                <w:sz w:val="18"/>
                <w:szCs w:val="18"/>
                <w:lang w:val="es-ES" w:eastAsia="es-ES"/>
              </w:rPr>
            </w:pPr>
          </w:p>
        </w:tc>
        <w:tc>
          <w:tcPr>
            <w:tcW w:w="567" w:type="dxa"/>
            <w:tcBorders>
              <w:top w:val="single" w:sz="2" w:space="0" w:color="auto"/>
              <w:left w:val="nil"/>
              <w:bottom w:val="single" w:sz="2" w:space="0" w:color="auto"/>
              <w:right w:val="nil"/>
            </w:tcBorders>
            <w:shd w:val="clear" w:color="auto" w:fill="auto"/>
            <w:vAlign w:val="center"/>
            <w:hideMark/>
          </w:tcPr>
          <w:p w14:paraId="428485BF" w14:textId="77777777" w:rsidR="00807992" w:rsidRPr="00514797" w:rsidRDefault="00807992" w:rsidP="00807992">
            <w:pPr>
              <w:spacing w:after="0"/>
              <w:ind w:firstLine="0"/>
              <w:jc w:val="left"/>
              <w:rPr>
                <w:rFonts w:ascii="Arial Narrow" w:hAnsi="Arial Narrow"/>
                <w:sz w:val="18"/>
                <w:szCs w:val="18"/>
                <w:lang w:val="es-ES" w:eastAsia="es-ES"/>
              </w:rPr>
            </w:pPr>
          </w:p>
        </w:tc>
        <w:tc>
          <w:tcPr>
            <w:tcW w:w="1276" w:type="dxa"/>
            <w:tcBorders>
              <w:top w:val="single" w:sz="2" w:space="0" w:color="auto"/>
              <w:left w:val="nil"/>
              <w:bottom w:val="single" w:sz="2" w:space="0" w:color="auto"/>
              <w:right w:val="nil"/>
            </w:tcBorders>
            <w:shd w:val="clear" w:color="auto" w:fill="auto"/>
            <w:vAlign w:val="center"/>
            <w:hideMark/>
          </w:tcPr>
          <w:p w14:paraId="710BC0E5" w14:textId="77777777" w:rsidR="00807992" w:rsidRPr="00514797" w:rsidRDefault="00807992" w:rsidP="00807992">
            <w:pPr>
              <w:spacing w:after="0"/>
              <w:ind w:firstLine="0"/>
              <w:jc w:val="center"/>
              <w:rPr>
                <w:rFonts w:ascii="Arial Narrow" w:hAnsi="Arial Narrow"/>
                <w:sz w:val="18"/>
                <w:szCs w:val="18"/>
                <w:lang w:val="es-ES" w:eastAsia="es-ES"/>
              </w:rPr>
            </w:pPr>
          </w:p>
        </w:tc>
        <w:tc>
          <w:tcPr>
            <w:tcW w:w="992" w:type="dxa"/>
            <w:tcBorders>
              <w:top w:val="single" w:sz="2" w:space="0" w:color="auto"/>
              <w:left w:val="nil"/>
              <w:bottom w:val="single" w:sz="2" w:space="0" w:color="auto"/>
              <w:right w:val="nil"/>
            </w:tcBorders>
            <w:shd w:val="clear" w:color="auto" w:fill="auto"/>
            <w:vAlign w:val="center"/>
            <w:hideMark/>
          </w:tcPr>
          <w:p w14:paraId="6AF404E1" w14:textId="77777777" w:rsidR="00807992" w:rsidRPr="00514797" w:rsidRDefault="00807992" w:rsidP="00807992">
            <w:pPr>
              <w:spacing w:after="0"/>
              <w:ind w:firstLine="0"/>
              <w:jc w:val="center"/>
              <w:rPr>
                <w:rFonts w:ascii="Arial Narrow" w:hAnsi="Arial Narrow"/>
                <w:sz w:val="18"/>
                <w:szCs w:val="18"/>
                <w:lang w:val="es-ES" w:eastAsia="es-ES"/>
              </w:rPr>
            </w:pPr>
          </w:p>
        </w:tc>
      </w:tr>
      <w:tr w:rsidR="00807992" w:rsidRPr="00514797" w14:paraId="74172208" w14:textId="77777777" w:rsidTr="0066649C">
        <w:trPr>
          <w:trHeight w:val="198"/>
        </w:trPr>
        <w:tc>
          <w:tcPr>
            <w:tcW w:w="1144" w:type="dxa"/>
            <w:tcBorders>
              <w:top w:val="single" w:sz="2" w:space="0" w:color="auto"/>
              <w:left w:val="nil"/>
              <w:bottom w:val="single" w:sz="2" w:space="0" w:color="auto"/>
              <w:right w:val="nil"/>
            </w:tcBorders>
            <w:shd w:val="clear" w:color="auto" w:fill="auto"/>
            <w:vAlign w:val="center"/>
            <w:hideMark/>
          </w:tcPr>
          <w:p w14:paraId="03B9B283" w14:textId="77777777" w:rsidR="00807992" w:rsidRPr="00514797" w:rsidRDefault="00807992" w:rsidP="00807992">
            <w:pPr>
              <w:spacing w:after="0"/>
              <w:ind w:firstLine="0"/>
              <w:jc w:val="left"/>
              <w:rPr>
                <w:rFonts w:ascii="Arial Narrow" w:hAnsi="Arial Narrow" w:cs="Arial"/>
                <w:sz w:val="18"/>
                <w:szCs w:val="18"/>
                <w:lang w:val="es-ES" w:eastAsia="es-ES"/>
              </w:rPr>
            </w:pPr>
            <w:r w:rsidRPr="00514797">
              <w:rPr>
                <w:rFonts w:ascii="Arial Narrow" w:hAnsi="Arial Narrow" w:cs="Arial"/>
                <w:sz w:val="18"/>
                <w:szCs w:val="18"/>
                <w:lang w:val="es-ES" w:eastAsia="es-ES"/>
              </w:rPr>
              <w:t>PP</w:t>
            </w:r>
          </w:p>
        </w:tc>
        <w:tc>
          <w:tcPr>
            <w:tcW w:w="1069" w:type="dxa"/>
            <w:tcBorders>
              <w:top w:val="single" w:sz="2" w:space="0" w:color="auto"/>
              <w:left w:val="nil"/>
              <w:bottom w:val="single" w:sz="2" w:space="0" w:color="auto"/>
              <w:right w:val="nil"/>
            </w:tcBorders>
            <w:shd w:val="clear" w:color="auto" w:fill="auto"/>
            <w:noWrap/>
            <w:vAlign w:val="bottom"/>
            <w:hideMark/>
          </w:tcPr>
          <w:p w14:paraId="06020896" w14:textId="77777777" w:rsidR="00807992" w:rsidRPr="00514797" w:rsidRDefault="00807992" w:rsidP="00807992">
            <w:pPr>
              <w:spacing w:after="0"/>
              <w:ind w:firstLine="0"/>
              <w:jc w:val="left"/>
              <w:rPr>
                <w:rFonts w:ascii="Arial Narrow" w:hAnsi="Arial Narrow" w:cs="Calibri"/>
                <w:sz w:val="18"/>
                <w:szCs w:val="18"/>
                <w:lang w:val="es-ES" w:eastAsia="es-ES"/>
              </w:rPr>
            </w:pPr>
            <w:r w:rsidRPr="00514797">
              <w:rPr>
                <w:rFonts w:ascii="Arial Narrow" w:hAnsi="Arial Narrow" w:cs="Calibri"/>
                <w:sz w:val="18"/>
                <w:szCs w:val="18"/>
                <w:lang w:val="es-ES" w:eastAsia="es-ES"/>
              </w:rPr>
              <w:t> </w:t>
            </w:r>
          </w:p>
        </w:tc>
        <w:tc>
          <w:tcPr>
            <w:tcW w:w="2182" w:type="dxa"/>
            <w:tcBorders>
              <w:top w:val="single" w:sz="2" w:space="0" w:color="auto"/>
              <w:left w:val="nil"/>
              <w:bottom w:val="single" w:sz="2" w:space="0" w:color="auto"/>
              <w:right w:val="nil"/>
            </w:tcBorders>
            <w:shd w:val="clear" w:color="auto" w:fill="auto"/>
            <w:vAlign w:val="center"/>
            <w:hideMark/>
          </w:tcPr>
          <w:p w14:paraId="1710106D" w14:textId="77777777" w:rsidR="00807992" w:rsidRPr="00514797" w:rsidRDefault="00807992" w:rsidP="00807992">
            <w:pPr>
              <w:spacing w:after="0"/>
              <w:ind w:firstLine="0"/>
              <w:jc w:val="right"/>
              <w:rPr>
                <w:rFonts w:ascii="Arial Narrow" w:hAnsi="Arial Narrow" w:cs="Calibri"/>
                <w:sz w:val="18"/>
                <w:szCs w:val="18"/>
                <w:lang w:val="es-ES" w:eastAsia="es-ES"/>
              </w:rPr>
            </w:pPr>
            <w:r w:rsidRPr="00514797">
              <w:rPr>
                <w:rFonts w:ascii="Arial Narrow" w:hAnsi="Arial Narrow" w:cs="Calibri"/>
                <w:sz w:val="18"/>
                <w:szCs w:val="18"/>
                <w:lang w:val="es-ES" w:eastAsia="es-ES"/>
              </w:rPr>
              <w:t>4.668</w:t>
            </w:r>
          </w:p>
        </w:tc>
        <w:tc>
          <w:tcPr>
            <w:tcW w:w="567" w:type="dxa"/>
            <w:tcBorders>
              <w:top w:val="single" w:sz="2" w:space="0" w:color="auto"/>
              <w:left w:val="nil"/>
              <w:bottom w:val="single" w:sz="2" w:space="0" w:color="auto"/>
              <w:right w:val="nil"/>
            </w:tcBorders>
            <w:shd w:val="clear" w:color="auto" w:fill="auto"/>
            <w:noWrap/>
            <w:vAlign w:val="bottom"/>
            <w:hideMark/>
          </w:tcPr>
          <w:p w14:paraId="5E52E656" w14:textId="77777777" w:rsidR="00807992" w:rsidRPr="00514797" w:rsidRDefault="00807992" w:rsidP="00807992">
            <w:pPr>
              <w:spacing w:after="0"/>
              <w:ind w:firstLine="0"/>
              <w:jc w:val="center"/>
              <w:rPr>
                <w:rFonts w:ascii="Arial Narrow" w:hAnsi="Arial Narrow" w:cs="Calibri"/>
                <w:sz w:val="18"/>
                <w:szCs w:val="18"/>
                <w:lang w:val="es-ES" w:eastAsia="es-ES"/>
              </w:rPr>
            </w:pPr>
            <w:r w:rsidRPr="00514797">
              <w:rPr>
                <w:rFonts w:ascii="Arial Narrow" w:hAnsi="Arial Narrow" w:cs="Calibri"/>
                <w:sz w:val="18"/>
                <w:szCs w:val="18"/>
                <w:lang w:val="es-ES" w:eastAsia="es-ES"/>
              </w:rPr>
              <w:t>8</w:t>
            </w:r>
          </w:p>
        </w:tc>
        <w:tc>
          <w:tcPr>
            <w:tcW w:w="992" w:type="dxa"/>
            <w:tcBorders>
              <w:top w:val="single" w:sz="2" w:space="0" w:color="auto"/>
              <w:left w:val="nil"/>
              <w:bottom w:val="single" w:sz="2" w:space="0" w:color="auto"/>
              <w:right w:val="nil"/>
            </w:tcBorders>
            <w:shd w:val="clear" w:color="auto" w:fill="auto"/>
            <w:vAlign w:val="center"/>
            <w:hideMark/>
          </w:tcPr>
          <w:p w14:paraId="2D5B48AF" w14:textId="77777777" w:rsidR="00807992" w:rsidRPr="00514797" w:rsidRDefault="00807992" w:rsidP="00807992">
            <w:pPr>
              <w:spacing w:after="0"/>
              <w:ind w:firstLine="0"/>
              <w:jc w:val="right"/>
              <w:rPr>
                <w:rFonts w:ascii="Arial Narrow" w:hAnsi="Arial Narrow" w:cs="Arial"/>
                <w:sz w:val="18"/>
                <w:szCs w:val="18"/>
                <w:lang w:val="es-ES" w:eastAsia="es-ES"/>
              </w:rPr>
            </w:pPr>
            <w:r w:rsidRPr="00514797">
              <w:rPr>
                <w:rFonts w:ascii="Arial Narrow" w:hAnsi="Arial Narrow" w:cs="Arial"/>
                <w:sz w:val="18"/>
                <w:szCs w:val="18"/>
                <w:lang w:val="es-ES" w:eastAsia="es-ES"/>
              </w:rPr>
              <w:t> </w:t>
            </w:r>
          </w:p>
        </w:tc>
        <w:tc>
          <w:tcPr>
            <w:tcW w:w="567" w:type="dxa"/>
            <w:tcBorders>
              <w:top w:val="single" w:sz="2" w:space="0" w:color="auto"/>
              <w:left w:val="nil"/>
              <w:bottom w:val="single" w:sz="2" w:space="0" w:color="auto"/>
              <w:right w:val="nil"/>
            </w:tcBorders>
            <w:shd w:val="clear" w:color="auto" w:fill="auto"/>
            <w:vAlign w:val="center"/>
            <w:hideMark/>
          </w:tcPr>
          <w:p w14:paraId="22003A71" w14:textId="77777777" w:rsidR="00807992" w:rsidRPr="00514797" w:rsidRDefault="00807992" w:rsidP="00807992">
            <w:pPr>
              <w:spacing w:after="0"/>
              <w:ind w:firstLine="0"/>
              <w:jc w:val="center"/>
              <w:rPr>
                <w:rFonts w:ascii="Arial Narrow" w:hAnsi="Arial Narrow" w:cs="Arial"/>
                <w:sz w:val="18"/>
                <w:szCs w:val="18"/>
                <w:lang w:val="es-ES" w:eastAsia="es-ES"/>
              </w:rPr>
            </w:pPr>
            <w:r w:rsidRPr="00514797">
              <w:rPr>
                <w:rFonts w:ascii="Arial Narrow" w:hAnsi="Arial Narrow" w:cs="Arial"/>
                <w:sz w:val="18"/>
                <w:szCs w:val="18"/>
                <w:lang w:val="es-ES" w:eastAsia="es-ES"/>
              </w:rPr>
              <w:t> </w:t>
            </w:r>
          </w:p>
        </w:tc>
        <w:tc>
          <w:tcPr>
            <w:tcW w:w="1276" w:type="dxa"/>
            <w:tcBorders>
              <w:top w:val="single" w:sz="2" w:space="0" w:color="auto"/>
              <w:left w:val="nil"/>
              <w:bottom w:val="single" w:sz="2" w:space="0" w:color="auto"/>
              <w:right w:val="nil"/>
            </w:tcBorders>
            <w:shd w:val="clear" w:color="auto" w:fill="auto"/>
            <w:vAlign w:val="center"/>
            <w:hideMark/>
          </w:tcPr>
          <w:p w14:paraId="7DCEC4DC" w14:textId="77777777" w:rsidR="00807992" w:rsidRPr="00514797" w:rsidRDefault="00807992" w:rsidP="00807992">
            <w:pPr>
              <w:spacing w:after="0"/>
              <w:ind w:firstLine="0"/>
              <w:jc w:val="right"/>
              <w:rPr>
                <w:rFonts w:ascii="Arial Narrow" w:hAnsi="Arial Narrow" w:cs="Arial"/>
                <w:sz w:val="18"/>
                <w:szCs w:val="18"/>
                <w:lang w:val="es-ES" w:eastAsia="es-ES"/>
              </w:rPr>
            </w:pPr>
            <w:r w:rsidRPr="00514797">
              <w:rPr>
                <w:rFonts w:ascii="Arial Narrow" w:hAnsi="Arial Narrow" w:cs="Arial"/>
                <w:sz w:val="18"/>
                <w:szCs w:val="18"/>
                <w:lang w:val="es-ES" w:eastAsia="es-ES"/>
              </w:rPr>
              <w:t> </w:t>
            </w:r>
          </w:p>
        </w:tc>
        <w:tc>
          <w:tcPr>
            <w:tcW w:w="992" w:type="dxa"/>
            <w:tcBorders>
              <w:top w:val="single" w:sz="2" w:space="0" w:color="auto"/>
              <w:left w:val="nil"/>
              <w:bottom w:val="single" w:sz="2" w:space="0" w:color="auto"/>
              <w:right w:val="nil"/>
            </w:tcBorders>
            <w:shd w:val="clear" w:color="auto" w:fill="auto"/>
            <w:vAlign w:val="center"/>
            <w:hideMark/>
          </w:tcPr>
          <w:p w14:paraId="00631487" w14:textId="77777777" w:rsidR="00807992" w:rsidRPr="00514797" w:rsidRDefault="00807992" w:rsidP="00807992">
            <w:pPr>
              <w:spacing w:after="0"/>
              <w:ind w:firstLine="0"/>
              <w:jc w:val="right"/>
              <w:rPr>
                <w:rFonts w:ascii="Arial Narrow" w:hAnsi="Arial Narrow" w:cs="Arial"/>
                <w:sz w:val="18"/>
                <w:szCs w:val="18"/>
                <w:lang w:val="es-ES" w:eastAsia="es-ES"/>
              </w:rPr>
            </w:pPr>
            <w:r w:rsidRPr="00514797">
              <w:rPr>
                <w:rFonts w:ascii="Arial Narrow" w:hAnsi="Arial Narrow" w:cs="Arial"/>
                <w:sz w:val="18"/>
                <w:szCs w:val="18"/>
                <w:lang w:val="es-ES" w:eastAsia="es-ES"/>
              </w:rPr>
              <w:t> </w:t>
            </w:r>
          </w:p>
        </w:tc>
      </w:tr>
      <w:tr w:rsidR="00807992" w:rsidRPr="00514797" w14:paraId="4AC5F043" w14:textId="77777777" w:rsidTr="0066649C">
        <w:trPr>
          <w:trHeight w:val="198"/>
        </w:trPr>
        <w:tc>
          <w:tcPr>
            <w:tcW w:w="1144" w:type="dxa"/>
            <w:tcBorders>
              <w:top w:val="single" w:sz="2" w:space="0" w:color="auto"/>
              <w:left w:val="nil"/>
              <w:bottom w:val="single" w:sz="2" w:space="0" w:color="auto"/>
              <w:right w:val="nil"/>
            </w:tcBorders>
            <w:shd w:val="clear" w:color="auto" w:fill="auto"/>
            <w:vAlign w:val="center"/>
            <w:hideMark/>
          </w:tcPr>
          <w:p w14:paraId="36818671" w14:textId="77777777" w:rsidR="00807992" w:rsidRPr="00514797" w:rsidRDefault="00807992" w:rsidP="00807992">
            <w:pPr>
              <w:spacing w:after="0"/>
              <w:ind w:firstLine="0"/>
              <w:jc w:val="left"/>
              <w:rPr>
                <w:rFonts w:ascii="Arial Narrow" w:hAnsi="Arial Narrow" w:cs="Arial"/>
                <w:b/>
                <w:sz w:val="18"/>
                <w:szCs w:val="18"/>
                <w:lang w:val="es-ES" w:eastAsia="es-ES"/>
              </w:rPr>
            </w:pPr>
            <w:proofErr w:type="gramStart"/>
            <w:r w:rsidRPr="00514797">
              <w:rPr>
                <w:rFonts w:ascii="Arial Narrow" w:hAnsi="Arial Narrow" w:cs="Arial"/>
                <w:b/>
                <w:sz w:val="18"/>
                <w:szCs w:val="18"/>
                <w:lang w:val="es-ES" w:eastAsia="es-ES"/>
              </w:rPr>
              <w:t>Total</w:t>
            </w:r>
            <w:proofErr w:type="gramEnd"/>
            <w:r w:rsidRPr="00514797">
              <w:rPr>
                <w:rFonts w:ascii="Arial Narrow" w:hAnsi="Arial Narrow" w:cs="Arial"/>
                <w:b/>
                <w:sz w:val="18"/>
                <w:szCs w:val="18"/>
                <w:lang w:val="es-ES" w:eastAsia="es-ES"/>
              </w:rPr>
              <w:t xml:space="preserve"> NA + </w:t>
            </w:r>
          </w:p>
        </w:tc>
        <w:tc>
          <w:tcPr>
            <w:tcW w:w="1069" w:type="dxa"/>
            <w:tcBorders>
              <w:top w:val="single" w:sz="2" w:space="0" w:color="auto"/>
              <w:left w:val="nil"/>
              <w:bottom w:val="single" w:sz="2" w:space="0" w:color="auto"/>
              <w:right w:val="nil"/>
            </w:tcBorders>
            <w:shd w:val="clear" w:color="auto" w:fill="auto"/>
            <w:vAlign w:val="center"/>
            <w:hideMark/>
          </w:tcPr>
          <w:p w14:paraId="220F76BE" w14:textId="77777777" w:rsidR="00807992" w:rsidRPr="001119EC" w:rsidRDefault="00807992" w:rsidP="00807992">
            <w:pPr>
              <w:spacing w:after="0"/>
              <w:ind w:firstLine="0"/>
              <w:jc w:val="right"/>
              <w:rPr>
                <w:rFonts w:ascii="Arial Narrow" w:hAnsi="Arial Narrow" w:cs="Calibri"/>
                <w:b/>
                <w:sz w:val="18"/>
                <w:szCs w:val="18"/>
                <w:lang w:val="es-ES" w:eastAsia="es-ES"/>
              </w:rPr>
            </w:pPr>
            <w:r w:rsidRPr="001119EC">
              <w:rPr>
                <w:rFonts w:ascii="Arial Narrow" w:hAnsi="Arial Narrow" w:cs="Calibri"/>
                <w:b/>
                <w:sz w:val="18"/>
                <w:szCs w:val="18"/>
                <w:lang w:val="es-ES" w:eastAsia="es-ES"/>
              </w:rPr>
              <w:t>62.030</w:t>
            </w:r>
          </w:p>
        </w:tc>
        <w:tc>
          <w:tcPr>
            <w:tcW w:w="2182" w:type="dxa"/>
            <w:tcBorders>
              <w:top w:val="single" w:sz="2" w:space="0" w:color="auto"/>
              <w:left w:val="nil"/>
              <w:bottom w:val="single" w:sz="2" w:space="0" w:color="auto"/>
              <w:right w:val="nil"/>
            </w:tcBorders>
            <w:shd w:val="clear" w:color="auto" w:fill="auto"/>
            <w:vAlign w:val="center"/>
            <w:hideMark/>
          </w:tcPr>
          <w:p w14:paraId="464B1AC2"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55.336</w:t>
            </w:r>
          </w:p>
        </w:tc>
        <w:tc>
          <w:tcPr>
            <w:tcW w:w="567" w:type="dxa"/>
            <w:tcBorders>
              <w:top w:val="single" w:sz="2" w:space="0" w:color="auto"/>
              <w:left w:val="nil"/>
              <w:bottom w:val="single" w:sz="2" w:space="0" w:color="auto"/>
              <w:right w:val="nil"/>
            </w:tcBorders>
            <w:shd w:val="clear" w:color="auto" w:fill="auto"/>
            <w:noWrap/>
            <w:vAlign w:val="bottom"/>
            <w:hideMark/>
          </w:tcPr>
          <w:p w14:paraId="4A4E661C" w14:textId="77777777" w:rsidR="00807992" w:rsidRPr="001119EC" w:rsidRDefault="00807992" w:rsidP="00807992">
            <w:pPr>
              <w:spacing w:after="0"/>
              <w:ind w:firstLine="0"/>
              <w:jc w:val="center"/>
              <w:rPr>
                <w:rFonts w:ascii="Arial Narrow" w:hAnsi="Arial Narrow" w:cs="Calibri"/>
                <w:b/>
                <w:sz w:val="18"/>
                <w:szCs w:val="18"/>
                <w:lang w:val="es-ES" w:eastAsia="es-ES"/>
              </w:rPr>
            </w:pPr>
            <w:r w:rsidRPr="001119EC">
              <w:rPr>
                <w:rFonts w:ascii="Arial Narrow" w:hAnsi="Arial Narrow" w:cs="Calibri"/>
                <w:b/>
                <w:sz w:val="18"/>
                <w:szCs w:val="18"/>
                <w:lang w:val="es-ES" w:eastAsia="es-ES"/>
              </w:rPr>
              <w:t>89</w:t>
            </w:r>
          </w:p>
        </w:tc>
        <w:tc>
          <w:tcPr>
            <w:tcW w:w="992" w:type="dxa"/>
            <w:tcBorders>
              <w:top w:val="single" w:sz="2" w:space="0" w:color="auto"/>
              <w:left w:val="nil"/>
              <w:bottom w:val="single" w:sz="2" w:space="0" w:color="auto"/>
              <w:right w:val="nil"/>
            </w:tcBorders>
            <w:shd w:val="clear" w:color="auto" w:fill="auto"/>
            <w:vAlign w:val="center"/>
            <w:hideMark/>
          </w:tcPr>
          <w:p w14:paraId="3CB00DA6"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6.852</w:t>
            </w:r>
          </w:p>
        </w:tc>
        <w:tc>
          <w:tcPr>
            <w:tcW w:w="567" w:type="dxa"/>
            <w:tcBorders>
              <w:top w:val="single" w:sz="2" w:space="0" w:color="auto"/>
              <w:left w:val="nil"/>
              <w:bottom w:val="single" w:sz="2" w:space="0" w:color="auto"/>
              <w:right w:val="nil"/>
            </w:tcBorders>
            <w:shd w:val="clear" w:color="auto" w:fill="auto"/>
            <w:vAlign w:val="center"/>
            <w:hideMark/>
          </w:tcPr>
          <w:p w14:paraId="49086C1A" w14:textId="77777777" w:rsidR="00807992" w:rsidRPr="001119EC" w:rsidRDefault="00807992" w:rsidP="00807992">
            <w:pPr>
              <w:spacing w:after="0"/>
              <w:ind w:firstLine="0"/>
              <w:jc w:val="center"/>
              <w:rPr>
                <w:rFonts w:ascii="Arial Narrow" w:hAnsi="Arial Narrow" w:cs="Arial"/>
                <w:b/>
                <w:sz w:val="18"/>
                <w:szCs w:val="18"/>
                <w:lang w:val="es-ES" w:eastAsia="es-ES"/>
              </w:rPr>
            </w:pPr>
            <w:r w:rsidRPr="001119EC">
              <w:rPr>
                <w:rFonts w:ascii="Arial Narrow" w:hAnsi="Arial Narrow" w:cs="Arial"/>
                <w:b/>
                <w:sz w:val="18"/>
                <w:szCs w:val="18"/>
                <w:lang w:val="es-ES" w:eastAsia="es-ES"/>
              </w:rPr>
              <w:t>11</w:t>
            </w:r>
          </w:p>
        </w:tc>
        <w:tc>
          <w:tcPr>
            <w:tcW w:w="1276" w:type="dxa"/>
            <w:tcBorders>
              <w:top w:val="single" w:sz="2" w:space="0" w:color="auto"/>
              <w:left w:val="nil"/>
              <w:bottom w:val="single" w:sz="2" w:space="0" w:color="auto"/>
              <w:right w:val="nil"/>
            </w:tcBorders>
            <w:shd w:val="clear" w:color="auto" w:fill="auto"/>
            <w:vAlign w:val="center"/>
            <w:hideMark/>
          </w:tcPr>
          <w:p w14:paraId="6327F045"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62.188</w:t>
            </w:r>
          </w:p>
        </w:tc>
        <w:tc>
          <w:tcPr>
            <w:tcW w:w="992" w:type="dxa"/>
            <w:tcBorders>
              <w:top w:val="single" w:sz="2" w:space="0" w:color="auto"/>
              <w:left w:val="nil"/>
              <w:bottom w:val="single" w:sz="2" w:space="0" w:color="auto"/>
              <w:right w:val="nil"/>
            </w:tcBorders>
            <w:shd w:val="clear" w:color="auto" w:fill="auto"/>
            <w:vAlign w:val="center"/>
            <w:hideMark/>
          </w:tcPr>
          <w:p w14:paraId="0E396435"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0</w:t>
            </w:r>
          </w:p>
        </w:tc>
      </w:tr>
      <w:tr w:rsidR="00807992" w:rsidRPr="00514797" w14:paraId="47BB8E43" w14:textId="77777777" w:rsidTr="0066649C">
        <w:trPr>
          <w:trHeight w:val="198"/>
        </w:trPr>
        <w:tc>
          <w:tcPr>
            <w:tcW w:w="1144" w:type="dxa"/>
            <w:tcBorders>
              <w:top w:val="single" w:sz="2" w:space="0" w:color="auto"/>
              <w:left w:val="nil"/>
              <w:bottom w:val="single" w:sz="2" w:space="0" w:color="auto"/>
              <w:right w:val="nil"/>
            </w:tcBorders>
            <w:shd w:val="clear" w:color="auto" w:fill="auto"/>
            <w:vAlign w:val="center"/>
            <w:hideMark/>
          </w:tcPr>
          <w:p w14:paraId="269F1E39" w14:textId="77777777" w:rsidR="00807992" w:rsidRPr="00514797" w:rsidRDefault="00807992" w:rsidP="00807992">
            <w:pPr>
              <w:spacing w:after="0"/>
              <w:ind w:firstLine="0"/>
              <w:jc w:val="left"/>
              <w:rPr>
                <w:rFonts w:ascii="Arial Narrow" w:hAnsi="Arial Narrow" w:cs="Arial"/>
                <w:b/>
                <w:sz w:val="18"/>
                <w:szCs w:val="18"/>
                <w:lang w:val="es-ES" w:eastAsia="es-ES"/>
              </w:rPr>
            </w:pPr>
            <w:proofErr w:type="gramStart"/>
            <w:r w:rsidRPr="00514797">
              <w:rPr>
                <w:rFonts w:ascii="Arial Narrow" w:hAnsi="Arial Narrow" w:cs="Arial"/>
                <w:b/>
                <w:sz w:val="18"/>
                <w:szCs w:val="18"/>
                <w:lang w:val="es-ES" w:eastAsia="es-ES"/>
              </w:rPr>
              <w:t>EH</w:t>
            </w:r>
            <w:proofErr w:type="gramEnd"/>
            <w:r w:rsidRPr="00514797">
              <w:rPr>
                <w:rFonts w:ascii="Arial Narrow" w:hAnsi="Arial Narrow" w:cs="Arial"/>
                <w:b/>
                <w:sz w:val="18"/>
                <w:szCs w:val="18"/>
                <w:lang w:val="es-ES" w:eastAsia="es-ES"/>
              </w:rPr>
              <w:t xml:space="preserve"> Bildu</w:t>
            </w:r>
          </w:p>
        </w:tc>
        <w:tc>
          <w:tcPr>
            <w:tcW w:w="1069" w:type="dxa"/>
            <w:tcBorders>
              <w:top w:val="single" w:sz="2" w:space="0" w:color="auto"/>
              <w:left w:val="nil"/>
              <w:bottom w:val="single" w:sz="2" w:space="0" w:color="auto"/>
              <w:right w:val="nil"/>
            </w:tcBorders>
            <w:shd w:val="clear" w:color="auto" w:fill="auto"/>
            <w:vAlign w:val="center"/>
            <w:hideMark/>
          </w:tcPr>
          <w:p w14:paraId="4157290E" w14:textId="77777777" w:rsidR="00807992" w:rsidRPr="001119EC" w:rsidRDefault="00807992" w:rsidP="00807992">
            <w:pPr>
              <w:spacing w:after="0"/>
              <w:ind w:firstLine="0"/>
              <w:jc w:val="right"/>
              <w:rPr>
                <w:rFonts w:ascii="Arial Narrow" w:hAnsi="Arial Narrow" w:cs="Calibri"/>
                <w:b/>
                <w:sz w:val="18"/>
                <w:szCs w:val="18"/>
                <w:lang w:val="es-ES" w:eastAsia="es-ES"/>
              </w:rPr>
            </w:pPr>
            <w:r w:rsidRPr="001119EC">
              <w:rPr>
                <w:rFonts w:ascii="Arial Narrow" w:hAnsi="Arial Narrow" w:cs="Calibri"/>
                <w:b/>
                <w:sz w:val="18"/>
                <w:szCs w:val="18"/>
                <w:lang w:val="es-ES" w:eastAsia="es-ES"/>
              </w:rPr>
              <w:t>35.061</w:t>
            </w:r>
          </w:p>
        </w:tc>
        <w:tc>
          <w:tcPr>
            <w:tcW w:w="2182" w:type="dxa"/>
            <w:tcBorders>
              <w:top w:val="single" w:sz="2" w:space="0" w:color="auto"/>
              <w:left w:val="nil"/>
              <w:bottom w:val="single" w:sz="2" w:space="0" w:color="auto"/>
              <w:right w:val="nil"/>
            </w:tcBorders>
            <w:shd w:val="clear" w:color="auto" w:fill="auto"/>
            <w:vAlign w:val="center"/>
            <w:hideMark/>
          </w:tcPr>
          <w:p w14:paraId="47CEC857"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35.696*</w:t>
            </w:r>
          </w:p>
        </w:tc>
        <w:tc>
          <w:tcPr>
            <w:tcW w:w="567" w:type="dxa"/>
            <w:tcBorders>
              <w:top w:val="single" w:sz="2" w:space="0" w:color="auto"/>
              <w:left w:val="nil"/>
              <w:bottom w:val="single" w:sz="2" w:space="0" w:color="auto"/>
              <w:right w:val="nil"/>
            </w:tcBorders>
            <w:shd w:val="clear" w:color="auto" w:fill="auto"/>
            <w:noWrap/>
            <w:vAlign w:val="bottom"/>
            <w:hideMark/>
          </w:tcPr>
          <w:p w14:paraId="62E88BAB" w14:textId="77777777" w:rsidR="00807992" w:rsidRPr="001119EC" w:rsidRDefault="00807992" w:rsidP="00807992">
            <w:pPr>
              <w:spacing w:after="0"/>
              <w:ind w:firstLine="0"/>
              <w:jc w:val="center"/>
              <w:rPr>
                <w:rFonts w:ascii="Arial Narrow" w:hAnsi="Arial Narrow" w:cs="Calibri"/>
                <w:b/>
                <w:sz w:val="18"/>
                <w:szCs w:val="18"/>
                <w:lang w:val="es-ES" w:eastAsia="es-ES"/>
              </w:rPr>
            </w:pPr>
            <w:r w:rsidRPr="001119EC">
              <w:rPr>
                <w:rFonts w:ascii="Arial Narrow" w:hAnsi="Arial Narrow" w:cs="Calibri"/>
                <w:b/>
                <w:sz w:val="18"/>
                <w:szCs w:val="18"/>
                <w:lang w:val="es-ES" w:eastAsia="es-ES"/>
              </w:rPr>
              <w:t>102</w:t>
            </w:r>
          </w:p>
        </w:tc>
        <w:tc>
          <w:tcPr>
            <w:tcW w:w="992" w:type="dxa"/>
            <w:tcBorders>
              <w:top w:val="single" w:sz="2" w:space="0" w:color="auto"/>
              <w:left w:val="nil"/>
              <w:bottom w:val="single" w:sz="2" w:space="0" w:color="auto"/>
              <w:right w:val="nil"/>
            </w:tcBorders>
            <w:shd w:val="clear" w:color="auto" w:fill="auto"/>
            <w:vAlign w:val="center"/>
            <w:hideMark/>
          </w:tcPr>
          <w:p w14:paraId="0E4305B4"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48</w:t>
            </w:r>
          </w:p>
        </w:tc>
        <w:tc>
          <w:tcPr>
            <w:tcW w:w="567" w:type="dxa"/>
            <w:tcBorders>
              <w:top w:val="single" w:sz="2" w:space="0" w:color="auto"/>
              <w:left w:val="nil"/>
              <w:bottom w:val="single" w:sz="2" w:space="0" w:color="auto"/>
              <w:right w:val="nil"/>
            </w:tcBorders>
            <w:shd w:val="clear" w:color="auto" w:fill="auto"/>
            <w:vAlign w:val="center"/>
            <w:hideMark/>
          </w:tcPr>
          <w:p w14:paraId="3C3E710E" w14:textId="77777777" w:rsidR="00807992" w:rsidRPr="001119EC" w:rsidRDefault="00807992" w:rsidP="00807992">
            <w:pPr>
              <w:spacing w:after="0"/>
              <w:ind w:firstLine="0"/>
              <w:jc w:val="center"/>
              <w:rPr>
                <w:rFonts w:ascii="Arial Narrow" w:hAnsi="Arial Narrow" w:cs="Arial"/>
                <w:b/>
                <w:sz w:val="18"/>
                <w:szCs w:val="18"/>
                <w:lang w:val="es-ES" w:eastAsia="es-ES"/>
              </w:rPr>
            </w:pPr>
            <w:r w:rsidRPr="001119EC">
              <w:rPr>
                <w:rFonts w:ascii="Arial Narrow" w:hAnsi="Arial Narrow" w:cs="Arial"/>
                <w:b/>
                <w:sz w:val="18"/>
                <w:szCs w:val="18"/>
                <w:lang w:val="es-ES" w:eastAsia="es-ES"/>
              </w:rPr>
              <w:t>0</w:t>
            </w:r>
          </w:p>
        </w:tc>
        <w:tc>
          <w:tcPr>
            <w:tcW w:w="1276" w:type="dxa"/>
            <w:tcBorders>
              <w:top w:val="single" w:sz="2" w:space="0" w:color="auto"/>
              <w:left w:val="nil"/>
              <w:bottom w:val="single" w:sz="2" w:space="0" w:color="auto"/>
              <w:right w:val="nil"/>
            </w:tcBorders>
            <w:shd w:val="clear" w:color="auto" w:fill="auto"/>
            <w:vAlign w:val="center"/>
            <w:hideMark/>
          </w:tcPr>
          <w:p w14:paraId="4283F56F"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35.744</w:t>
            </w:r>
          </w:p>
        </w:tc>
        <w:tc>
          <w:tcPr>
            <w:tcW w:w="992" w:type="dxa"/>
            <w:tcBorders>
              <w:top w:val="single" w:sz="2" w:space="0" w:color="auto"/>
              <w:left w:val="nil"/>
              <w:bottom w:val="single" w:sz="2" w:space="0" w:color="auto"/>
              <w:right w:val="nil"/>
            </w:tcBorders>
            <w:shd w:val="clear" w:color="auto" w:fill="auto"/>
            <w:vAlign w:val="center"/>
            <w:hideMark/>
          </w:tcPr>
          <w:p w14:paraId="5B6B8AE0"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0</w:t>
            </w:r>
          </w:p>
        </w:tc>
      </w:tr>
      <w:tr w:rsidR="00807992" w:rsidRPr="00514797" w14:paraId="1B1512E7" w14:textId="77777777" w:rsidTr="0066649C">
        <w:trPr>
          <w:trHeight w:val="198"/>
        </w:trPr>
        <w:tc>
          <w:tcPr>
            <w:tcW w:w="1144" w:type="dxa"/>
            <w:tcBorders>
              <w:top w:val="single" w:sz="2" w:space="0" w:color="auto"/>
              <w:left w:val="nil"/>
              <w:bottom w:val="single" w:sz="2" w:space="0" w:color="auto"/>
              <w:right w:val="nil"/>
            </w:tcBorders>
            <w:shd w:val="clear" w:color="auto" w:fill="auto"/>
            <w:vAlign w:val="center"/>
            <w:hideMark/>
          </w:tcPr>
          <w:p w14:paraId="014D86D9" w14:textId="77777777" w:rsidR="00807992" w:rsidRPr="00514797" w:rsidRDefault="00807992" w:rsidP="00807992">
            <w:pPr>
              <w:spacing w:after="0"/>
              <w:ind w:firstLine="0"/>
              <w:jc w:val="left"/>
              <w:rPr>
                <w:rFonts w:ascii="Arial Narrow" w:hAnsi="Arial Narrow" w:cs="Arial"/>
                <w:b/>
                <w:sz w:val="18"/>
                <w:szCs w:val="18"/>
                <w:lang w:val="es-ES" w:eastAsia="es-ES"/>
              </w:rPr>
            </w:pPr>
            <w:r w:rsidRPr="00514797">
              <w:rPr>
                <w:rFonts w:ascii="Arial Narrow" w:hAnsi="Arial Narrow" w:cs="Arial"/>
                <w:b/>
                <w:sz w:val="18"/>
                <w:szCs w:val="18"/>
                <w:lang w:val="es-ES" w:eastAsia="es-ES"/>
              </w:rPr>
              <w:t>Socialista</w:t>
            </w:r>
          </w:p>
        </w:tc>
        <w:tc>
          <w:tcPr>
            <w:tcW w:w="1069" w:type="dxa"/>
            <w:tcBorders>
              <w:top w:val="single" w:sz="2" w:space="0" w:color="auto"/>
              <w:left w:val="nil"/>
              <w:bottom w:val="single" w:sz="2" w:space="0" w:color="auto"/>
              <w:right w:val="nil"/>
            </w:tcBorders>
            <w:shd w:val="clear" w:color="auto" w:fill="auto"/>
            <w:vAlign w:val="center"/>
            <w:hideMark/>
          </w:tcPr>
          <w:p w14:paraId="163AD288" w14:textId="77777777" w:rsidR="00807992" w:rsidRPr="001119EC" w:rsidRDefault="00807992" w:rsidP="00807992">
            <w:pPr>
              <w:spacing w:after="0"/>
              <w:ind w:firstLine="0"/>
              <w:jc w:val="right"/>
              <w:rPr>
                <w:rFonts w:ascii="Arial Narrow" w:hAnsi="Arial Narrow" w:cs="Calibri"/>
                <w:b/>
                <w:sz w:val="18"/>
                <w:szCs w:val="18"/>
                <w:lang w:val="es-ES" w:eastAsia="es-ES"/>
              </w:rPr>
            </w:pPr>
            <w:r w:rsidRPr="001119EC">
              <w:rPr>
                <w:rFonts w:ascii="Arial Narrow" w:hAnsi="Arial Narrow" w:cs="Calibri"/>
                <w:b/>
                <w:sz w:val="18"/>
                <w:szCs w:val="18"/>
                <w:lang w:val="es-ES" w:eastAsia="es-ES"/>
              </w:rPr>
              <w:t>26.071</w:t>
            </w:r>
          </w:p>
        </w:tc>
        <w:tc>
          <w:tcPr>
            <w:tcW w:w="2182" w:type="dxa"/>
            <w:tcBorders>
              <w:top w:val="single" w:sz="2" w:space="0" w:color="auto"/>
              <w:left w:val="nil"/>
              <w:bottom w:val="single" w:sz="2" w:space="0" w:color="auto"/>
              <w:right w:val="nil"/>
            </w:tcBorders>
            <w:shd w:val="clear" w:color="auto" w:fill="auto"/>
            <w:vAlign w:val="center"/>
            <w:hideMark/>
          </w:tcPr>
          <w:p w14:paraId="69AB5883"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14.000</w:t>
            </w:r>
          </w:p>
        </w:tc>
        <w:tc>
          <w:tcPr>
            <w:tcW w:w="567" w:type="dxa"/>
            <w:tcBorders>
              <w:top w:val="single" w:sz="2" w:space="0" w:color="auto"/>
              <w:left w:val="nil"/>
              <w:bottom w:val="single" w:sz="2" w:space="0" w:color="auto"/>
              <w:right w:val="nil"/>
            </w:tcBorders>
            <w:shd w:val="clear" w:color="auto" w:fill="auto"/>
            <w:noWrap/>
            <w:vAlign w:val="bottom"/>
            <w:hideMark/>
          </w:tcPr>
          <w:p w14:paraId="6D6F8C44" w14:textId="77777777" w:rsidR="00807992" w:rsidRPr="001119EC" w:rsidRDefault="00807992" w:rsidP="00807992">
            <w:pPr>
              <w:spacing w:after="0"/>
              <w:ind w:firstLine="0"/>
              <w:jc w:val="center"/>
              <w:rPr>
                <w:rFonts w:ascii="Arial Narrow" w:hAnsi="Arial Narrow" w:cs="Calibri"/>
                <w:b/>
                <w:sz w:val="18"/>
                <w:szCs w:val="18"/>
                <w:lang w:val="es-ES" w:eastAsia="es-ES"/>
              </w:rPr>
            </w:pPr>
            <w:r w:rsidRPr="001119EC">
              <w:rPr>
                <w:rFonts w:ascii="Arial Narrow" w:hAnsi="Arial Narrow" w:cs="Calibri"/>
                <w:b/>
                <w:sz w:val="18"/>
                <w:szCs w:val="18"/>
                <w:lang w:val="es-ES" w:eastAsia="es-ES"/>
              </w:rPr>
              <w:t>54</w:t>
            </w:r>
          </w:p>
        </w:tc>
        <w:tc>
          <w:tcPr>
            <w:tcW w:w="992" w:type="dxa"/>
            <w:tcBorders>
              <w:top w:val="single" w:sz="2" w:space="0" w:color="auto"/>
              <w:left w:val="nil"/>
              <w:bottom w:val="single" w:sz="2" w:space="0" w:color="auto"/>
              <w:right w:val="nil"/>
            </w:tcBorders>
            <w:shd w:val="clear" w:color="auto" w:fill="auto"/>
            <w:vAlign w:val="center"/>
            <w:hideMark/>
          </w:tcPr>
          <w:p w14:paraId="6B64F9CC"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12.457</w:t>
            </w:r>
          </w:p>
        </w:tc>
        <w:tc>
          <w:tcPr>
            <w:tcW w:w="567" w:type="dxa"/>
            <w:tcBorders>
              <w:top w:val="single" w:sz="2" w:space="0" w:color="auto"/>
              <w:left w:val="nil"/>
              <w:bottom w:val="single" w:sz="2" w:space="0" w:color="auto"/>
              <w:right w:val="nil"/>
            </w:tcBorders>
            <w:shd w:val="clear" w:color="auto" w:fill="auto"/>
            <w:vAlign w:val="center"/>
            <w:hideMark/>
          </w:tcPr>
          <w:p w14:paraId="1BCFF2EF" w14:textId="77777777" w:rsidR="00807992" w:rsidRPr="001119EC" w:rsidRDefault="00807992" w:rsidP="00807992">
            <w:pPr>
              <w:spacing w:after="0"/>
              <w:ind w:firstLine="0"/>
              <w:jc w:val="center"/>
              <w:rPr>
                <w:rFonts w:ascii="Arial Narrow" w:hAnsi="Arial Narrow" w:cs="Arial"/>
                <w:b/>
                <w:sz w:val="18"/>
                <w:szCs w:val="18"/>
                <w:lang w:val="es-ES" w:eastAsia="es-ES"/>
              </w:rPr>
            </w:pPr>
            <w:r w:rsidRPr="001119EC">
              <w:rPr>
                <w:rFonts w:ascii="Arial Narrow" w:hAnsi="Arial Narrow" w:cs="Arial"/>
                <w:b/>
                <w:sz w:val="18"/>
                <w:szCs w:val="18"/>
                <w:lang w:val="es-ES" w:eastAsia="es-ES"/>
              </w:rPr>
              <w:t>48</w:t>
            </w:r>
          </w:p>
        </w:tc>
        <w:tc>
          <w:tcPr>
            <w:tcW w:w="1276" w:type="dxa"/>
            <w:tcBorders>
              <w:top w:val="single" w:sz="2" w:space="0" w:color="auto"/>
              <w:left w:val="nil"/>
              <w:bottom w:val="single" w:sz="2" w:space="0" w:color="auto"/>
              <w:right w:val="nil"/>
            </w:tcBorders>
            <w:shd w:val="clear" w:color="auto" w:fill="auto"/>
            <w:vAlign w:val="center"/>
            <w:hideMark/>
          </w:tcPr>
          <w:p w14:paraId="13A77CFD"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26.457</w:t>
            </w:r>
          </w:p>
        </w:tc>
        <w:tc>
          <w:tcPr>
            <w:tcW w:w="992" w:type="dxa"/>
            <w:tcBorders>
              <w:top w:val="single" w:sz="2" w:space="0" w:color="auto"/>
              <w:left w:val="nil"/>
              <w:bottom w:val="single" w:sz="2" w:space="0" w:color="auto"/>
              <w:right w:val="nil"/>
            </w:tcBorders>
            <w:shd w:val="clear" w:color="auto" w:fill="auto"/>
            <w:vAlign w:val="center"/>
            <w:hideMark/>
          </w:tcPr>
          <w:p w14:paraId="1B72B84D"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0</w:t>
            </w:r>
          </w:p>
        </w:tc>
      </w:tr>
      <w:tr w:rsidR="00807992" w:rsidRPr="00514797" w14:paraId="4CC6C508" w14:textId="77777777" w:rsidTr="0066649C">
        <w:trPr>
          <w:trHeight w:val="198"/>
        </w:trPr>
        <w:tc>
          <w:tcPr>
            <w:tcW w:w="1144" w:type="dxa"/>
            <w:tcBorders>
              <w:top w:val="single" w:sz="2" w:space="0" w:color="auto"/>
              <w:left w:val="nil"/>
              <w:bottom w:val="single" w:sz="4" w:space="0" w:color="auto"/>
              <w:right w:val="nil"/>
            </w:tcBorders>
            <w:shd w:val="clear" w:color="auto" w:fill="auto"/>
            <w:vAlign w:val="center"/>
            <w:hideMark/>
          </w:tcPr>
          <w:p w14:paraId="1282F2D9" w14:textId="77777777" w:rsidR="00807992" w:rsidRPr="00514797" w:rsidRDefault="00807992" w:rsidP="00807992">
            <w:pPr>
              <w:spacing w:after="0"/>
              <w:ind w:firstLine="0"/>
              <w:jc w:val="left"/>
              <w:rPr>
                <w:rFonts w:ascii="Arial Narrow" w:hAnsi="Arial Narrow" w:cs="Arial"/>
                <w:b/>
                <w:sz w:val="18"/>
                <w:szCs w:val="18"/>
                <w:lang w:val="es-ES" w:eastAsia="es-ES"/>
              </w:rPr>
            </w:pPr>
            <w:proofErr w:type="spellStart"/>
            <w:r w:rsidRPr="00514797">
              <w:rPr>
                <w:rFonts w:ascii="Arial Narrow" w:hAnsi="Arial Narrow" w:cs="Arial"/>
                <w:b/>
                <w:sz w:val="18"/>
                <w:szCs w:val="18"/>
                <w:lang w:val="es-ES" w:eastAsia="es-ES"/>
              </w:rPr>
              <w:t>Geroa</w:t>
            </w:r>
            <w:proofErr w:type="spellEnd"/>
            <w:r w:rsidRPr="00514797">
              <w:rPr>
                <w:rFonts w:ascii="Arial Narrow" w:hAnsi="Arial Narrow" w:cs="Arial"/>
                <w:b/>
                <w:sz w:val="18"/>
                <w:szCs w:val="18"/>
                <w:lang w:val="es-ES" w:eastAsia="es-ES"/>
              </w:rPr>
              <w:t xml:space="preserve"> Bai</w:t>
            </w:r>
          </w:p>
        </w:tc>
        <w:tc>
          <w:tcPr>
            <w:tcW w:w="1069" w:type="dxa"/>
            <w:tcBorders>
              <w:top w:val="single" w:sz="2" w:space="0" w:color="auto"/>
              <w:left w:val="nil"/>
              <w:bottom w:val="single" w:sz="4" w:space="0" w:color="auto"/>
              <w:right w:val="nil"/>
            </w:tcBorders>
            <w:shd w:val="clear" w:color="auto" w:fill="auto"/>
            <w:vAlign w:val="center"/>
            <w:hideMark/>
          </w:tcPr>
          <w:p w14:paraId="44AB3AE2" w14:textId="77777777" w:rsidR="00807992" w:rsidRPr="001119EC" w:rsidRDefault="00807992" w:rsidP="00807992">
            <w:pPr>
              <w:spacing w:after="0"/>
              <w:ind w:firstLine="0"/>
              <w:jc w:val="right"/>
              <w:rPr>
                <w:rFonts w:ascii="Arial Narrow" w:hAnsi="Arial Narrow" w:cs="Calibri"/>
                <w:b/>
                <w:sz w:val="18"/>
                <w:szCs w:val="18"/>
                <w:lang w:val="es-ES" w:eastAsia="es-ES"/>
              </w:rPr>
            </w:pPr>
            <w:r w:rsidRPr="001119EC">
              <w:rPr>
                <w:rFonts w:ascii="Arial Narrow" w:hAnsi="Arial Narrow" w:cs="Calibri"/>
                <w:b/>
                <w:sz w:val="18"/>
                <w:szCs w:val="18"/>
                <w:lang w:val="es-ES" w:eastAsia="es-ES"/>
              </w:rPr>
              <w:t>12.587</w:t>
            </w:r>
          </w:p>
        </w:tc>
        <w:tc>
          <w:tcPr>
            <w:tcW w:w="2182" w:type="dxa"/>
            <w:tcBorders>
              <w:top w:val="single" w:sz="2" w:space="0" w:color="auto"/>
              <w:left w:val="nil"/>
              <w:bottom w:val="single" w:sz="4" w:space="0" w:color="auto"/>
              <w:right w:val="nil"/>
            </w:tcBorders>
            <w:shd w:val="clear" w:color="auto" w:fill="auto"/>
            <w:vAlign w:val="center"/>
            <w:hideMark/>
          </w:tcPr>
          <w:p w14:paraId="77FED7F3"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0</w:t>
            </w:r>
          </w:p>
        </w:tc>
        <w:tc>
          <w:tcPr>
            <w:tcW w:w="567" w:type="dxa"/>
            <w:tcBorders>
              <w:top w:val="single" w:sz="2" w:space="0" w:color="auto"/>
              <w:left w:val="nil"/>
              <w:bottom w:val="single" w:sz="4" w:space="0" w:color="auto"/>
              <w:right w:val="nil"/>
            </w:tcBorders>
            <w:shd w:val="clear" w:color="auto" w:fill="auto"/>
            <w:noWrap/>
            <w:vAlign w:val="bottom"/>
            <w:hideMark/>
          </w:tcPr>
          <w:p w14:paraId="06AF7C0B" w14:textId="77777777" w:rsidR="00807992" w:rsidRPr="001119EC" w:rsidRDefault="00807992" w:rsidP="00807992">
            <w:pPr>
              <w:spacing w:after="0"/>
              <w:ind w:firstLine="0"/>
              <w:jc w:val="center"/>
              <w:rPr>
                <w:rFonts w:ascii="Arial Narrow" w:hAnsi="Arial Narrow" w:cs="Calibri"/>
                <w:b/>
                <w:sz w:val="18"/>
                <w:szCs w:val="18"/>
                <w:lang w:val="es-ES" w:eastAsia="es-ES"/>
              </w:rPr>
            </w:pPr>
            <w:r w:rsidRPr="001119EC">
              <w:rPr>
                <w:rFonts w:ascii="Arial Narrow" w:hAnsi="Arial Narrow" w:cs="Calibri"/>
                <w:b/>
                <w:sz w:val="18"/>
                <w:szCs w:val="18"/>
                <w:lang w:val="es-ES" w:eastAsia="es-ES"/>
              </w:rPr>
              <w:t>0</w:t>
            </w:r>
          </w:p>
        </w:tc>
        <w:tc>
          <w:tcPr>
            <w:tcW w:w="992" w:type="dxa"/>
            <w:tcBorders>
              <w:top w:val="single" w:sz="2" w:space="0" w:color="auto"/>
              <w:left w:val="nil"/>
              <w:bottom w:val="single" w:sz="4" w:space="0" w:color="auto"/>
              <w:right w:val="nil"/>
            </w:tcBorders>
            <w:shd w:val="clear" w:color="auto" w:fill="auto"/>
            <w:vAlign w:val="center"/>
            <w:hideMark/>
          </w:tcPr>
          <w:p w14:paraId="153661BA"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10.521</w:t>
            </w:r>
          </w:p>
        </w:tc>
        <w:tc>
          <w:tcPr>
            <w:tcW w:w="567" w:type="dxa"/>
            <w:tcBorders>
              <w:top w:val="single" w:sz="2" w:space="0" w:color="auto"/>
              <w:left w:val="nil"/>
              <w:bottom w:val="single" w:sz="4" w:space="0" w:color="auto"/>
              <w:right w:val="nil"/>
            </w:tcBorders>
            <w:shd w:val="clear" w:color="auto" w:fill="auto"/>
            <w:vAlign w:val="center"/>
            <w:hideMark/>
          </w:tcPr>
          <w:p w14:paraId="624FEB18" w14:textId="77777777" w:rsidR="00807992" w:rsidRPr="001119EC" w:rsidRDefault="00807992" w:rsidP="00807992">
            <w:pPr>
              <w:spacing w:after="0"/>
              <w:ind w:firstLine="0"/>
              <w:jc w:val="center"/>
              <w:rPr>
                <w:rFonts w:ascii="Arial Narrow" w:hAnsi="Arial Narrow" w:cs="Arial"/>
                <w:b/>
                <w:sz w:val="18"/>
                <w:szCs w:val="18"/>
                <w:lang w:val="es-ES" w:eastAsia="es-ES"/>
              </w:rPr>
            </w:pPr>
            <w:r w:rsidRPr="001119EC">
              <w:rPr>
                <w:rFonts w:ascii="Arial Narrow" w:hAnsi="Arial Narrow" w:cs="Arial"/>
                <w:b/>
                <w:sz w:val="18"/>
                <w:szCs w:val="18"/>
                <w:lang w:val="es-ES" w:eastAsia="es-ES"/>
              </w:rPr>
              <w:t>84</w:t>
            </w:r>
          </w:p>
        </w:tc>
        <w:tc>
          <w:tcPr>
            <w:tcW w:w="1276" w:type="dxa"/>
            <w:tcBorders>
              <w:top w:val="single" w:sz="2" w:space="0" w:color="auto"/>
              <w:left w:val="nil"/>
              <w:bottom w:val="single" w:sz="4" w:space="0" w:color="auto"/>
              <w:right w:val="nil"/>
            </w:tcBorders>
            <w:shd w:val="clear" w:color="auto" w:fill="auto"/>
            <w:vAlign w:val="center"/>
            <w:hideMark/>
          </w:tcPr>
          <w:p w14:paraId="2EFADF59"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10.521</w:t>
            </w:r>
          </w:p>
        </w:tc>
        <w:tc>
          <w:tcPr>
            <w:tcW w:w="992" w:type="dxa"/>
            <w:tcBorders>
              <w:top w:val="single" w:sz="2" w:space="0" w:color="auto"/>
              <w:left w:val="nil"/>
              <w:bottom w:val="single" w:sz="4" w:space="0" w:color="auto"/>
              <w:right w:val="nil"/>
            </w:tcBorders>
            <w:shd w:val="clear" w:color="auto" w:fill="auto"/>
            <w:vAlign w:val="center"/>
            <w:hideMark/>
          </w:tcPr>
          <w:p w14:paraId="695714D3" w14:textId="77777777" w:rsidR="00807992" w:rsidRPr="001119EC" w:rsidRDefault="00807992" w:rsidP="00807992">
            <w:pPr>
              <w:spacing w:after="0"/>
              <w:ind w:firstLine="0"/>
              <w:jc w:val="right"/>
              <w:rPr>
                <w:rFonts w:ascii="Arial Narrow" w:hAnsi="Arial Narrow" w:cs="Arial"/>
                <w:b/>
                <w:sz w:val="18"/>
                <w:szCs w:val="18"/>
                <w:lang w:val="es-ES" w:eastAsia="es-ES"/>
              </w:rPr>
            </w:pPr>
            <w:r w:rsidRPr="001119EC">
              <w:rPr>
                <w:rFonts w:ascii="Arial Narrow" w:hAnsi="Arial Narrow" w:cs="Arial"/>
                <w:b/>
                <w:sz w:val="18"/>
                <w:szCs w:val="18"/>
                <w:lang w:val="es-ES" w:eastAsia="es-ES"/>
              </w:rPr>
              <w:t>2.066</w:t>
            </w:r>
          </w:p>
        </w:tc>
      </w:tr>
      <w:tr w:rsidR="00807992" w:rsidRPr="00514797" w14:paraId="157FC639" w14:textId="77777777" w:rsidTr="0066649C">
        <w:trPr>
          <w:trHeight w:val="255"/>
        </w:trPr>
        <w:tc>
          <w:tcPr>
            <w:tcW w:w="1144" w:type="dxa"/>
            <w:tcBorders>
              <w:top w:val="single" w:sz="4" w:space="0" w:color="auto"/>
              <w:left w:val="nil"/>
              <w:bottom w:val="single" w:sz="4" w:space="0" w:color="auto"/>
              <w:right w:val="nil"/>
            </w:tcBorders>
            <w:shd w:val="clear" w:color="auto" w:fill="FABF8F" w:themeFill="accent6" w:themeFillTint="99"/>
            <w:vAlign w:val="center"/>
            <w:hideMark/>
          </w:tcPr>
          <w:p w14:paraId="0081B0B5" w14:textId="77777777" w:rsidR="00807992" w:rsidRPr="00514797" w:rsidRDefault="00807992" w:rsidP="00807992">
            <w:pPr>
              <w:spacing w:after="0"/>
              <w:ind w:firstLine="0"/>
              <w:jc w:val="left"/>
              <w:rPr>
                <w:rFonts w:ascii="Arial" w:hAnsi="Arial" w:cs="Arial"/>
                <w:sz w:val="16"/>
                <w:szCs w:val="16"/>
                <w:lang w:val="es-ES" w:eastAsia="es-ES"/>
              </w:rPr>
            </w:pPr>
            <w:r w:rsidRPr="00514797">
              <w:rPr>
                <w:rFonts w:ascii="Arial" w:hAnsi="Arial" w:cs="Arial"/>
                <w:sz w:val="16"/>
                <w:szCs w:val="16"/>
                <w:lang w:val="es-ES" w:eastAsia="es-ES"/>
              </w:rPr>
              <w:t>Total</w:t>
            </w:r>
          </w:p>
        </w:tc>
        <w:tc>
          <w:tcPr>
            <w:tcW w:w="1069" w:type="dxa"/>
            <w:tcBorders>
              <w:top w:val="single" w:sz="4" w:space="0" w:color="auto"/>
              <w:left w:val="nil"/>
              <w:bottom w:val="single" w:sz="4" w:space="0" w:color="auto"/>
              <w:right w:val="nil"/>
            </w:tcBorders>
            <w:shd w:val="clear" w:color="auto" w:fill="FABF8F" w:themeFill="accent6" w:themeFillTint="99"/>
            <w:vAlign w:val="center"/>
            <w:hideMark/>
          </w:tcPr>
          <w:p w14:paraId="0A64B958" w14:textId="77777777" w:rsidR="00807992" w:rsidRPr="00514797" w:rsidRDefault="00807992" w:rsidP="00807992">
            <w:pPr>
              <w:spacing w:after="0"/>
              <w:ind w:firstLine="0"/>
              <w:jc w:val="right"/>
              <w:rPr>
                <w:rFonts w:ascii="Arial" w:hAnsi="Arial" w:cs="Arial"/>
                <w:sz w:val="16"/>
                <w:szCs w:val="16"/>
                <w:lang w:val="es-ES" w:eastAsia="es-ES"/>
              </w:rPr>
            </w:pPr>
            <w:r w:rsidRPr="00514797">
              <w:rPr>
                <w:rFonts w:ascii="Arial" w:hAnsi="Arial" w:cs="Arial"/>
                <w:sz w:val="16"/>
                <w:szCs w:val="16"/>
                <w:lang w:val="es-ES" w:eastAsia="es-ES"/>
              </w:rPr>
              <w:t>137.750</w:t>
            </w:r>
          </w:p>
        </w:tc>
        <w:tc>
          <w:tcPr>
            <w:tcW w:w="2182" w:type="dxa"/>
            <w:tcBorders>
              <w:top w:val="single" w:sz="4" w:space="0" w:color="auto"/>
              <w:left w:val="nil"/>
              <w:bottom w:val="single" w:sz="4" w:space="0" w:color="auto"/>
              <w:right w:val="nil"/>
            </w:tcBorders>
            <w:shd w:val="clear" w:color="auto" w:fill="FABF8F" w:themeFill="accent6" w:themeFillTint="99"/>
            <w:vAlign w:val="center"/>
            <w:hideMark/>
          </w:tcPr>
          <w:p w14:paraId="5527112D" w14:textId="77777777" w:rsidR="00807992" w:rsidRPr="00514797" w:rsidRDefault="00807992" w:rsidP="00807992">
            <w:pPr>
              <w:spacing w:after="0"/>
              <w:ind w:firstLine="0"/>
              <w:jc w:val="right"/>
              <w:rPr>
                <w:rFonts w:ascii="Arial" w:hAnsi="Arial" w:cs="Arial"/>
                <w:sz w:val="16"/>
                <w:szCs w:val="16"/>
                <w:lang w:val="es-ES" w:eastAsia="es-ES"/>
              </w:rPr>
            </w:pPr>
            <w:r w:rsidRPr="00514797">
              <w:rPr>
                <w:rFonts w:ascii="Arial" w:hAnsi="Arial" w:cs="Arial"/>
                <w:sz w:val="16"/>
                <w:szCs w:val="16"/>
                <w:lang w:val="es-ES" w:eastAsia="es-ES"/>
              </w:rPr>
              <w:t>105.032</w:t>
            </w:r>
          </w:p>
        </w:tc>
        <w:tc>
          <w:tcPr>
            <w:tcW w:w="567" w:type="dxa"/>
            <w:tcBorders>
              <w:top w:val="single" w:sz="4" w:space="0" w:color="auto"/>
              <w:left w:val="nil"/>
              <w:bottom w:val="single" w:sz="4" w:space="0" w:color="auto"/>
              <w:right w:val="nil"/>
            </w:tcBorders>
            <w:shd w:val="clear" w:color="auto" w:fill="FABF8F" w:themeFill="accent6" w:themeFillTint="99"/>
            <w:vAlign w:val="center"/>
            <w:hideMark/>
          </w:tcPr>
          <w:p w14:paraId="56CAD722" w14:textId="77777777" w:rsidR="00807992" w:rsidRPr="00514797" w:rsidRDefault="00807992" w:rsidP="00807992">
            <w:pPr>
              <w:spacing w:after="0"/>
              <w:ind w:firstLine="0"/>
              <w:jc w:val="center"/>
              <w:rPr>
                <w:rFonts w:ascii="Arial" w:hAnsi="Arial" w:cs="Arial"/>
                <w:sz w:val="16"/>
                <w:szCs w:val="16"/>
                <w:lang w:val="es-ES" w:eastAsia="es-ES"/>
              </w:rPr>
            </w:pPr>
            <w:r w:rsidRPr="00514797">
              <w:rPr>
                <w:rFonts w:ascii="Arial" w:hAnsi="Arial" w:cs="Arial"/>
                <w:sz w:val="16"/>
                <w:szCs w:val="16"/>
                <w:lang w:val="es-ES" w:eastAsia="es-ES"/>
              </w:rPr>
              <w:t> 76</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3EAC052C" w14:textId="77777777" w:rsidR="00807992" w:rsidRPr="00514797" w:rsidRDefault="00807992" w:rsidP="00807992">
            <w:pPr>
              <w:spacing w:after="0"/>
              <w:ind w:firstLine="0"/>
              <w:jc w:val="right"/>
              <w:rPr>
                <w:rFonts w:ascii="Arial" w:hAnsi="Arial" w:cs="Arial"/>
                <w:sz w:val="16"/>
                <w:szCs w:val="16"/>
                <w:lang w:val="es-ES" w:eastAsia="es-ES"/>
              </w:rPr>
            </w:pPr>
            <w:r w:rsidRPr="00514797">
              <w:rPr>
                <w:rFonts w:ascii="Arial" w:hAnsi="Arial" w:cs="Arial"/>
                <w:sz w:val="16"/>
                <w:szCs w:val="16"/>
                <w:lang w:val="es-ES" w:eastAsia="es-ES"/>
              </w:rPr>
              <w:t>29.877</w:t>
            </w:r>
          </w:p>
        </w:tc>
        <w:tc>
          <w:tcPr>
            <w:tcW w:w="567" w:type="dxa"/>
            <w:tcBorders>
              <w:top w:val="single" w:sz="4" w:space="0" w:color="auto"/>
              <w:left w:val="nil"/>
              <w:bottom w:val="single" w:sz="4" w:space="0" w:color="auto"/>
              <w:right w:val="nil"/>
            </w:tcBorders>
            <w:shd w:val="clear" w:color="auto" w:fill="FABF8F" w:themeFill="accent6" w:themeFillTint="99"/>
            <w:vAlign w:val="center"/>
            <w:hideMark/>
          </w:tcPr>
          <w:p w14:paraId="684F504F" w14:textId="77777777" w:rsidR="00807992" w:rsidRPr="00514797" w:rsidRDefault="00807992" w:rsidP="00807992">
            <w:pPr>
              <w:spacing w:after="0"/>
              <w:ind w:firstLine="0"/>
              <w:jc w:val="center"/>
              <w:rPr>
                <w:rFonts w:ascii="Arial" w:hAnsi="Arial" w:cs="Arial"/>
                <w:sz w:val="16"/>
                <w:szCs w:val="16"/>
                <w:lang w:val="es-ES" w:eastAsia="es-ES"/>
              </w:rPr>
            </w:pPr>
            <w:r w:rsidRPr="00514797">
              <w:rPr>
                <w:rFonts w:ascii="Arial" w:hAnsi="Arial" w:cs="Arial"/>
                <w:sz w:val="16"/>
                <w:szCs w:val="16"/>
                <w:lang w:val="es-ES" w:eastAsia="es-ES"/>
              </w:rPr>
              <w:t> 22</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14:paraId="45C8D30C" w14:textId="77777777" w:rsidR="00807992" w:rsidRPr="00514797" w:rsidRDefault="00807992" w:rsidP="00807992">
            <w:pPr>
              <w:spacing w:after="0"/>
              <w:ind w:firstLine="0"/>
              <w:jc w:val="right"/>
              <w:rPr>
                <w:rFonts w:ascii="Arial" w:hAnsi="Arial" w:cs="Arial"/>
                <w:sz w:val="16"/>
                <w:szCs w:val="16"/>
                <w:lang w:val="es-ES" w:eastAsia="es-ES"/>
              </w:rPr>
            </w:pPr>
            <w:r w:rsidRPr="00514797">
              <w:rPr>
                <w:rFonts w:ascii="Arial" w:hAnsi="Arial" w:cs="Arial"/>
                <w:sz w:val="16"/>
                <w:szCs w:val="16"/>
                <w:lang w:val="es-ES" w:eastAsia="es-ES"/>
              </w:rPr>
              <w:t>134.909</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14:paraId="44553FDC" w14:textId="77777777" w:rsidR="00807992" w:rsidRPr="00514797" w:rsidRDefault="00807992" w:rsidP="00807992">
            <w:pPr>
              <w:spacing w:after="0"/>
              <w:ind w:firstLine="0"/>
              <w:jc w:val="right"/>
              <w:rPr>
                <w:rFonts w:ascii="Arial" w:hAnsi="Arial" w:cs="Arial"/>
                <w:sz w:val="16"/>
                <w:szCs w:val="16"/>
                <w:lang w:val="es-ES" w:eastAsia="es-ES"/>
              </w:rPr>
            </w:pPr>
            <w:r w:rsidRPr="00514797">
              <w:rPr>
                <w:rFonts w:ascii="Arial" w:hAnsi="Arial" w:cs="Arial"/>
                <w:sz w:val="16"/>
                <w:szCs w:val="16"/>
                <w:lang w:val="es-ES" w:eastAsia="es-ES"/>
              </w:rPr>
              <w:t>2.066</w:t>
            </w:r>
          </w:p>
        </w:tc>
      </w:tr>
    </w:tbl>
    <w:p w14:paraId="61E43061" w14:textId="77777777" w:rsidR="00807992" w:rsidRPr="00514797" w:rsidRDefault="00807992" w:rsidP="00846CB3">
      <w:pPr>
        <w:pStyle w:val="texto"/>
        <w:spacing w:after="0" w:line="240" w:lineRule="exact"/>
        <w:ind w:firstLine="0"/>
        <w:rPr>
          <w:lang w:eastAsia="es-ES"/>
        </w:rPr>
      </w:pPr>
      <w:r w:rsidRPr="00514797">
        <w:rPr>
          <w:sz w:val="16"/>
          <w:szCs w:val="16"/>
          <w:lang w:eastAsia="es-ES"/>
        </w:rPr>
        <w:t>*</w:t>
      </w:r>
      <w:r w:rsidRPr="00514797">
        <w:rPr>
          <w:rFonts w:ascii="Arial Narrow" w:hAnsi="Arial Narrow"/>
          <w:sz w:val="16"/>
          <w:szCs w:val="16"/>
          <w:lang w:eastAsia="es-ES"/>
        </w:rPr>
        <w:t>La cuantía que se traspasa es superior a la percibida porque la cuenta bancaria tenía a principios de año un pequeño saldo y se acumula al traspaso de 2021</w:t>
      </w:r>
      <w:r w:rsidRPr="00514797">
        <w:rPr>
          <w:lang w:eastAsia="es-ES"/>
        </w:rPr>
        <w:t>.</w:t>
      </w:r>
    </w:p>
    <w:p w14:paraId="0A20D182" w14:textId="77777777" w:rsidR="00807992" w:rsidRPr="00514797" w:rsidRDefault="00290862" w:rsidP="000023DA">
      <w:pPr>
        <w:pStyle w:val="texto"/>
        <w:spacing w:before="120" w:after="120"/>
        <w:rPr>
          <w:szCs w:val="26"/>
        </w:rPr>
      </w:pPr>
      <w:r w:rsidRPr="00514797">
        <w:rPr>
          <w:szCs w:val="26"/>
        </w:rPr>
        <w:t xml:space="preserve">En relación </w:t>
      </w:r>
      <w:r w:rsidR="00CF62A2" w:rsidRPr="00514797">
        <w:rPr>
          <w:szCs w:val="26"/>
        </w:rPr>
        <w:t>con e</w:t>
      </w:r>
      <w:r w:rsidRPr="00514797">
        <w:rPr>
          <w:szCs w:val="26"/>
        </w:rPr>
        <w:t xml:space="preserve">l </w:t>
      </w:r>
      <w:r w:rsidR="00807992" w:rsidRPr="00514797">
        <w:rPr>
          <w:szCs w:val="26"/>
        </w:rPr>
        <w:t xml:space="preserve">cumplimiento </w:t>
      </w:r>
      <w:r w:rsidRPr="00514797">
        <w:rPr>
          <w:szCs w:val="26"/>
        </w:rPr>
        <w:t xml:space="preserve">de lo establecido en bases, hemos comprobado que </w:t>
      </w:r>
      <w:r w:rsidR="00807992" w:rsidRPr="00514797">
        <w:rPr>
          <w:szCs w:val="26"/>
        </w:rPr>
        <w:t xml:space="preserve">se han cumplido los requisitos exigidos, si bien </w:t>
      </w:r>
      <w:r w:rsidR="000023DA" w:rsidRPr="00514797">
        <w:rPr>
          <w:szCs w:val="26"/>
        </w:rPr>
        <w:t xml:space="preserve">destacamos principalmente </w:t>
      </w:r>
      <w:r w:rsidR="00807992" w:rsidRPr="00514797">
        <w:rPr>
          <w:szCs w:val="26"/>
        </w:rPr>
        <w:t xml:space="preserve">lo siguiente: </w:t>
      </w:r>
    </w:p>
    <w:p w14:paraId="28121AA8" w14:textId="77777777" w:rsidR="00807992" w:rsidRPr="00514797" w:rsidRDefault="00807992" w:rsidP="000023DA">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514797">
        <w:rPr>
          <w:szCs w:val="26"/>
          <w:lang w:eastAsia="es-ES"/>
        </w:rPr>
        <w:t xml:space="preserve">La Intervención ha solicitado formalmente el reintegro de la cuantía a devolver por el grupo municipal </w:t>
      </w:r>
      <w:proofErr w:type="spellStart"/>
      <w:r w:rsidRPr="00514797">
        <w:rPr>
          <w:szCs w:val="26"/>
          <w:lang w:eastAsia="es-ES"/>
        </w:rPr>
        <w:t>Geroa</w:t>
      </w:r>
      <w:proofErr w:type="spellEnd"/>
      <w:r w:rsidRPr="00514797">
        <w:rPr>
          <w:szCs w:val="26"/>
          <w:lang w:eastAsia="es-ES"/>
        </w:rPr>
        <w:t xml:space="preserve"> Bai y hemos comprobado que se ha efectuado su ingreso.</w:t>
      </w:r>
    </w:p>
    <w:p w14:paraId="59955BDF" w14:textId="77777777" w:rsidR="00807992" w:rsidRPr="00514797" w:rsidRDefault="00807992" w:rsidP="000023DA">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514797">
        <w:rPr>
          <w:szCs w:val="26"/>
          <w:lang w:eastAsia="es-ES"/>
        </w:rPr>
        <w:t xml:space="preserve">Todos los grupos municipales han presentado el convenio y la memoria anual del convenio regulador de las aportaciones al partido político, si bien las memorias han sido entregadas a petición de la Intervención, a pesar de ser un documento de presentación obligatoria junto con el resto de </w:t>
      </w:r>
      <w:proofErr w:type="gramStart"/>
      <w:r w:rsidRPr="00514797">
        <w:rPr>
          <w:szCs w:val="26"/>
          <w:lang w:eastAsia="es-ES"/>
        </w:rPr>
        <w:t>requisitos</w:t>
      </w:r>
      <w:proofErr w:type="gramEnd"/>
      <w:r w:rsidRPr="00514797">
        <w:rPr>
          <w:szCs w:val="26"/>
          <w:lang w:eastAsia="es-ES"/>
        </w:rPr>
        <w:t xml:space="preserve"> obligatorios. </w:t>
      </w:r>
    </w:p>
    <w:p w14:paraId="51F266BB" w14:textId="77777777" w:rsidR="00807992" w:rsidRPr="00514797" w:rsidRDefault="00807992" w:rsidP="00807992">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514797">
        <w:rPr>
          <w:szCs w:val="26"/>
          <w:lang w:eastAsia="es-ES"/>
        </w:rPr>
        <w:t xml:space="preserve">Si bien todos los grupos han presentado las cuentas justificativas exigidas en las Bases de Ejecución, sería conveniente aprobar un modelo único que fuese homogéneo. Asimismo, podría analizarse la conveniencia de publicar en el Portal de Transparencia del Ayuntamiento de Pamplona las citadas cuentas justificativas. </w:t>
      </w:r>
    </w:p>
    <w:p w14:paraId="5B5C0347" w14:textId="77777777" w:rsidR="00807992" w:rsidRPr="00186034" w:rsidRDefault="00807992" w:rsidP="00807992">
      <w:pPr>
        <w:numPr>
          <w:ilvl w:val="0"/>
          <w:numId w:val="10"/>
        </w:numPr>
        <w:tabs>
          <w:tab w:val="num" w:pos="284"/>
          <w:tab w:val="num" w:pos="600"/>
          <w:tab w:val="num" w:pos="720"/>
          <w:tab w:val="num" w:pos="1320"/>
        </w:tabs>
        <w:spacing w:before="120" w:after="120"/>
        <w:rPr>
          <w:rFonts w:cs="Arial"/>
          <w:spacing w:val="2"/>
          <w:sz w:val="26"/>
          <w:szCs w:val="24"/>
        </w:rPr>
      </w:pPr>
      <w:r w:rsidRPr="00186034">
        <w:rPr>
          <w:rFonts w:cs="Arial"/>
          <w:spacing w:val="2"/>
          <w:sz w:val="26"/>
          <w:szCs w:val="24"/>
        </w:rPr>
        <w:lastRenderedPageBreak/>
        <w:t>Las transferencias de capital aprobadas para financiar inversiones por las socieda</w:t>
      </w:r>
      <w:r>
        <w:rPr>
          <w:rFonts w:cs="Arial"/>
          <w:spacing w:val="2"/>
          <w:sz w:val="26"/>
          <w:szCs w:val="24"/>
        </w:rPr>
        <w:t xml:space="preserve">des </w:t>
      </w:r>
      <w:proofErr w:type="gramStart"/>
      <w:r>
        <w:rPr>
          <w:rFonts w:cs="Arial"/>
          <w:spacing w:val="2"/>
          <w:sz w:val="26"/>
          <w:szCs w:val="24"/>
        </w:rPr>
        <w:t>mercantiles,</w:t>
      </w:r>
      <w:proofErr w:type="gramEnd"/>
      <w:r>
        <w:rPr>
          <w:rFonts w:cs="Arial"/>
          <w:spacing w:val="2"/>
          <w:sz w:val="26"/>
          <w:szCs w:val="24"/>
        </w:rPr>
        <w:t xml:space="preserve"> son correctas y están justificadas, </w:t>
      </w:r>
      <w:r w:rsidRPr="00186034">
        <w:rPr>
          <w:rFonts w:cs="Arial"/>
          <w:spacing w:val="2"/>
          <w:sz w:val="26"/>
          <w:szCs w:val="24"/>
        </w:rPr>
        <w:t xml:space="preserve">si bien indicamos que la transferencia reconocida para la inversión a realizar por PCH, consistente en la creación de una oficina de barrio para la gestión y realización de Proyectos de Intervención Global, </w:t>
      </w:r>
      <w:r w:rsidR="000023DA">
        <w:rPr>
          <w:rFonts w:cs="Arial"/>
          <w:spacing w:val="2"/>
          <w:sz w:val="26"/>
          <w:szCs w:val="24"/>
        </w:rPr>
        <w:t>no se llegó a pagar al no haberse creado</w:t>
      </w:r>
      <w:r w:rsidR="00C26216">
        <w:rPr>
          <w:rFonts w:cs="Arial"/>
          <w:spacing w:val="2"/>
          <w:sz w:val="26"/>
          <w:szCs w:val="24"/>
        </w:rPr>
        <w:t xml:space="preserve"> la citada oficina </w:t>
      </w:r>
      <w:r w:rsidR="000023DA">
        <w:rPr>
          <w:rFonts w:cs="Arial"/>
          <w:spacing w:val="2"/>
          <w:sz w:val="26"/>
          <w:szCs w:val="24"/>
        </w:rPr>
        <w:t xml:space="preserve">por la ausencia de financiación desde el </w:t>
      </w:r>
      <w:r w:rsidRPr="00186034">
        <w:rPr>
          <w:rFonts w:cs="Arial"/>
          <w:spacing w:val="2"/>
          <w:sz w:val="26"/>
          <w:szCs w:val="24"/>
        </w:rPr>
        <w:t xml:space="preserve">Gobierno de Navarra </w:t>
      </w:r>
      <w:r w:rsidR="000023DA">
        <w:rPr>
          <w:rFonts w:cs="Arial"/>
          <w:spacing w:val="2"/>
          <w:sz w:val="26"/>
          <w:szCs w:val="24"/>
        </w:rPr>
        <w:t xml:space="preserve">en proyectos de rehabilitación. </w:t>
      </w:r>
    </w:p>
    <w:p w14:paraId="73F6917B" w14:textId="77777777" w:rsidR="00807992" w:rsidRPr="005360A2" w:rsidRDefault="00807992" w:rsidP="00807992">
      <w:pPr>
        <w:tabs>
          <w:tab w:val="left" w:pos="480"/>
          <w:tab w:val="num" w:pos="600"/>
          <w:tab w:val="num" w:pos="720"/>
          <w:tab w:val="num" w:pos="1320"/>
        </w:tabs>
        <w:spacing w:before="120" w:after="120"/>
        <w:ind w:left="142" w:firstLine="0"/>
        <w:rPr>
          <w:rFonts w:cs="Arial"/>
          <w:spacing w:val="2"/>
          <w:sz w:val="26"/>
          <w:szCs w:val="24"/>
        </w:rPr>
      </w:pPr>
      <w:r w:rsidRPr="005360A2">
        <w:rPr>
          <w:rFonts w:cs="Arial"/>
          <w:spacing w:val="2"/>
          <w:sz w:val="26"/>
          <w:szCs w:val="24"/>
        </w:rPr>
        <w:t>Recomendamos:</w:t>
      </w:r>
    </w:p>
    <w:p w14:paraId="553821F4" w14:textId="77777777" w:rsidR="00807992" w:rsidRPr="005360A2" w:rsidRDefault="00807992" w:rsidP="00807992">
      <w:pPr>
        <w:numPr>
          <w:ilvl w:val="0"/>
          <w:numId w:val="10"/>
        </w:numPr>
        <w:tabs>
          <w:tab w:val="num" w:pos="284"/>
          <w:tab w:val="num" w:pos="600"/>
          <w:tab w:val="num" w:pos="720"/>
          <w:tab w:val="num" w:pos="1320"/>
        </w:tabs>
        <w:spacing w:before="120" w:after="120"/>
        <w:rPr>
          <w:rFonts w:cs="Arial"/>
          <w:i/>
          <w:spacing w:val="2"/>
          <w:sz w:val="26"/>
          <w:szCs w:val="24"/>
        </w:rPr>
      </w:pPr>
      <w:r w:rsidRPr="005360A2">
        <w:rPr>
          <w:rFonts w:cs="Arial"/>
          <w:i/>
          <w:spacing w:val="2"/>
          <w:sz w:val="26"/>
          <w:szCs w:val="24"/>
        </w:rPr>
        <w:t xml:space="preserve">Publicar las concesiones de subvenciones en el BON según establece la Ordenanza Municipal. </w:t>
      </w:r>
    </w:p>
    <w:p w14:paraId="657B7AA9" w14:textId="77777777" w:rsidR="00807992" w:rsidRPr="0062596E" w:rsidRDefault="00807992" w:rsidP="00807992">
      <w:pPr>
        <w:numPr>
          <w:ilvl w:val="0"/>
          <w:numId w:val="10"/>
        </w:numPr>
        <w:tabs>
          <w:tab w:val="num" w:pos="284"/>
          <w:tab w:val="num" w:pos="600"/>
          <w:tab w:val="num" w:pos="720"/>
          <w:tab w:val="num" w:pos="1320"/>
        </w:tabs>
        <w:spacing w:before="120" w:after="120"/>
        <w:rPr>
          <w:rFonts w:cs="Arial"/>
          <w:i/>
          <w:spacing w:val="2"/>
          <w:sz w:val="26"/>
          <w:szCs w:val="24"/>
        </w:rPr>
      </w:pPr>
      <w:r w:rsidRPr="0062596E">
        <w:rPr>
          <w:rFonts w:cs="Arial"/>
          <w:i/>
          <w:spacing w:val="6"/>
          <w:sz w:val="26"/>
          <w:szCs w:val="24"/>
        </w:rPr>
        <w:t xml:space="preserve">Solicitar en todas las convocatorias en la que se deba incluir </w:t>
      </w:r>
      <w:r w:rsidR="00F20E58" w:rsidRPr="0062596E">
        <w:rPr>
          <w:rFonts w:cs="Arial"/>
          <w:i/>
          <w:spacing w:val="6"/>
          <w:sz w:val="26"/>
          <w:szCs w:val="24"/>
        </w:rPr>
        <w:t xml:space="preserve">el resto de </w:t>
      </w:r>
      <w:proofErr w:type="gramStart"/>
      <w:r w:rsidRPr="0062596E">
        <w:rPr>
          <w:rFonts w:cs="Arial"/>
          <w:i/>
          <w:spacing w:val="6"/>
          <w:sz w:val="26"/>
          <w:szCs w:val="24"/>
        </w:rPr>
        <w:t>ingresos</w:t>
      </w:r>
      <w:proofErr w:type="gramEnd"/>
      <w:r w:rsidRPr="0062596E">
        <w:rPr>
          <w:rFonts w:cs="Arial"/>
          <w:i/>
          <w:spacing w:val="6"/>
          <w:sz w:val="26"/>
          <w:szCs w:val="24"/>
        </w:rPr>
        <w:t xml:space="preserve"> afectos a las actividades s</w:t>
      </w:r>
      <w:r w:rsidR="00C83D8D" w:rsidRPr="0062596E">
        <w:rPr>
          <w:rFonts w:cs="Arial"/>
          <w:i/>
          <w:spacing w:val="6"/>
          <w:sz w:val="26"/>
          <w:szCs w:val="24"/>
        </w:rPr>
        <w:t xml:space="preserve">ubvencionadas su efectiva acreditación, </w:t>
      </w:r>
      <w:r w:rsidRPr="0062596E">
        <w:rPr>
          <w:rFonts w:cs="Arial"/>
          <w:i/>
          <w:spacing w:val="6"/>
          <w:sz w:val="26"/>
          <w:szCs w:val="24"/>
        </w:rPr>
        <w:t xml:space="preserve">de forma que se pueda </w:t>
      </w:r>
      <w:r w:rsidR="00C83D8D" w:rsidRPr="0062596E">
        <w:rPr>
          <w:rFonts w:cs="Arial"/>
          <w:i/>
          <w:spacing w:val="6"/>
          <w:sz w:val="26"/>
          <w:szCs w:val="24"/>
        </w:rPr>
        <w:t>dar validez y/o fiabilidad a los</w:t>
      </w:r>
      <w:r w:rsidR="0062596E" w:rsidRPr="0062596E">
        <w:rPr>
          <w:rFonts w:cs="Arial"/>
          <w:i/>
          <w:spacing w:val="6"/>
          <w:sz w:val="26"/>
          <w:szCs w:val="24"/>
        </w:rPr>
        <w:t xml:space="preserve"> mismos.</w:t>
      </w:r>
    </w:p>
    <w:p w14:paraId="4D1D8A3F" w14:textId="77777777" w:rsidR="00E11313" w:rsidRPr="0062596E" w:rsidRDefault="00E11313" w:rsidP="00807992">
      <w:pPr>
        <w:numPr>
          <w:ilvl w:val="0"/>
          <w:numId w:val="10"/>
        </w:numPr>
        <w:tabs>
          <w:tab w:val="num" w:pos="284"/>
          <w:tab w:val="num" w:pos="600"/>
          <w:tab w:val="num" w:pos="720"/>
          <w:tab w:val="num" w:pos="1320"/>
        </w:tabs>
        <w:spacing w:before="120" w:after="120"/>
        <w:rPr>
          <w:rFonts w:cs="Arial"/>
          <w:i/>
          <w:spacing w:val="2"/>
          <w:sz w:val="26"/>
          <w:szCs w:val="24"/>
        </w:rPr>
      </w:pPr>
      <w:r w:rsidRPr="0062596E">
        <w:rPr>
          <w:rFonts w:cs="Arial"/>
          <w:i/>
          <w:spacing w:val="6"/>
          <w:sz w:val="26"/>
          <w:szCs w:val="24"/>
        </w:rPr>
        <w:t>Formalizar los correspondientes convenios de colaboración</w:t>
      </w:r>
      <w:r w:rsidR="0062596E" w:rsidRPr="0062596E">
        <w:rPr>
          <w:rFonts w:cs="Arial"/>
          <w:i/>
          <w:spacing w:val="6"/>
          <w:sz w:val="26"/>
          <w:szCs w:val="24"/>
        </w:rPr>
        <w:t>,</w:t>
      </w:r>
      <w:r w:rsidRPr="0062596E">
        <w:rPr>
          <w:rFonts w:cs="Arial"/>
          <w:i/>
          <w:spacing w:val="6"/>
          <w:sz w:val="26"/>
          <w:szCs w:val="24"/>
        </w:rPr>
        <w:t xml:space="preserve"> </w:t>
      </w:r>
      <w:r w:rsidR="00C83D8D" w:rsidRPr="0062596E">
        <w:rPr>
          <w:rFonts w:cs="Arial"/>
          <w:i/>
          <w:spacing w:val="6"/>
          <w:sz w:val="26"/>
          <w:szCs w:val="24"/>
        </w:rPr>
        <w:t>o documento equivalente</w:t>
      </w:r>
      <w:r w:rsidR="0062596E" w:rsidRPr="0062596E">
        <w:rPr>
          <w:rFonts w:cs="Arial"/>
          <w:i/>
          <w:spacing w:val="6"/>
          <w:sz w:val="26"/>
          <w:szCs w:val="24"/>
        </w:rPr>
        <w:t>,</w:t>
      </w:r>
      <w:r w:rsidR="00C83D8D" w:rsidRPr="0062596E">
        <w:rPr>
          <w:rFonts w:cs="Arial"/>
          <w:i/>
          <w:spacing w:val="6"/>
          <w:sz w:val="26"/>
          <w:szCs w:val="24"/>
        </w:rPr>
        <w:t xml:space="preserve"> </w:t>
      </w:r>
      <w:r w:rsidRPr="0062596E">
        <w:rPr>
          <w:rFonts w:cs="Arial"/>
          <w:i/>
          <w:spacing w:val="6"/>
          <w:sz w:val="26"/>
          <w:szCs w:val="24"/>
        </w:rPr>
        <w:t xml:space="preserve">cuando se establezca que la gestión de subvenciones se realiza con entidades colaboradoras. Asimismo, llevar a cabo </w:t>
      </w:r>
      <w:r w:rsidR="003D644A" w:rsidRPr="0062596E">
        <w:rPr>
          <w:rFonts w:cs="Arial"/>
          <w:i/>
          <w:spacing w:val="6"/>
          <w:sz w:val="26"/>
          <w:szCs w:val="24"/>
        </w:rPr>
        <w:t xml:space="preserve">los mecanismos de control previstos en las </w:t>
      </w:r>
      <w:r w:rsidRPr="0062596E">
        <w:rPr>
          <w:rFonts w:cs="Arial"/>
          <w:i/>
          <w:spacing w:val="6"/>
          <w:sz w:val="26"/>
          <w:szCs w:val="24"/>
        </w:rPr>
        <w:t>bases reguladoras.</w:t>
      </w:r>
    </w:p>
    <w:p w14:paraId="014D7F76" w14:textId="77777777" w:rsidR="00807992" w:rsidRPr="0051752E" w:rsidRDefault="00807992" w:rsidP="00807992">
      <w:pPr>
        <w:numPr>
          <w:ilvl w:val="0"/>
          <w:numId w:val="10"/>
        </w:numPr>
        <w:tabs>
          <w:tab w:val="num" w:pos="284"/>
          <w:tab w:val="num" w:pos="600"/>
          <w:tab w:val="num" w:pos="720"/>
          <w:tab w:val="num" w:pos="1320"/>
        </w:tabs>
        <w:spacing w:before="120" w:after="120"/>
        <w:rPr>
          <w:rFonts w:cs="Arial"/>
          <w:i/>
          <w:spacing w:val="2"/>
          <w:sz w:val="26"/>
          <w:szCs w:val="24"/>
        </w:rPr>
      </w:pPr>
      <w:r w:rsidRPr="0051752E">
        <w:rPr>
          <w:rFonts w:cs="Arial"/>
          <w:i/>
          <w:spacing w:val="2"/>
          <w:sz w:val="26"/>
          <w:szCs w:val="24"/>
        </w:rPr>
        <w:t>Aprobar en tiempo y forma la autorización de los convenios que regulen subven</w:t>
      </w:r>
      <w:r w:rsidR="001119EC">
        <w:rPr>
          <w:rFonts w:cs="Arial"/>
          <w:i/>
          <w:spacing w:val="2"/>
          <w:sz w:val="26"/>
          <w:szCs w:val="24"/>
        </w:rPr>
        <w:t>ciones nominativas.</w:t>
      </w:r>
    </w:p>
    <w:p w14:paraId="151F8CEA" w14:textId="77777777" w:rsidR="00807992" w:rsidRDefault="000023DA" w:rsidP="00A41BD9">
      <w:pPr>
        <w:numPr>
          <w:ilvl w:val="0"/>
          <w:numId w:val="10"/>
        </w:numPr>
        <w:tabs>
          <w:tab w:val="num" w:pos="284"/>
          <w:tab w:val="num" w:pos="600"/>
          <w:tab w:val="num" w:pos="720"/>
          <w:tab w:val="num" w:pos="1320"/>
        </w:tabs>
        <w:spacing w:before="120" w:after="240"/>
        <w:rPr>
          <w:rFonts w:cs="Arial"/>
          <w:i/>
          <w:spacing w:val="2"/>
          <w:sz w:val="26"/>
          <w:szCs w:val="24"/>
        </w:rPr>
      </w:pPr>
      <w:r>
        <w:rPr>
          <w:rFonts w:cs="Arial"/>
          <w:i/>
          <w:spacing w:val="2"/>
          <w:sz w:val="26"/>
          <w:szCs w:val="24"/>
        </w:rPr>
        <w:t>A</w:t>
      </w:r>
      <w:r w:rsidR="00807992" w:rsidRPr="0051752E">
        <w:rPr>
          <w:rFonts w:cs="Arial"/>
          <w:i/>
          <w:spacing w:val="2"/>
          <w:sz w:val="26"/>
          <w:szCs w:val="24"/>
        </w:rPr>
        <w:t xml:space="preserve">probar un modelo único y homogéneo para la cuenta justificativa </w:t>
      </w:r>
      <w:r>
        <w:rPr>
          <w:rFonts w:cs="Arial"/>
          <w:i/>
          <w:spacing w:val="2"/>
          <w:sz w:val="26"/>
          <w:szCs w:val="24"/>
        </w:rPr>
        <w:t xml:space="preserve">de los grupos municipales, </w:t>
      </w:r>
      <w:r w:rsidR="003D644A">
        <w:rPr>
          <w:rFonts w:cs="Arial"/>
          <w:i/>
          <w:spacing w:val="2"/>
          <w:sz w:val="26"/>
          <w:szCs w:val="24"/>
        </w:rPr>
        <w:t xml:space="preserve">y </w:t>
      </w:r>
      <w:r w:rsidR="00807992" w:rsidRPr="0051752E">
        <w:rPr>
          <w:rFonts w:cs="Arial"/>
          <w:i/>
          <w:spacing w:val="2"/>
          <w:sz w:val="26"/>
          <w:szCs w:val="24"/>
        </w:rPr>
        <w:t xml:space="preserve">analizar </w:t>
      </w:r>
      <w:r w:rsidR="00807992">
        <w:rPr>
          <w:rFonts w:cs="Arial"/>
          <w:i/>
          <w:spacing w:val="2"/>
          <w:sz w:val="26"/>
          <w:szCs w:val="24"/>
        </w:rPr>
        <w:t xml:space="preserve">la idoneidad de </w:t>
      </w:r>
      <w:r w:rsidR="00807992" w:rsidRPr="0051752E">
        <w:rPr>
          <w:rFonts w:cs="Arial"/>
          <w:i/>
          <w:spacing w:val="2"/>
          <w:sz w:val="26"/>
          <w:szCs w:val="24"/>
        </w:rPr>
        <w:t xml:space="preserve">su publicación posterior en </w:t>
      </w:r>
      <w:r>
        <w:rPr>
          <w:rFonts w:cs="Arial"/>
          <w:i/>
          <w:spacing w:val="2"/>
          <w:sz w:val="26"/>
          <w:szCs w:val="24"/>
        </w:rPr>
        <w:t>el Portal de Transparencia del A</w:t>
      </w:r>
      <w:r w:rsidR="00807992" w:rsidRPr="0051752E">
        <w:rPr>
          <w:rFonts w:cs="Arial"/>
          <w:i/>
          <w:spacing w:val="2"/>
          <w:sz w:val="26"/>
          <w:szCs w:val="24"/>
        </w:rPr>
        <w:t>yuntamiento.</w:t>
      </w:r>
    </w:p>
    <w:p w14:paraId="766DA594" w14:textId="77777777" w:rsidR="00807992" w:rsidRPr="00A54D1E" w:rsidRDefault="00807992" w:rsidP="002B0291">
      <w:pPr>
        <w:pStyle w:val="texto"/>
      </w:pPr>
      <w:bookmarkStart w:id="145" w:name="_Toc118266036"/>
      <w:bookmarkStart w:id="146" w:name="_Toc455146002"/>
      <w:r w:rsidRPr="00A54D1E">
        <w:t>5.</w:t>
      </w:r>
      <w:r>
        <w:t>4</w:t>
      </w:r>
      <w:r w:rsidRPr="00A54D1E">
        <w:t>.</w:t>
      </w:r>
      <w:r w:rsidR="00C1204F">
        <w:t>6</w:t>
      </w:r>
      <w:r>
        <w:t>. Tributos, precios públicos y otros ingresos</w:t>
      </w:r>
      <w:bookmarkEnd w:id="145"/>
    </w:p>
    <w:bookmarkEnd w:id="146"/>
    <w:p w14:paraId="6776096D" w14:textId="77777777" w:rsidR="00807992" w:rsidRPr="00667DFF" w:rsidRDefault="00807992" w:rsidP="00807992">
      <w:pPr>
        <w:tabs>
          <w:tab w:val="left" w:pos="480"/>
          <w:tab w:val="num" w:pos="720"/>
          <w:tab w:val="num" w:pos="1320"/>
        </w:tabs>
        <w:spacing w:after="260"/>
        <w:ind w:firstLine="284"/>
        <w:rPr>
          <w:rFonts w:cs="Arial"/>
          <w:spacing w:val="6"/>
          <w:sz w:val="26"/>
          <w:szCs w:val="24"/>
        </w:rPr>
      </w:pPr>
      <w:r w:rsidRPr="00667DFF">
        <w:rPr>
          <w:rFonts w:cs="Arial"/>
          <w:spacing w:val="6"/>
          <w:sz w:val="26"/>
          <w:szCs w:val="24"/>
        </w:rPr>
        <w:t xml:space="preserve">Los derechos reconocidos en el </w:t>
      </w:r>
      <w:r>
        <w:rPr>
          <w:rFonts w:cs="Arial"/>
          <w:spacing w:val="6"/>
          <w:sz w:val="26"/>
          <w:szCs w:val="24"/>
        </w:rPr>
        <w:t>ejercicio</w:t>
      </w:r>
      <w:r w:rsidRPr="00667DFF">
        <w:rPr>
          <w:rFonts w:cs="Arial"/>
          <w:spacing w:val="6"/>
          <w:sz w:val="26"/>
          <w:szCs w:val="24"/>
        </w:rPr>
        <w:t xml:space="preserve"> </w:t>
      </w:r>
      <w:r>
        <w:rPr>
          <w:rFonts w:cs="Arial"/>
          <w:spacing w:val="6"/>
          <w:sz w:val="26"/>
          <w:szCs w:val="24"/>
        </w:rPr>
        <w:t>2021</w:t>
      </w:r>
      <w:r w:rsidRPr="00667DFF">
        <w:rPr>
          <w:rFonts w:cs="Arial"/>
          <w:spacing w:val="6"/>
          <w:sz w:val="26"/>
          <w:szCs w:val="24"/>
        </w:rPr>
        <w:t xml:space="preserve"> por tributos, precios públicos y otros ingresos ascendieron a </w:t>
      </w:r>
      <w:r>
        <w:rPr>
          <w:rFonts w:cs="Arial"/>
          <w:spacing w:val="6"/>
          <w:sz w:val="26"/>
          <w:szCs w:val="24"/>
        </w:rPr>
        <w:t>108,2</w:t>
      </w:r>
      <w:r w:rsidRPr="00667DFF">
        <w:rPr>
          <w:rFonts w:cs="Arial"/>
          <w:spacing w:val="6"/>
          <w:sz w:val="26"/>
          <w:szCs w:val="24"/>
        </w:rPr>
        <w:t xml:space="preserve"> millones. Representan el 47 por ciento del total de los ingresos municipales y se corresponden con:</w:t>
      </w:r>
    </w:p>
    <w:tbl>
      <w:tblPr>
        <w:tblW w:w="5000" w:type="pct"/>
        <w:tblCellMar>
          <w:left w:w="70" w:type="dxa"/>
          <w:right w:w="70" w:type="dxa"/>
        </w:tblCellMar>
        <w:tblLook w:val="04A0" w:firstRow="1" w:lastRow="0" w:firstColumn="1" w:lastColumn="0" w:noHBand="0" w:noVBand="1"/>
      </w:tblPr>
      <w:tblGrid>
        <w:gridCol w:w="3262"/>
        <w:gridCol w:w="1526"/>
        <w:gridCol w:w="1528"/>
        <w:gridCol w:w="1197"/>
        <w:gridCol w:w="1276"/>
      </w:tblGrid>
      <w:tr w:rsidR="00807992" w:rsidRPr="00667DFF" w14:paraId="1D7D08AF" w14:textId="77777777" w:rsidTr="0066649C">
        <w:trPr>
          <w:trHeight w:val="255"/>
        </w:trPr>
        <w:tc>
          <w:tcPr>
            <w:tcW w:w="1856" w:type="pct"/>
            <w:vMerge w:val="restart"/>
            <w:tcBorders>
              <w:top w:val="single" w:sz="4" w:space="0" w:color="auto"/>
              <w:left w:val="nil"/>
              <w:bottom w:val="single" w:sz="4" w:space="0" w:color="auto"/>
              <w:right w:val="nil"/>
            </w:tcBorders>
            <w:shd w:val="clear" w:color="000000" w:fill="FABF8F"/>
            <w:vAlign w:val="center"/>
            <w:hideMark/>
          </w:tcPr>
          <w:p w14:paraId="365476FC" w14:textId="77777777" w:rsidR="00807992" w:rsidRPr="00667DFF" w:rsidRDefault="00807992" w:rsidP="00807992">
            <w:pPr>
              <w:spacing w:after="0"/>
              <w:ind w:firstLine="0"/>
              <w:jc w:val="left"/>
              <w:rPr>
                <w:rFonts w:ascii="Arial" w:hAnsi="Arial" w:cs="Arial"/>
                <w:color w:val="000000"/>
                <w:sz w:val="18"/>
                <w:szCs w:val="18"/>
                <w:lang w:val="es-ES" w:eastAsia="es-ES"/>
              </w:rPr>
            </w:pPr>
            <w:r w:rsidRPr="00667DFF">
              <w:rPr>
                <w:rFonts w:ascii="Arial" w:hAnsi="Arial" w:cs="Arial"/>
                <w:color w:val="000000"/>
                <w:sz w:val="18"/>
                <w:szCs w:val="18"/>
                <w:lang w:val="es-ES" w:eastAsia="es-ES"/>
              </w:rPr>
              <w:t>Concepto</w:t>
            </w:r>
          </w:p>
        </w:tc>
        <w:tc>
          <w:tcPr>
            <w:tcW w:w="1737" w:type="pct"/>
            <w:gridSpan w:val="2"/>
            <w:tcBorders>
              <w:top w:val="single" w:sz="4" w:space="0" w:color="auto"/>
              <w:left w:val="nil"/>
              <w:bottom w:val="single" w:sz="4" w:space="0" w:color="auto"/>
              <w:right w:val="nil"/>
            </w:tcBorders>
            <w:shd w:val="clear" w:color="000000" w:fill="FABF8F"/>
            <w:vAlign w:val="center"/>
            <w:hideMark/>
          </w:tcPr>
          <w:p w14:paraId="616579F6" w14:textId="77777777" w:rsidR="00807992" w:rsidRPr="00667DFF" w:rsidRDefault="00807992" w:rsidP="00807992">
            <w:pPr>
              <w:spacing w:after="0"/>
              <w:ind w:firstLine="0"/>
              <w:jc w:val="center"/>
              <w:rPr>
                <w:rFonts w:ascii="Arial" w:hAnsi="Arial" w:cs="Arial"/>
                <w:color w:val="000000"/>
                <w:sz w:val="18"/>
                <w:szCs w:val="18"/>
                <w:lang w:val="es-ES" w:eastAsia="es-ES"/>
              </w:rPr>
            </w:pPr>
            <w:r w:rsidRPr="00667DFF">
              <w:rPr>
                <w:rFonts w:ascii="Arial" w:hAnsi="Arial" w:cs="Arial"/>
                <w:color w:val="000000"/>
                <w:sz w:val="18"/>
                <w:szCs w:val="18"/>
                <w:lang w:val="es-ES" w:eastAsia="es-ES"/>
              </w:rPr>
              <w:t>Derechos reconocidos netos</w:t>
            </w:r>
          </w:p>
        </w:tc>
        <w:tc>
          <w:tcPr>
            <w:tcW w:w="681" w:type="pct"/>
            <w:vMerge w:val="restart"/>
            <w:tcBorders>
              <w:top w:val="single" w:sz="4" w:space="0" w:color="auto"/>
              <w:left w:val="nil"/>
              <w:bottom w:val="single" w:sz="4" w:space="0" w:color="auto"/>
              <w:right w:val="nil"/>
            </w:tcBorders>
            <w:shd w:val="clear" w:color="000000" w:fill="FABF8F"/>
            <w:vAlign w:val="center"/>
            <w:hideMark/>
          </w:tcPr>
          <w:p w14:paraId="0D04B919" w14:textId="77777777" w:rsidR="00807992" w:rsidRPr="00667DFF" w:rsidRDefault="00807992" w:rsidP="0066649C">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 Ejecución</w:t>
            </w:r>
          </w:p>
        </w:tc>
        <w:tc>
          <w:tcPr>
            <w:tcW w:w="726" w:type="pct"/>
            <w:vMerge w:val="restart"/>
            <w:tcBorders>
              <w:top w:val="single" w:sz="4" w:space="0" w:color="auto"/>
              <w:left w:val="nil"/>
              <w:bottom w:val="single" w:sz="4" w:space="0" w:color="auto"/>
              <w:right w:val="nil"/>
            </w:tcBorders>
            <w:shd w:val="clear" w:color="000000" w:fill="FABF8F"/>
            <w:vAlign w:val="center"/>
            <w:hideMark/>
          </w:tcPr>
          <w:p w14:paraId="093DA8AF" w14:textId="77777777" w:rsidR="00807992" w:rsidRPr="00667DFF" w:rsidRDefault="00807992" w:rsidP="0066649C">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 xml:space="preserve">% Variación </w:t>
            </w:r>
            <w:r>
              <w:rPr>
                <w:rFonts w:ascii="Arial" w:hAnsi="Arial" w:cs="Arial"/>
                <w:color w:val="000000"/>
                <w:sz w:val="18"/>
                <w:szCs w:val="18"/>
                <w:lang w:val="es-ES" w:eastAsia="es-ES"/>
              </w:rPr>
              <w:t>2021</w:t>
            </w:r>
            <w:r w:rsidRPr="00667DFF">
              <w:rPr>
                <w:rFonts w:ascii="Arial" w:hAnsi="Arial" w:cs="Arial"/>
                <w:color w:val="000000"/>
                <w:sz w:val="18"/>
                <w:szCs w:val="18"/>
                <w:lang w:val="es-ES" w:eastAsia="es-ES"/>
              </w:rPr>
              <w:t>/20</w:t>
            </w:r>
            <w:r>
              <w:rPr>
                <w:rFonts w:ascii="Arial" w:hAnsi="Arial" w:cs="Arial"/>
                <w:color w:val="000000"/>
                <w:sz w:val="18"/>
                <w:szCs w:val="18"/>
                <w:lang w:val="es-ES" w:eastAsia="es-ES"/>
              </w:rPr>
              <w:t>20</w:t>
            </w:r>
          </w:p>
        </w:tc>
      </w:tr>
      <w:tr w:rsidR="00807992" w:rsidRPr="00667DFF" w14:paraId="37220EDB" w14:textId="77777777" w:rsidTr="0066649C">
        <w:trPr>
          <w:trHeight w:val="270"/>
        </w:trPr>
        <w:tc>
          <w:tcPr>
            <w:tcW w:w="1856" w:type="pct"/>
            <w:vMerge/>
            <w:tcBorders>
              <w:top w:val="single" w:sz="4" w:space="0" w:color="auto"/>
              <w:left w:val="nil"/>
              <w:bottom w:val="single" w:sz="2" w:space="0" w:color="auto"/>
              <w:right w:val="nil"/>
            </w:tcBorders>
            <w:vAlign w:val="center"/>
            <w:hideMark/>
          </w:tcPr>
          <w:p w14:paraId="60C2E382"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p>
        </w:tc>
        <w:tc>
          <w:tcPr>
            <w:tcW w:w="868" w:type="pct"/>
            <w:tcBorders>
              <w:top w:val="nil"/>
              <w:left w:val="nil"/>
              <w:bottom w:val="single" w:sz="2" w:space="0" w:color="auto"/>
              <w:right w:val="nil"/>
            </w:tcBorders>
            <w:shd w:val="clear" w:color="000000" w:fill="FABF8F"/>
            <w:vAlign w:val="center"/>
            <w:hideMark/>
          </w:tcPr>
          <w:p w14:paraId="2F9EEC70"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sidRPr="00667DFF">
              <w:rPr>
                <w:rFonts w:ascii="Arial Narrow" w:hAnsi="Arial Narrow" w:cs="Calibri"/>
                <w:color w:val="000000"/>
                <w:sz w:val="18"/>
                <w:szCs w:val="18"/>
                <w:lang w:val="es-ES" w:eastAsia="es-ES"/>
              </w:rPr>
              <w:t>20</w:t>
            </w:r>
            <w:r>
              <w:rPr>
                <w:rFonts w:ascii="Arial Narrow" w:hAnsi="Arial Narrow" w:cs="Calibri"/>
                <w:color w:val="000000"/>
                <w:sz w:val="18"/>
                <w:szCs w:val="18"/>
                <w:lang w:val="es-ES" w:eastAsia="es-ES"/>
              </w:rPr>
              <w:t>20</w:t>
            </w:r>
          </w:p>
        </w:tc>
        <w:tc>
          <w:tcPr>
            <w:tcW w:w="869" w:type="pct"/>
            <w:tcBorders>
              <w:top w:val="nil"/>
              <w:left w:val="nil"/>
              <w:bottom w:val="single" w:sz="2" w:space="0" w:color="auto"/>
              <w:right w:val="nil"/>
            </w:tcBorders>
            <w:shd w:val="clear" w:color="000000" w:fill="FABF8F"/>
            <w:vAlign w:val="center"/>
            <w:hideMark/>
          </w:tcPr>
          <w:p w14:paraId="7EE141FA" w14:textId="77777777" w:rsidR="00807992" w:rsidRPr="00667DFF" w:rsidRDefault="00807992" w:rsidP="00807992">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2021</w:t>
            </w:r>
          </w:p>
        </w:tc>
        <w:tc>
          <w:tcPr>
            <w:tcW w:w="681" w:type="pct"/>
            <w:vMerge/>
            <w:tcBorders>
              <w:top w:val="single" w:sz="4" w:space="0" w:color="auto"/>
              <w:left w:val="nil"/>
              <w:bottom w:val="single" w:sz="2" w:space="0" w:color="auto"/>
              <w:right w:val="nil"/>
            </w:tcBorders>
            <w:vAlign w:val="center"/>
            <w:hideMark/>
          </w:tcPr>
          <w:p w14:paraId="22AD03FD"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p>
        </w:tc>
        <w:tc>
          <w:tcPr>
            <w:tcW w:w="726" w:type="pct"/>
            <w:vMerge/>
            <w:tcBorders>
              <w:top w:val="single" w:sz="4" w:space="0" w:color="auto"/>
              <w:left w:val="nil"/>
              <w:bottom w:val="single" w:sz="2" w:space="0" w:color="auto"/>
              <w:right w:val="nil"/>
            </w:tcBorders>
            <w:vAlign w:val="center"/>
            <w:hideMark/>
          </w:tcPr>
          <w:p w14:paraId="627ED79A"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p>
        </w:tc>
      </w:tr>
      <w:tr w:rsidR="00807992" w:rsidRPr="00667DFF" w14:paraId="63470062" w14:textId="77777777" w:rsidTr="00D951F3">
        <w:trPr>
          <w:trHeight w:val="198"/>
        </w:trPr>
        <w:tc>
          <w:tcPr>
            <w:tcW w:w="1856" w:type="pct"/>
            <w:tcBorders>
              <w:top w:val="single" w:sz="2" w:space="0" w:color="auto"/>
              <w:left w:val="nil"/>
              <w:bottom w:val="single" w:sz="2" w:space="0" w:color="auto"/>
              <w:right w:val="nil"/>
            </w:tcBorders>
            <w:shd w:val="clear" w:color="auto" w:fill="auto"/>
            <w:vAlign w:val="center"/>
            <w:hideMark/>
          </w:tcPr>
          <w:p w14:paraId="30A0AE38"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Impuestos directos</w:t>
            </w:r>
          </w:p>
        </w:tc>
        <w:tc>
          <w:tcPr>
            <w:tcW w:w="868" w:type="pct"/>
            <w:tcBorders>
              <w:top w:val="single" w:sz="2" w:space="0" w:color="auto"/>
              <w:left w:val="nil"/>
              <w:bottom w:val="single" w:sz="2" w:space="0" w:color="auto"/>
              <w:right w:val="nil"/>
            </w:tcBorders>
            <w:shd w:val="clear" w:color="auto" w:fill="auto"/>
            <w:noWrap/>
            <w:vAlign w:val="bottom"/>
          </w:tcPr>
          <w:p w14:paraId="1F4858D6"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56.663.891</w:t>
            </w:r>
          </w:p>
        </w:tc>
        <w:tc>
          <w:tcPr>
            <w:tcW w:w="869" w:type="pct"/>
            <w:tcBorders>
              <w:top w:val="single" w:sz="2" w:space="0" w:color="auto"/>
              <w:left w:val="nil"/>
              <w:bottom w:val="single" w:sz="2" w:space="0" w:color="auto"/>
              <w:right w:val="nil"/>
            </w:tcBorders>
            <w:shd w:val="clear" w:color="auto" w:fill="auto"/>
            <w:noWrap/>
            <w:vAlign w:val="bottom"/>
          </w:tcPr>
          <w:p w14:paraId="3584CFF3"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54.259.567</w:t>
            </w:r>
          </w:p>
        </w:tc>
        <w:tc>
          <w:tcPr>
            <w:tcW w:w="681" w:type="pct"/>
            <w:tcBorders>
              <w:top w:val="single" w:sz="2" w:space="0" w:color="auto"/>
              <w:left w:val="nil"/>
              <w:bottom w:val="single" w:sz="2" w:space="0" w:color="auto"/>
              <w:right w:val="nil"/>
            </w:tcBorders>
            <w:shd w:val="clear" w:color="auto" w:fill="auto"/>
            <w:noWrap/>
            <w:vAlign w:val="bottom"/>
          </w:tcPr>
          <w:p w14:paraId="432A7EAF"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99</w:t>
            </w:r>
          </w:p>
        </w:tc>
        <w:tc>
          <w:tcPr>
            <w:tcW w:w="726" w:type="pct"/>
            <w:tcBorders>
              <w:top w:val="single" w:sz="2" w:space="0" w:color="auto"/>
              <w:left w:val="nil"/>
              <w:bottom w:val="single" w:sz="2" w:space="0" w:color="auto"/>
              <w:right w:val="nil"/>
            </w:tcBorders>
            <w:shd w:val="clear" w:color="auto" w:fill="auto"/>
            <w:noWrap/>
            <w:vAlign w:val="bottom"/>
          </w:tcPr>
          <w:p w14:paraId="504ADE82"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w:t>
            </w:r>
          </w:p>
        </w:tc>
      </w:tr>
      <w:tr w:rsidR="00807992" w:rsidRPr="00667DFF" w14:paraId="169C11C4" w14:textId="77777777" w:rsidTr="00EE2FA3">
        <w:trPr>
          <w:trHeight w:val="198"/>
        </w:trPr>
        <w:tc>
          <w:tcPr>
            <w:tcW w:w="1856" w:type="pct"/>
            <w:tcBorders>
              <w:top w:val="single" w:sz="2" w:space="0" w:color="auto"/>
              <w:left w:val="nil"/>
              <w:bottom w:val="single" w:sz="4" w:space="0" w:color="auto"/>
              <w:right w:val="nil"/>
            </w:tcBorders>
            <w:shd w:val="clear" w:color="auto" w:fill="auto"/>
            <w:vAlign w:val="center"/>
            <w:hideMark/>
          </w:tcPr>
          <w:p w14:paraId="35E6A3AB"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Impuestos indirectos</w:t>
            </w:r>
          </w:p>
        </w:tc>
        <w:tc>
          <w:tcPr>
            <w:tcW w:w="868" w:type="pct"/>
            <w:tcBorders>
              <w:top w:val="single" w:sz="2" w:space="0" w:color="auto"/>
              <w:left w:val="nil"/>
              <w:bottom w:val="single" w:sz="4" w:space="0" w:color="auto"/>
              <w:right w:val="nil"/>
            </w:tcBorders>
            <w:shd w:val="clear" w:color="auto" w:fill="auto"/>
            <w:noWrap/>
            <w:vAlign w:val="bottom"/>
          </w:tcPr>
          <w:p w14:paraId="6C219875"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8.561.516</w:t>
            </w:r>
          </w:p>
        </w:tc>
        <w:tc>
          <w:tcPr>
            <w:tcW w:w="869" w:type="pct"/>
            <w:tcBorders>
              <w:top w:val="single" w:sz="2" w:space="0" w:color="auto"/>
              <w:left w:val="nil"/>
              <w:bottom w:val="single" w:sz="4" w:space="0" w:color="auto"/>
              <w:right w:val="nil"/>
            </w:tcBorders>
            <w:shd w:val="clear" w:color="auto" w:fill="auto"/>
            <w:noWrap/>
            <w:vAlign w:val="bottom"/>
          </w:tcPr>
          <w:p w14:paraId="5FE2A954"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13.386.626</w:t>
            </w:r>
          </w:p>
        </w:tc>
        <w:tc>
          <w:tcPr>
            <w:tcW w:w="681" w:type="pct"/>
            <w:tcBorders>
              <w:top w:val="single" w:sz="2" w:space="0" w:color="auto"/>
              <w:left w:val="nil"/>
              <w:bottom w:val="single" w:sz="4" w:space="0" w:color="auto"/>
              <w:right w:val="nil"/>
            </w:tcBorders>
            <w:shd w:val="clear" w:color="auto" w:fill="auto"/>
            <w:noWrap/>
            <w:vAlign w:val="bottom"/>
          </w:tcPr>
          <w:p w14:paraId="1586D9DA"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204</w:t>
            </w:r>
          </w:p>
        </w:tc>
        <w:tc>
          <w:tcPr>
            <w:tcW w:w="726" w:type="pct"/>
            <w:tcBorders>
              <w:top w:val="single" w:sz="2" w:space="0" w:color="auto"/>
              <w:left w:val="nil"/>
              <w:bottom w:val="single" w:sz="4" w:space="0" w:color="auto"/>
              <w:right w:val="nil"/>
            </w:tcBorders>
            <w:shd w:val="clear" w:color="auto" w:fill="auto"/>
            <w:noWrap/>
            <w:vAlign w:val="bottom"/>
          </w:tcPr>
          <w:p w14:paraId="71604DF8"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56</w:t>
            </w:r>
          </w:p>
        </w:tc>
      </w:tr>
      <w:tr w:rsidR="00807992" w:rsidRPr="00667DFF" w14:paraId="6BAAD96E" w14:textId="77777777" w:rsidTr="00EE2FA3">
        <w:trPr>
          <w:trHeight w:val="198"/>
        </w:trPr>
        <w:tc>
          <w:tcPr>
            <w:tcW w:w="1856" w:type="pct"/>
            <w:tcBorders>
              <w:top w:val="single" w:sz="4" w:space="0" w:color="auto"/>
              <w:left w:val="nil"/>
              <w:bottom w:val="single" w:sz="4" w:space="0" w:color="auto"/>
              <w:right w:val="nil"/>
            </w:tcBorders>
            <w:shd w:val="clear" w:color="auto" w:fill="auto"/>
            <w:vAlign w:val="center"/>
            <w:hideMark/>
          </w:tcPr>
          <w:p w14:paraId="7C624A9D"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Tasas, precios públicos y otros ingresos</w:t>
            </w:r>
          </w:p>
        </w:tc>
        <w:tc>
          <w:tcPr>
            <w:tcW w:w="868" w:type="pct"/>
            <w:tcBorders>
              <w:top w:val="single" w:sz="4" w:space="0" w:color="auto"/>
              <w:left w:val="nil"/>
              <w:bottom w:val="single" w:sz="4" w:space="0" w:color="auto"/>
              <w:right w:val="nil"/>
            </w:tcBorders>
            <w:shd w:val="clear" w:color="auto" w:fill="auto"/>
            <w:noWrap/>
            <w:vAlign w:val="bottom"/>
          </w:tcPr>
          <w:p w14:paraId="61D57500"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32.769.230</w:t>
            </w:r>
          </w:p>
        </w:tc>
        <w:tc>
          <w:tcPr>
            <w:tcW w:w="869" w:type="pct"/>
            <w:tcBorders>
              <w:top w:val="single" w:sz="4" w:space="0" w:color="auto"/>
              <w:left w:val="nil"/>
              <w:bottom w:val="single" w:sz="4" w:space="0" w:color="auto"/>
              <w:right w:val="nil"/>
            </w:tcBorders>
            <w:shd w:val="clear" w:color="auto" w:fill="auto"/>
            <w:noWrap/>
            <w:vAlign w:val="bottom"/>
          </w:tcPr>
          <w:p w14:paraId="54F66687"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40.551.381</w:t>
            </w:r>
          </w:p>
        </w:tc>
        <w:tc>
          <w:tcPr>
            <w:tcW w:w="681" w:type="pct"/>
            <w:tcBorders>
              <w:top w:val="single" w:sz="4" w:space="0" w:color="auto"/>
              <w:left w:val="nil"/>
              <w:bottom w:val="single" w:sz="4" w:space="0" w:color="auto"/>
              <w:right w:val="nil"/>
            </w:tcBorders>
            <w:shd w:val="clear" w:color="auto" w:fill="auto"/>
            <w:noWrap/>
            <w:vAlign w:val="bottom"/>
          </w:tcPr>
          <w:p w14:paraId="0BC8279B"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143</w:t>
            </w:r>
          </w:p>
        </w:tc>
        <w:tc>
          <w:tcPr>
            <w:tcW w:w="726" w:type="pct"/>
            <w:tcBorders>
              <w:top w:val="single" w:sz="4" w:space="0" w:color="auto"/>
              <w:left w:val="nil"/>
              <w:bottom w:val="single" w:sz="4" w:space="0" w:color="auto"/>
              <w:right w:val="nil"/>
            </w:tcBorders>
            <w:shd w:val="clear" w:color="auto" w:fill="auto"/>
            <w:noWrap/>
            <w:vAlign w:val="bottom"/>
          </w:tcPr>
          <w:p w14:paraId="18A421A1"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24</w:t>
            </w:r>
          </w:p>
        </w:tc>
      </w:tr>
    </w:tbl>
    <w:p w14:paraId="146436CB" w14:textId="77777777" w:rsidR="00BE1093" w:rsidRDefault="00BE1093" w:rsidP="00BE1093">
      <w:pPr>
        <w:spacing w:after="0"/>
        <w:ind w:firstLine="0"/>
        <w:jc w:val="left"/>
        <w:rPr>
          <w:rFonts w:ascii="Arial" w:hAnsi="Arial"/>
          <w:i/>
          <w:iCs/>
          <w:color w:val="000000"/>
          <w:spacing w:val="10"/>
          <w:kern w:val="28"/>
          <w:sz w:val="24"/>
          <w:szCs w:val="24"/>
        </w:rPr>
      </w:pPr>
    </w:p>
    <w:p w14:paraId="6396B787" w14:textId="77777777" w:rsidR="006435CB" w:rsidRDefault="006435CB">
      <w:pPr>
        <w:spacing w:after="0"/>
        <w:ind w:firstLine="0"/>
        <w:jc w:val="left"/>
        <w:rPr>
          <w:rFonts w:ascii="Arial" w:hAnsi="Arial"/>
          <w:i/>
          <w:iCs/>
          <w:color w:val="000000"/>
          <w:spacing w:val="10"/>
          <w:kern w:val="28"/>
          <w:sz w:val="24"/>
          <w:szCs w:val="24"/>
        </w:rPr>
      </w:pPr>
      <w:r>
        <w:rPr>
          <w:rFonts w:ascii="Arial" w:hAnsi="Arial"/>
          <w:i/>
          <w:iCs/>
          <w:color w:val="000000"/>
          <w:spacing w:val="10"/>
          <w:kern w:val="28"/>
          <w:sz w:val="24"/>
          <w:szCs w:val="24"/>
        </w:rPr>
        <w:br w:type="page"/>
      </w:r>
    </w:p>
    <w:p w14:paraId="280B8F36" w14:textId="77777777" w:rsidR="00807992" w:rsidRDefault="00807992" w:rsidP="00BE1093">
      <w:pPr>
        <w:spacing w:after="0"/>
        <w:ind w:firstLine="0"/>
        <w:jc w:val="left"/>
        <w:rPr>
          <w:rFonts w:ascii="Arial" w:hAnsi="Arial"/>
          <w:i/>
          <w:iCs/>
          <w:color w:val="000000"/>
          <w:spacing w:val="10"/>
          <w:kern w:val="28"/>
          <w:sz w:val="24"/>
          <w:szCs w:val="24"/>
        </w:rPr>
      </w:pPr>
      <w:r w:rsidRPr="00667DFF">
        <w:rPr>
          <w:rFonts w:ascii="Arial" w:hAnsi="Arial"/>
          <w:i/>
          <w:iCs/>
          <w:color w:val="000000"/>
          <w:spacing w:val="10"/>
          <w:kern w:val="28"/>
          <w:sz w:val="24"/>
          <w:szCs w:val="24"/>
        </w:rPr>
        <w:lastRenderedPageBreak/>
        <w:t>Impuestos</w:t>
      </w:r>
    </w:p>
    <w:p w14:paraId="5E81C3F0" w14:textId="77777777" w:rsidR="006435CB" w:rsidRPr="00667DFF" w:rsidRDefault="006435CB" w:rsidP="00BE1093">
      <w:pPr>
        <w:spacing w:after="0"/>
        <w:ind w:firstLine="0"/>
        <w:jc w:val="left"/>
        <w:rPr>
          <w:rFonts w:ascii="Arial" w:hAnsi="Arial"/>
          <w:i/>
          <w:iCs/>
          <w:color w:val="000000"/>
          <w:spacing w:val="10"/>
          <w:kern w:val="28"/>
          <w:sz w:val="24"/>
          <w:szCs w:val="24"/>
        </w:rPr>
      </w:pPr>
    </w:p>
    <w:p w14:paraId="3346A64E" w14:textId="77777777" w:rsidR="00807992" w:rsidRPr="00667DFF" w:rsidRDefault="00807992" w:rsidP="00807992">
      <w:pPr>
        <w:tabs>
          <w:tab w:val="left" w:pos="708"/>
          <w:tab w:val="center" w:pos="2835"/>
          <w:tab w:val="center" w:pos="3969"/>
          <w:tab w:val="center" w:pos="5103"/>
          <w:tab w:val="center" w:pos="6237"/>
          <w:tab w:val="center" w:pos="7371"/>
        </w:tabs>
        <w:spacing w:after="220"/>
        <w:ind w:firstLine="284"/>
        <w:rPr>
          <w:spacing w:val="6"/>
          <w:sz w:val="26"/>
          <w:szCs w:val="26"/>
        </w:rPr>
      </w:pPr>
      <w:r>
        <w:rPr>
          <w:spacing w:val="6"/>
          <w:sz w:val="26"/>
          <w:szCs w:val="26"/>
        </w:rPr>
        <w:t>L</w:t>
      </w:r>
      <w:r w:rsidR="003D644A">
        <w:rPr>
          <w:spacing w:val="6"/>
          <w:sz w:val="26"/>
          <w:szCs w:val="26"/>
        </w:rPr>
        <w:t xml:space="preserve">os impuestos representan el 29 </w:t>
      </w:r>
      <w:r w:rsidRPr="00667DFF">
        <w:rPr>
          <w:spacing w:val="6"/>
          <w:sz w:val="26"/>
          <w:szCs w:val="26"/>
        </w:rPr>
        <w:t>por ciento del total de ingresos municipales y corresponden a:</w:t>
      </w:r>
    </w:p>
    <w:tbl>
      <w:tblPr>
        <w:tblW w:w="5000" w:type="pct"/>
        <w:tblCellMar>
          <w:left w:w="70" w:type="dxa"/>
          <w:right w:w="70" w:type="dxa"/>
        </w:tblCellMar>
        <w:tblLook w:val="04A0" w:firstRow="1" w:lastRow="0" w:firstColumn="1" w:lastColumn="0" w:noHBand="0" w:noVBand="1"/>
      </w:tblPr>
      <w:tblGrid>
        <w:gridCol w:w="5165"/>
        <w:gridCol w:w="1281"/>
        <w:gridCol w:w="1160"/>
        <w:gridCol w:w="1183"/>
      </w:tblGrid>
      <w:tr w:rsidR="00807992" w:rsidRPr="00667DFF" w14:paraId="6704DD73" w14:textId="77777777" w:rsidTr="007E5CC4">
        <w:trPr>
          <w:trHeight w:val="255"/>
        </w:trPr>
        <w:tc>
          <w:tcPr>
            <w:tcW w:w="2938" w:type="pct"/>
            <w:tcBorders>
              <w:top w:val="single" w:sz="4" w:space="0" w:color="auto"/>
              <w:left w:val="nil"/>
              <w:bottom w:val="single" w:sz="4" w:space="0" w:color="auto"/>
              <w:right w:val="nil"/>
            </w:tcBorders>
            <w:shd w:val="clear" w:color="000000" w:fill="FABF8F"/>
            <w:vAlign w:val="center"/>
            <w:hideMark/>
          </w:tcPr>
          <w:p w14:paraId="3866C931" w14:textId="77777777" w:rsidR="00807992" w:rsidRPr="00667DFF" w:rsidRDefault="00807992" w:rsidP="00807992">
            <w:pPr>
              <w:spacing w:after="0"/>
              <w:ind w:firstLine="0"/>
              <w:jc w:val="left"/>
              <w:rPr>
                <w:rFonts w:ascii="Arial" w:hAnsi="Arial" w:cs="Arial"/>
                <w:color w:val="000000"/>
                <w:sz w:val="18"/>
                <w:szCs w:val="18"/>
                <w:lang w:val="es-ES" w:eastAsia="es-ES"/>
              </w:rPr>
            </w:pPr>
            <w:r w:rsidRPr="00667DFF">
              <w:rPr>
                <w:rFonts w:ascii="Arial" w:hAnsi="Arial" w:cs="Arial"/>
                <w:color w:val="000000"/>
                <w:sz w:val="18"/>
                <w:szCs w:val="18"/>
                <w:lang w:val="es-ES" w:eastAsia="es-ES"/>
              </w:rPr>
              <w:t>Concepto</w:t>
            </w:r>
          </w:p>
        </w:tc>
        <w:tc>
          <w:tcPr>
            <w:tcW w:w="729" w:type="pct"/>
            <w:tcBorders>
              <w:top w:val="single" w:sz="4" w:space="0" w:color="auto"/>
              <w:left w:val="nil"/>
              <w:bottom w:val="single" w:sz="4" w:space="0" w:color="auto"/>
              <w:right w:val="nil"/>
            </w:tcBorders>
            <w:shd w:val="clear" w:color="000000" w:fill="FABF8F"/>
            <w:vAlign w:val="center"/>
            <w:hideMark/>
          </w:tcPr>
          <w:p w14:paraId="5A4121E2" w14:textId="77777777" w:rsidR="00807992" w:rsidRPr="00667DFF" w:rsidRDefault="00807992" w:rsidP="00BF76EE">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DRN</w:t>
            </w:r>
          </w:p>
        </w:tc>
        <w:tc>
          <w:tcPr>
            <w:tcW w:w="660" w:type="pct"/>
            <w:tcBorders>
              <w:top w:val="single" w:sz="4" w:space="0" w:color="auto"/>
              <w:left w:val="nil"/>
              <w:bottom w:val="single" w:sz="4" w:space="0" w:color="auto"/>
              <w:right w:val="nil"/>
            </w:tcBorders>
            <w:shd w:val="clear" w:color="000000" w:fill="FABF8F"/>
            <w:vAlign w:val="center"/>
            <w:hideMark/>
          </w:tcPr>
          <w:p w14:paraId="0FBDC714" w14:textId="77777777" w:rsidR="00807992" w:rsidRDefault="00807992" w:rsidP="00BF76EE">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 xml:space="preserve">% s/ </w:t>
            </w:r>
            <w:r>
              <w:rPr>
                <w:rFonts w:ascii="Arial" w:hAnsi="Arial" w:cs="Arial"/>
                <w:color w:val="000000"/>
                <w:sz w:val="18"/>
                <w:szCs w:val="18"/>
                <w:lang w:val="es-ES" w:eastAsia="es-ES"/>
              </w:rPr>
              <w:t>T</w:t>
            </w:r>
            <w:r w:rsidRPr="00667DFF">
              <w:rPr>
                <w:rFonts w:ascii="Arial" w:hAnsi="Arial" w:cs="Arial"/>
                <w:color w:val="000000"/>
                <w:sz w:val="18"/>
                <w:szCs w:val="18"/>
                <w:lang w:val="es-ES" w:eastAsia="es-ES"/>
              </w:rPr>
              <w:t>otal</w:t>
            </w:r>
          </w:p>
          <w:p w14:paraId="7E8AF3EC" w14:textId="77777777" w:rsidR="00807992" w:rsidRPr="00667DFF" w:rsidRDefault="00807992" w:rsidP="00BF76EE">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DRN</w:t>
            </w:r>
          </w:p>
        </w:tc>
        <w:tc>
          <w:tcPr>
            <w:tcW w:w="673" w:type="pct"/>
            <w:tcBorders>
              <w:top w:val="single" w:sz="4" w:space="0" w:color="auto"/>
              <w:left w:val="nil"/>
              <w:bottom w:val="single" w:sz="4" w:space="0" w:color="auto"/>
              <w:right w:val="nil"/>
            </w:tcBorders>
            <w:shd w:val="clear" w:color="000000" w:fill="FABF8F"/>
            <w:vAlign w:val="center"/>
            <w:hideMark/>
          </w:tcPr>
          <w:p w14:paraId="33BCA4A3" w14:textId="77777777" w:rsidR="00807992" w:rsidRPr="00667DFF" w:rsidRDefault="00807992" w:rsidP="00BF76EE">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 xml:space="preserve">% Variación </w:t>
            </w:r>
            <w:r>
              <w:rPr>
                <w:rFonts w:ascii="Arial" w:hAnsi="Arial" w:cs="Arial"/>
                <w:color w:val="000000"/>
                <w:sz w:val="18"/>
                <w:szCs w:val="18"/>
                <w:lang w:val="es-ES" w:eastAsia="es-ES"/>
              </w:rPr>
              <w:t>2021</w:t>
            </w:r>
            <w:r w:rsidRPr="00667DFF">
              <w:rPr>
                <w:rFonts w:ascii="Arial" w:hAnsi="Arial" w:cs="Arial"/>
                <w:color w:val="000000"/>
                <w:sz w:val="18"/>
                <w:szCs w:val="18"/>
                <w:lang w:val="es-ES" w:eastAsia="es-ES"/>
              </w:rPr>
              <w:t>/20</w:t>
            </w:r>
            <w:r>
              <w:rPr>
                <w:rFonts w:ascii="Arial" w:hAnsi="Arial" w:cs="Arial"/>
                <w:color w:val="000000"/>
                <w:sz w:val="18"/>
                <w:szCs w:val="18"/>
                <w:lang w:val="es-ES" w:eastAsia="es-ES"/>
              </w:rPr>
              <w:t>20</w:t>
            </w:r>
          </w:p>
        </w:tc>
      </w:tr>
      <w:tr w:rsidR="00807992" w:rsidRPr="00667DFF" w14:paraId="4C0565F9" w14:textId="77777777" w:rsidTr="007E5CC4">
        <w:trPr>
          <w:trHeight w:val="198"/>
        </w:trPr>
        <w:tc>
          <w:tcPr>
            <w:tcW w:w="2938" w:type="pct"/>
            <w:tcBorders>
              <w:top w:val="single" w:sz="4" w:space="0" w:color="auto"/>
              <w:left w:val="nil"/>
              <w:bottom w:val="single" w:sz="2" w:space="0" w:color="auto"/>
              <w:right w:val="nil"/>
            </w:tcBorders>
            <w:shd w:val="clear" w:color="auto" w:fill="auto"/>
            <w:vAlign w:val="center"/>
            <w:hideMark/>
          </w:tcPr>
          <w:p w14:paraId="40B0759F" w14:textId="77777777" w:rsidR="00807992" w:rsidRPr="00667DFF" w:rsidRDefault="00807992" w:rsidP="00807992">
            <w:pPr>
              <w:spacing w:after="0"/>
              <w:ind w:firstLine="0"/>
              <w:jc w:val="left"/>
              <w:rPr>
                <w:rFonts w:ascii="Arial Narrow" w:hAnsi="Arial Narrow" w:cs="Calibri"/>
                <w:b/>
                <w:bCs/>
                <w:i/>
                <w:color w:val="000000"/>
                <w:lang w:val="es-ES" w:eastAsia="es-ES"/>
              </w:rPr>
            </w:pPr>
            <w:r w:rsidRPr="00667DFF">
              <w:rPr>
                <w:rFonts w:ascii="Arial Narrow" w:hAnsi="Arial Narrow" w:cs="Calibri"/>
                <w:b/>
                <w:bCs/>
                <w:i/>
                <w:color w:val="000000"/>
                <w:lang w:val="es-ES" w:eastAsia="es-ES"/>
              </w:rPr>
              <w:t>Impuestos directos</w:t>
            </w:r>
          </w:p>
        </w:tc>
        <w:tc>
          <w:tcPr>
            <w:tcW w:w="729" w:type="pct"/>
            <w:tcBorders>
              <w:top w:val="single" w:sz="4" w:space="0" w:color="auto"/>
              <w:left w:val="nil"/>
              <w:bottom w:val="single" w:sz="2" w:space="0" w:color="auto"/>
              <w:right w:val="nil"/>
            </w:tcBorders>
            <w:shd w:val="clear" w:color="auto" w:fill="auto"/>
            <w:noWrap/>
            <w:vAlign w:val="bottom"/>
          </w:tcPr>
          <w:p w14:paraId="4C9D1D5E" w14:textId="77777777" w:rsidR="00807992" w:rsidRPr="00667DFF" w:rsidRDefault="00807992" w:rsidP="00807992">
            <w:pPr>
              <w:spacing w:after="0"/>
              <w:ind w:firstLine="0"/>
              <w:jc w:val="right"/>
              <w:rPr>
                <w:rFonts w:ascii="Arial Narrow" w:hAnsi="Arial Narrow" w:cs="Calibri"/>
                <w:b/>
                <w:bCs/>
                <w:i/>
                <w:color w:val="000000"/>
                <w:lang w:val="es-ES" w:eastAsia="es-ES"/>
              </w:rPr>
            </w:pPr>
            <w:r>
              <w:rPr>
                <w:rFonts w:ascii="Arial Narrow" w:hAnsi="Arial Narrow" w:cs="Calibri"/>
                <w:b/>
                <w:bCs/>
                <w:i/>
                <w:color w:val="000000"/>
                <w:lang w:val="es-ES" w:eastAsia="es-ES"/>
              </w:rPr>
              <w:t>54.259.567</w:t>
            </w:r>
          </w:p>
        </w:tc>
        <w:tc>
          <w:tcPr>
            <w:tcW w:w="660" w:type="pct"/>
            <w:tcBorders>
              <w:top w:val="single" w:sz="4" w:space="0" w:color="auto"/>
              <w:left w:val="nil"/>
              <w:bottom w:val="single" w:sz="2" w:space="0" w:color="auto"/>
              <w:right w:val="nil"/>
            </w:tcBorders>
            <w:shd w:val="clear" w:color="auto" w:fill="auto"/>
            <w:noWrap/>
            <w:vAlign w:val="bottom"/>
          </w:tcPr>
          <w:p w14:paraId="427C795D" w14:textId="77777777" w:rsidR="00807992" w:rsidRPr="00667DFF" w:rsidRDefault="00807992" w:rsidP="00807992">
            <w:pPr>
              <w:spacing w:after="0"/>
              <w:ind w:firstLine="0"/>
              <w:jc w:val="right"/>
              <w:rPr>
                <w:rFonts w:ascii="Arial Narrow" w:hAnsi="Arial Narrow" w:cs="Calibri"/>
                <w:b/>
                <w:bCs/>
                <w:i/>
                <w:color w:val="000000"/>
                <w:lang w:val="es-ES" w:eastAsia="es-ES"/>
              </w:rPr>
            </w:pPr>
            <w:r>
              <w:rPr>
                <w:rFonts w:ascii="Arial Narrow" w:hAnsi="Arial Narrow" w:cs="Calibri"/>
                <w:b/>
                <w:bCs/>
                <w:i/>
                <w:color w:val="000000"/>
                <w:lang w:val="es-ES" w:eastAsia="es-ES"/>
              </w:rPr>
              <w:t>24</w:t>
            </w:r>
          </w:p>
        </w:tc>
        <w:tc>
          <w:tcPr>
            <w:tcW w:w="673" w:type="pct"/>
            <w:tcBorders>
              <w:top w:val="single" w:sz="4" w:space="0" w:color="auto"/>
              <w:left w:val="nil"/>
              <w:bottom w:val="single" w:sz="2" w:space="0" w:color="auto"/>
              <w:right w:val="nil"/>
            </w:tcBorders>
            <w:shd w:val="clear" w:color="auto" w:fill="auto"/>
            <w:noWrap/>
            <w:vAlign w:val="bottom"/>
          </w:tcPr>
          <w:p w14:paraId="3C48B2F0" w14:textId="77777777" w:rsidR="00807992" w:rsidRPr="00667DFF" w:rsidRDefault="00807992" w:rsidP="00807992">
            <w:pPr>
              <w:spacing w:after="0"/>
              <w:ind w:firstLine="0"/>
              <w:jc w:val="right"/>
              <w:rPr>
                <w:rFonts w:ascii="Arial Narrow" w:hAnsi="Arial Narrow" w:cs="Calibri"/>
                <w:b/>
                <w:bCs/>
                <w:i/>
                <w:color w:val="000000"/>
                <w:lang w:val="es-ES" w:eastAsia="es-ES"/>
              </w:rPr>
            </w:pPr>
            <w:r>
              <w:rPr>
                <w:rFonts w:ascii="Arial Narrow" w:hAnsi="Arial Narrow" w:cs="Calibri"/>
                <w:b/>
                <w:bCs/>
                <w:i/>
                <w:color w:val="000000"/>
                <w:lang w:val="es-ES" w:eastAsia="es-ES"/>
              </w:rPr>
              <w:t>-4</w:t>
            </w:r>
          </w:p>
        </w:tc>
      </w:tr>
      <w:tr w:rsidR="00807992" w:rsidRPr="00667DFF" w14:paraId="324D6DA6" w14:textId="77777777" w:rsidTr="00CE26B4">
        <w:trPr>
          <w:trHeight w:val="198"/>
        </w:trPr>
        <w:tc>
          <w:tcPr>
            <w:tcW w:w="2938" w:type="pct"/>
            <w:tcBorders>
              <w:top w:val="single" w:sz="2" w:space="0" w:color="auto"/>
              <w:left w:val="nil"/>
              <w:bottom w:val="single" w:sz="2" w:space="0" w:color="auto"/>
              <w:right w:val="nil"/>
            </w:tcBorders>
            <w:shd w:val="clear" w:color="auto" w:fill="auto"/>
            <w:noWrap/>
            <w:vAlign w:val="center"/>
            <w:hideMark/>
          </w:tcPr>
          <w:p w14:paraId="0625D18F"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 xml:space="preserve">Contribución territorial </w:t>
            </w:r>
          </w:p>
        </w:tc>
        <w:tc>
          <w:tcPr>
            <w:tcW w:w="729" w:type="pct"/>
            <w:tcBorders>
              <w:top w:val="single" w:sz="2" w:space="0" w:color="auto"/>
              <w:left w:val="nil"/>
              <w:bottom w:val="single" w:sz="2" w:space="0" w:color="auto"/>
              <w:right w:val="nil"/>
            </w:tcBorders>
            <w:shd w:val="clear" w:color="auto" w:fill="auto"/>
            <w:noWrap/>
            <w:vAlign w:val="bottom"/>
          </w:tcPr>
          <w:p w14:paraId="73E51517"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30.115.911</w:t>
            </w:r>
          </w:p>
        </w:tc>
        <w:tc>
          <w:tcPr>
            <w:tcW w:w="660" w:type="pct"/>
            <w:tcBorders>
              <w:top w:val="single" w:sz="2" w:space="0" w:color="auto"/>
              <w:left w:val="nil"/>
              <w:bottom w:val="single" w:sz="2" w:space="0" w:color="auto"/>
              <w:right w:val="nil"/>
            </w:tcBorders>
            <w:shd w:val="clear" w:color="auto" w:fill="auto"/>
            <w:noWrap/>
            <w:vAlign w:val="bottom"/>
          </w:tcPr>
          <w:p w14:paraId="366711C3"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13</w:t>
            </w:r>
          </w:p>
        </w:tc>
        <w:tc>
          <w:tcPr>
            <w:tcW w:w="673" w:type="pct"/>
            <w:tcBorders>
              <w:top w:val="single" w:sz="2" w:space="0" w:color="auto"/>
              <w:left w:val="nil"/>
              <w:bottom w:val="single" w:sz="2" w:space="0" w:color="auto"/>
              <w:right w:val="nil"/>
            </w:tcBorders>
            <w:shd w:val="clear" w:color="auto" w:fill="auto"/>
            <w:noWrap/>
            <w:vAlign w:val="bottom"/>
          </w:tcPr>
          <w:p w14:paraId="2B2129CD"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r>
      <w:tr w:rsidR="00807992" w:rsidRPr="00667DFF" w14:paraId="3F8A7323" w14:textId="77777777" w:rsidTr="00CE26B4">
        <w:trPr>
          <w:trHeight w:val="198"/>
        </w:trPr>
        <w:tc>
          <w:tcPr>
            <w:tcW w:w="2938" w:type="pct"/>
            <w:tcBorders>
              <w:top w:val="single" w:sz="2" w:space="0" w:color="auto"/>
              <w:left w:val="nil"/>
              <w:bottom w:val="single" w:sz="2" w:space="0" w:color="auto"/>
              <w:right w:val="nil"/>
            </w:tcBorders>
            <w:shd w:val="clear" w:color="auto" w:fill="auto"/>
            <w:noWrap/>
            <w:vAlign w:val="center"/>
            <w:hideMark/>
          </w:tcPr>
          <w:p w14:paraId="5F743A6A"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Impuestos sobre vehículos de tracción mecánica</w:t>
            </w:r>
          </w:p>
        </w:tc>
        <w:tc>
          <w:tcPr>
            <w:tcW w:w="729" w:type="pct"/>
            <w:tcBorders>
              <w:top w:val="single" w:sz="2" w:space="0" w:color="auto"/>
              <w:left w:val="nil"/>
              <w:bottom w:val="single" w:sz="2" w:space="0" w:color="auto"/>
              <w:right w:val="nil"/>
            </w:tcBorders>
            <w:shd w:val="clear" w:color="auto" w:fill="auto"/>
            <w:noWrap/>
            <w:vAlign w:val="bottom"/>
          </w:tcPr>
          <w:p w14:paraId="08F1EECB"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10.186.130</w:t>
            </w:r>
          </w:p>
        </w:tc>
        <w:tc>
          <w:tcPr>
            <w:tcW w:w="660" w:type="pct"/>
            <w:tcBorders>
              <w:top w:val="single" w:sz="2" w:space="0" w:color="auto"/>
              <w:left w:val="nil"/>
              <w:bottom w:val="single" w:sz="2" w:space="0" w:color="auto"/>
              <w:right w:val="nil"/>
            </w:tcBorders>
            <w:shd w:val="clear" w:color="auto" w:fill="auto"/>
            <w:noWrap/>
            <w:vAlign w:val="bottom"/>
          </w:tcPr>
          <w:p w14:paraId="4462A601"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w:t>
            </w:r>
          </w:p>
        </w:tc>
        <w:tc>
          <w:tcPr>
            <w:tcW w:w="673" w:type="pct"/>
            <w:tcBorders>
              <w:top w:val="single" w:sz="2" w:space="0" w:color="auto"/>
              <w:left w:val="nil"/>
              <w:bottom w:val="single" w:sz="2" w:space="0" w:color="auto"/>
              <w:right w:val="nil"/>
            </w:tcBorders>
            <w:shd w:val="clear" w:color="auto" w:fill="auto"/>
            <w:noWrap/>
            <w:vAlign w:val="bottom"/>
          </w:tcPr>
          <w:p w14:paraId="1787606A"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w:t>
            </w:r>
          </w:p>
        </w:tc>
      </w:tr>
      <w:tr w:rsidR="00807992" w:rsidRPr="00667DFF" w14:paraId="4D4A50DB" w14:textId="77777777" w:rsidTr="00CE26B4">
        <w:trPr>
          <w:trHeight w:val="198"/>
        </w:trPr>
        <w:tc>
          <w:tcPr>
            <w:tcW w:w="2938" w:type="pct"/>
            <w:tcBorders>
              <w:top w:val="single" w:sz="2" w:space="0" w:color="auto"/>
              <w:left w:val="nil"/>
              <w:bottom w:val="single" w:sz="2" w:space="0" w:color="auto"/>
              <w:right w:val="nil"/>
            </w:tcBorders>
            <w:shd w:val="clear" w:color="auto" w:fill="auto"/>
            <w:noWrap/>
            <w:vAlign w:val="center"/>
            <w:hideMark/>
          </w:tcPr>
          <w:p w14:paraId="3D6FDB22"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Impuesto incremento del valor terrenos naturaleza urbana</w:t>
            </w:r>
          </w:p>
        </w:tc>
        <w:tc>
          <w:tcPr>
            <w:tcW w:w="729" w:type="pct"/>
            <w:tcBorders>
              <w:top w:val="single" w:sz="2" w:space="0" w:color="auto"/>
              <w:left w:val="nil"/>
              <w:bottom w:val="single" w:sz="2" w:space="0" w:color="auto"/>
              <w:right w:val="nil"/>
            </w:tcBorders>
            <w:shd w:val="clear" w:color="auto" w:fill="auto"/>
            <w:noWrap/>
            <w:vAlign w:val="bottom"/>
          </w:tcPr>
          <w:p w14:paraId="073683E4"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5.803.854</w:t>
            </w:r>
          </w:p>
        </w:tc>
        <w:tc>
          <w:tcPr>
            <w:tcW w:w="660" w:type="pct"/>
            <w:tcBorders>
              <w:top w:val="single" w:sz="2" w:space="0" w:color="auto"/>
              <w:left w:val="nil"/>
              <w:bottom w:val="single" w:sz="2" w:space="0" w:color="auto"/>
              <w:right w:val="nil"/>
            </w:tcBorders>
            <w:shd w:val="clear" w:color="auto" w:fill="auto"/>
            <w:noWrap/>
            <w:vAlign w:val="bottom"/>
          </w:tcPr>
          <w:p w14:paraId="516E81D1"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3</w:t>
            </w:r>
          </w:p>
        </w:tc>
        <w:tc>
          <w:tcPr>
            <w:tcW w:w="673" w:type="pct"/>
            <w:tcBorders>
              <w:top w:val="single" w:sz="2" w:space="0" w:color="auto"/>
              <w:left w:val="nil"/>
              <w:bottom w:val="single" w:sz="2" w:space="0" w:color="auto"/>
              <w:right w:val="nil"/>
            </w:tcBorders>
            <w:shd w:val="clear" w:color="auto" w:fill="auto"/>
            <w:noWrap/>
            <w:vAlign w:val="bottom"/>
          </w:tcPr>
          <w:p w14:paraId="17770D6A"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-22</w:t>
            </w:r>
          </w:p>
        </w:tc>
      </w:tr>
      <w:tr w:rsidR="00807992" w:rsidRPr="00667DFF" w14:paraId="3A6CBB59" w14:textId="77777777" w:rsidTr="00CE26B4">
        <w:trPr>
          <w:trHeight w:val="198"/>
        </w:trPr>
        <w:tc>
          <w:tcPr>
            <w:tcW w:w="2938" w:type="pct"/>
            <w:tcBorders>
              <w:top w:val="single" w:sz="2" w:space="0" w:color="auto"/>
              <w:left w:val="nil"/>
              <w:bottom w:val="single" w:sz="2" w:space="0" w:color="auto"/>
              <w:right w:val="nil"/>
            </w:tcBorders>
            <w:shd w:val="clear" w:color="auto" w:fill="auto"/>
            <w:noWrap/>
            <w:vAlign w:val="center"/>
            <w:hideMark/>
          </w:tcPr>
          <w:p w14:paraId="370CC7FD"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Im</w:t>
            </w:r>
            <w:r>
              <w:rPr>
                <w:rFonts w:ascii="Arial Narrow" w:hAnsi="Arial Narrow" w:cs="Calibri"/>
                <w:color w:val="000000"/>
                <w:lang w:val="es-ES" w:eastAsia="es-ES"/>
              </w:rPr>
              <w:t>puesto Actividades Económicas</w:t>
            </w:r>
          </w:p>
        </w:tc>
        <w:tc>
          <w:tcPr>
            <w:tcW w:w="729" w:type="pct"/>
            <w:tcBorders>
              <w:top w:val="single" w:sz="2" w:space="0" w:color="auto"/>
              <w:left w:val="nil"/>
              <w:bottom w:val="single" w:sz="2" w:space="0" w:color="auto"/>
              <w:right w:val="nil"/>
            </w:tcBorders>
            <w:shd w:val="clear" w:color="auto" w:fill="auto"/>
            <w:noWrap/>
            <w:vAlign w:val="bottom"/>
          </w:tcPr>
          <w:p w14:paraId="0060F401"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8.138.601</w:t>
            </w:r>
          </w:p>
        </w:tc>
        <w:tc>
          <w:tcPr>
            <w:tcW w:w="660" w:type="pct"/>
            <w:tcBorders>
              <w:top w:val="single" w:sz="2" w:space="0" w:color="auto"/>
              <w:left w:val="nil"/>
              <w:bottom w:val="single" w:sz="2" w:space="0" w:color="auto"/>
              <w:right w:val="nil"/>
            </w:tcBorders>
            <w:shd w:val="clear" w:color="auto" w:fill="auto"/>
            <w:noWrap/>
            <w:vAlign w:val="bottom"/>
          </w:tcPr>
          <w:p w14:paraId="227D7B98"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w:t>
            </w:r>
          </w:p>
        </w:tc>
        <w:tc>
          <w:tcPr>
            <w:tcW w:w="673" w:type="pct"/>
            <w:tcBorders>
              <w:top w:val="single" w:sz="2" w:space="0" w:color="auto"/>
              <w:left w:val="nil"/>
              <w:bottom w:val="single" w:sz="2" w:space="0" w:color="auto"/>
              <w:right w:val="nil"/>
            </w:tcBorders>
            <w:shd w:val="clear" w:color="auto" w:fill="auto"/>
            <w:noWrap/>
            <w:vAlign w:val="bottom"/>
          </w:tcPr>
          <w:p w14:paraId="42FB36A9"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-9</w:t>
            </w:r>
          </w:p>
        </w:tc>
      </w:tr>
      <w:tr w:rsidR="00807992" w:rsidRPr="00667DFF" w14:paraId="31B34448" w14:textId="77777777" w:rsidTr="00CE26B4">
        <w:trPr>
          <w:trHeight w:val="198"/>
        </w:trPr>
        <w:tc>
          <w:tcPr>
            <w:tcW w:w="2938" w:type="pct"/>
            <w:tcBorders>
              <w:top w:val="single" w:sz="2" w:space="0" w:color="auto"/>
              <w:left w:val="nil"/>
              <w:bottom w:val="single" w:sz="2" w:space="0" w:color="auto"/>
              <w:right w:val="nil"/>
            </w:tcBorders>
            <w:shd w:val="clear" w:color="auto" w:fill="auto"/>
            <w:noWrap/>
            <w:vAlign w:val="center"/>
            <w:hideMark/>
          </w:tcPr>
          <w:p w14:paraId="785C29E2" w14:textId="77777777" w:rsidR="00807992" w:rsidRPr="00667DFF" w:rsidRDefault="00807992" w:rsidP="0080799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Impuesto sobre g</w:t>
            </w:r>
            <w:r w:rsidRPr="00667DFF">
              <w:rPr>
                <w:rFonts w:ascii="Arial Narrow" w:hAnsi="Arial Narrow" w:cs="Calibri"/>
                <w:color w:val="000000"/>
                <w:lang w:val="es-ES" w:eastAsia="es-ES"/>
              </w:rPr>
              <w:t xml:space="preserve">astos </w:t>
            </w:r>
            <w:r>
              <w:rPr>
                <w:rFonts w:ascii="Arial Narrow" w:hAnsi="Arial Narrow" w:cs="Calibri"/>
                <w:color w:val="000000"/>
                <w:lang w:val="es-ES" w:eastAsia="es-ES"/>
              </w:rPr>
              <w:t>s</w:t>
            </w:r>
            <w:r w:rsidRPr="00667DFF">
              <w:rPr>
                <w:rFonts w:ascii="Arial Narrow" w:hAnsi="Arial Narrow" w:cs="Calibri"/>
                <w:color w:val="000000"/>
                <w:lang w:val="es-ES" w:eastAsia="es-ES"/>
              </w:rPr>
              <w:t>untuarios (premios en el bingo)</w:t>
            </w:r>
          </w:p>
        </w:tc>
        <w:tc>
          <w:tcPr>
            <w:tcW w:w="729" w:type="pct"/>
            <w:tcBorders>
              <w:top w:val="single" w:sz="2" w:space="0" w:color="auto"/>
              <w:left w:val="nil"/>
              <w:bottom w:val="single" w:sz="2" w:space="0" w:color="auto"/>
              <w:right w:val="nil"/>
            </w:tcBorders>
            <w:shd w:val="clear" w:color="auto" w:fill="auto"/>
            <w:noWrap/>
            <w:vAlign w:val="bottom"/>
          </w:tcPr>
          <w:p w14:paraId="02BFBA2B"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15.070</w:t>
            </w:r>
          </w:p>
        </w:tc>
        <w:tc>
          <w:tcPr>
            <w:tcW w:w="660" w:type="pct"/>
            <w:tcBorders>
              <w:top w:val="single" w:sz="2" w:space="0" w:color="auto"/>
              <w:left w:val="nil"/>
              <w:bottom w:val="single" w:sz="2" w:space="0" w:color="auto"/>
              <w:right w:val="nil"/>
            </w:tcBorders>
            <w:shd w:val="clear" w:color="auto" w:fill="auto"/>
            <w:noWrap/>
            <w:vAlign w:val="bottom"/>
          </w:tcPr>
          <w:p w14:paraId="1055A8DD"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673" w:type="pct"/>
            <w:tcBorders>
              <w:top w:val="single" w:sz="2" w:space="0" w:color="auto"/>
              <w:left w:val="nil"/>
              <w:bottom w:val="single" w:sz="2" w:space="0" w:color="auto"/>
              <w:right w:val="nil"/>
            </w:tcBorders>
            <w:shd w:val="clear" w:color="auto" w:fill="auto"/>
            <w:noWrap/>
            <w:vAlign w:val="bottom"/>
          </w:tcPr>
          <w:p w14:paraId="413BE454"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-96</w:t>
            </w:r>
          </w:p>
        </w:tc>
      </w:tr>
      <w:tr w:rsidR="00807992" w:rsidRPr="00667DFF" w14:paraId="4EF8CE7E" w14:textId="77777777" w:rsidTr="00EE2FA3">
        <w:trPr>
          <w:trHeight w:val="198"/>
        </w:trPr>
        <w:tc>
          <w:tcPr>
            <w:tcW w:w="2938" w:type="pct"/>
            <w:tcBorders>
              <w:top w:val="single" w:sz="2" w:space="0" w:color="auto"/>
              <w:left w:val="nil"/>
              <w:bottom w:val="single" w:sz="4" w:space="0" w:color="auto"/>
              <w:right w:val="nil"/>
            </w:tcBorders>
            <w:shd w:val="clear" w:color="auto" w:fill="auto"/>
            <w:vAlign w:val="center"/>
            <w:hideMark/>
          </w:tcPr>
          <w:p w14:paraId="454F48DC" w14:textId="77777777" w:rsidR="00807992" w:rsidRPr="00667DFF" w:rsidRDefault="00807992" w:rsidP="00807992">
            <w:pPr>
              <w:spacing w:after="0"/>
              <w:ind w:firstLine="0"/>
              <w:jc w:val="left"/>
              <w:rPr>
                <w:rFonts w:ascii="Arial Narrow" w:hAnsi="Arial Narrow" w:cs="Calibri"/>
                <w:b/>
                <w:bCs/>
                <w:i/>
                <w:color w:val="000000"/>
                <w:lang w:val="es-ES" w:eastAsia="es-ES"/>
              </w:rPr>
            </w:pPr>
            <w:r w:rsidRPr="00667DFF">
              <w:rPr>
                <w:rFonts w:ascii="Arial Narrow" w:hAnsi="Arial Narrow" w:cs="Calibri"/>
                <w:b/>
                <w:bCs/>
                <w:i/>
                <w:color w:val="000000"/>
                <w:lang w:val="es-ES" w:eastAsia="es-ES"/>
              </w:rPr>
              <w:t>Impuestos indirectos</w:t>
            </w:r>
          </w:p>
        </w:tc>
        <w:tc>
          <w:tcPr>
            <w:tcW w:w="729" w:type="pct"/>
            <w:tcBorders>
              <w:top w:val="single" w:sz="2" w:space="0" w:color="auto"/>
              <w:left w:val="nil"/>
              <w:bottom w:val="single" w:sz="4" w:space="0" w:color="auto"/>
              <w:right w:val="nil"/>
            </w:tcBorders>
            <w:shd w:val="clear" w:color="auto" w:fill="auto"/>
            <w:noWrap/>
            <w:vAlign w:val="bottom"/>
          </w:tcPr>
          <w:p w14:paraId="0DAAFD70" w14:textId="77777777" w:rsidR="00807992" w:rsidRPr="00667DFF" w:rsidRDefault="00807992" w:rsidP="00807992">
            <w:pPr>
              <w:spacing w:after="0"/>
              <w:ind w:firstLine="0"/>
              <w:jc w:val="right"/>
              <w:rPr>
                <w:rFonts w:ascii="Arial Narrow" w:hAnsi="Arial Narrow" w:cs="Calibri"/>
                <w:b/>
                <w:bCs/>
                <w:i/>
                <w:color w:val="000000"/>
                <w:lang w:val="es-ES" w:eastAsia="es-ES"/>
              </w:rPr>
            </w:pPr>
            <w:r>
              <w:rPr>
                <w:rFonts w:ascii="Arial Narrow" w:hAnsi="Arial Narrow" w:cs="Calibri"/>
                <w:b/>
                <w:bCs/>
                <w:i/>
                <w:color w:val="000000"/>
                <w:lang w:val="es-ES" w:eastAsia="es-ES"/>
              </w:rPr>
              <w:t>13.386.626</w:t>
            </w:r>
          </w:p>
        </w:tc>
        <w:tc>
          <w:tcPr>
            <w:tcW w:w="660" w:type="pct"/>
            <w:tcBorders>
              <w:top w:val="single" w:sz="2" w:space="0" w:color="auto"/>
              <w:left w:val="nil"/>
              <w:bottom w:val="single" w:sz="4" w:space="0" w:color="auto"/>
              <w:right w:val="nil"/>
            </w:tcBorders>
            <w:shd w:val="clear" w:color="auto" w:fill="auto"/>
            <w:noWrap/>
            <w:vAlign w:val="bottom"/>
          </w:tcPr>
          <w:p w14:paraId="73C9592C" w14:textId="77777777" w:rsidR="00807992" w:rsidRPr="00667DFF" w:rsidRDefault="00807992" w:rsidP="00807992">
            <w:pPr>
              <w:spacing w:after="0"/>
              <w:ind w:firstLine="0"/>
              <w:jc w:val="right"/>
              <w:rPr>
                <w:rFonts w:ascii="Arial Narrow" w:hAnsi="Arial Narrow" w:cs="Calibri"/>
                <w:b/>
                <w:bCs/>
                <w:i/>
                <w:color w:val="000000"/>
                <w:lang w:val="es-ES" w:eastAsia="es-ES"/>
              </w:rPr>
            </w:pPr>
            <w:r>
              <w:rPr>
                <w:rFonts w:ascii="Arial Narrow" w:hAnsi="Arial Narrow" w:cs="Calibri"/>
                <w:b/>
                <w:bCs/>
                <w:i/>
                <w:color w:val="000000"/>
                <w:lang w:val="es-ES" w:eastAsia="es-ES"/>
              </w:rPr>
              <w:t>6</w:t>
            </w:r>
          </w:p>
        </w:tc>
        <w:tc>
          <w:tcPr>
            <w:tcW w:w="673" w:type="pct"/>
            <w:tcBorders>
              <w:top w:val="single" w:sz="2" w:space="0" w:color="auto"/>
              <w:left w:val="nil"/>
              <w:bottom w:val="single" w:sz="4" w:space="0" w:color="auto"/>
              <w:right w:val="nil"/>
            </w:tcBorders>
            <w:shd w:val="clear" w:color="auto" w:fill="auto"/>
            <w:noWrap/>
            <w:vAlign w:val="bottom"/>
          </w:tcPr>
          <w:p w14:paraId="0E6EE2A0" w14:textId="77777777" w:rsidR="00807992" w:rsidRPr="00667DFF" w:rsidRDefault="00807992" w:rsidP="00807992">
            <w:pPr>
              <w:spacing w:after="0"/>
              <w:ind w:firstLine="0"/>
              <w:jc w:val="right"/>
              <w:rPr>
                <w:rFonts w:ascii="Arial Narrow" w:hAnsi="Arial Narrow" w:cs="Calibri"/>
                <w:b/>
                <w:bCs/>
                <w:i/>
                <w:color w:val="000000"/>
                <w:lang w:val="es-ES" w:eastAsia="es-ES"/>
              </w:rPr>
            </w:pPr>
            <w:r>
              <w:rPr>
                <w:rFonts w:ascii="Arial Narrow" w:hAnsi="Arial Narrow" w:cs="Calibri"/>
                <w:b/>
                <w:bCs/>
                <w:i/>
                <w:color w:val="000000"/>
                <w:lang w:val="es-ES" w:eastAsia="es-ES"/>
              </w:rPr>
              <w:t>56</w:t>
            </w:r>
          </w:p>
        </w:tc>
      </w:tr>
      <w:tr w:rsidR="00807992" w:rsidRPr="00667DFF" w14:paraId="75ADE1F7" w14:textId="77777777" w:rsidTr="00EE2FA3">
        <w:trPr>
          <w:trHeight w:val="198"/>
        </w:trPr>
        <w:tc>
          <w:tcPr>
            <w:tcW w:w="2938" w:type="pct"/>
            <w:tcBorders>
              <w:top w:val="single" w:sz="4" w:space="0" w:color="auto"/>
              <w:left w:val="nil"/>
              <w:bottom w:val="single" w:sz="4" w:space="0" w:color="auto"/>
              <w:right w:val="nil"/>
            </w:tcBorders>
            <w:shd w:val="clear" w:color="auto" w:fill="auto"/>
            <w:vAlign w:val="center"/>
            <w:hideMark/>
          </w:tcPr>
          <w:p w14:paraId="3A16A4B8"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Impuesto construcciones, instalaciones y obras</w:t>
            </w:r>
          </w:p>
        </w:tc>
        <w:tc>
          <w:tcPr>
            <w:tcW w:w="729" w:type="pct"/>
            <w:tcBorders>
              <w:top w:val="single" w:sz="4" w:space="0" w:color="auto"/>
              <w:left w:val="nil"/>
              <w:bottom w:val="single" w:sz="4" w:space="0" w:color="auto"/>
              <w:right w:val="nil"/>
            </w:tcBorders>
            <w:shd w:val="clear" w:color="auto" w:fill="auto"/>
            <w:noWrap/>
            <w:vAlign w:val="bottom"/>
          </w:tcPr>
          <w:p w14:paraId="11BA04BB"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13.386.626</w:t>
            </w:r>
          </w:p>
        </w:tc>
        <w:tc>
          <w:tcPr>
            <w:tcW w:w="660" w:type="pct"/>
            <w:tcBorders>
              <w:top w:val="single" w:sz="4" w:space="0" w:color="auto"/>
              <w:left w:val="nil"/>
              <w:bottom w:val="single" w:sz="4" w:space="0" w:color="auto"/>
              <w:right w:val="nil"/>
            </w:tcBorders>
            <w:shd w:val="clear" w:color="auto" w:fill="auto"/>
            <w:noWrap/>
            <w:vAlign w:val="bottom"/>
          </w:tcPr>
          <w:p w14:paraId="28544444"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w:t>
            </w:r>
          </w:p>
        </w:tc>
        <w:tc>
          <w:tcPr>
            <w:tcW w:w="673" w:type="pct"/>
            <w:tcBorders>
              <w:top w:val="single" w:sz="4" w:space="0" w:color="auto"/>
              <w:left w:val="nil"/>
              <w:bottom w:val="single" w:sz="4" w:space="0" w:color="auto"/>
              <w:right w:val="nil"/>
            </w:tcBorders>
            <w:shd w:val="clear" w:color="auto" w:fill="auto"/>
            <w:noWrap/>
            <w:vAlign w:val="bottom"/>
          </w:tcPr>
          <w:p w14:paraId="43CB9F5F"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56</w:t>
            </w:r>
          </w:p>
        </w:tc>
      </w:tr>
    </w:tbl>
    <w:p w14:paraId="2AC2B47F" w14:textId="77777777" w:rsidR="00807992" w:rsidRDefault="00807992" w:rsidP="00807992">
      <w:pPr>
        <w:tabs>
          <w:tab w:val="left" w:pos="708"/>
          <w:tab w:val="center" w:pos="2835"/>
          <w:tab w:val="center" w:pos="3969"/>
          <w:tab w:val="center" w:pos="5103"/>
          <w:tab w:val="center" w:pos="6237"/>
          <w:tab w:val="center" w:pos="7371"/>
        </w:tabs>
        <w:spacing w:before="120" w:after="220"/>
        <w:ind w:firstLine="284"/>
        <w:rPr>
          <w:spacing w:val="6"/>
          <w:sz w:val="26"/>
          <w:szCs w:val="26"/>
        </w:rPr>
      </w:pPr>
      <w:r>
        <w:rPr>
          <w:spacing w:val="6"/>
          <w:sz w:val="26"/>
          <w:szCs w:val="26"/>
        </w:rPr>
        <w:t>De la información de este cuadro, destacamos lo siguiente:</w:t>
      </w:r>
    </w:p>
    <w:p w14:paraId="0A93380B" w14:textId="77777777" w:rsidR="00807992" w:rsidRPr="005F4612" w:rsidRDefault="00807992" w:rsidP="00807992">
      <w:pPr>
        <w:numPr>
          <w:ilvl w:val="0"/>
          <w:numId w:val="10"/>
        </w:numPr>
        <w:tabs>
          <w:tab w:val="num" w:pos="284"/>
          <w:tab w:val="num" w:pos="600"/>
          <w:tab w:val="num" w:pos="720"/>
          <w:tab w:val="num" w:pos="1320"/>
        </w:tabs>
        <w:spacing w:before="120" w:after="120"/>
        <w:rPr>
          <w:rFonts w:cs="Arial"/>
          <w:spacing w:val="2"/>
          <w:sz w:val="26"/>
          <w:szCs w:val="24"/>
        </w:rPr>
      </w:pPr>
      <w:r w:rsidRPr="005F4612">
        <w:rPr>
          <w:rFonts w:cs="Arial"/>
          <w:spacing w:val="2"/>
          <w:sz w:val="26"/>
          <w:szCs w:val="24"/>
        </w:rPr>
        <w:t xml:space="preserve">Los derechos reconocidos de mayor cuantía corresponden a la contribución territorial por 30,12 millones, con una variación no significativa respecto al ejercicio anterior.  </w:t>
      </w:r>
    </w:p>
    <w:p w14:paraId="4CD9B18C" w14:textId="77777777" w:rsidR="00807992" w:rsidRPr="005F4612" w:rsidRDefault="00807992" w:rsidP="00807992">
      <w:pPr>
        <w:numPr>
          <w:ilvl w:val="0"/>
          <w:numId w:val="10"/>
        </w:numPr>
        <w:tabs>
          <w:tab w:val="num" w:pos="284"/>
          <w:tab w:val="num" w:pos="600"/>
          <w:tab w:val="num" w:pos="720"/>
          <w:tab w:val="num" w:pos="1320"/>
        </w:tabs>
        <w:spacing w:before="120" w:after="120"/>
        <w:rPr>
          <w:rFonts w:cs="Arial"/>
          <w:spacing w:val="2"/>
          <w:sz w:val="26"/>
          <w:szCs w:val="24"/>
        </w:rPr>
      </w:pPr>
      <w:r w:rsidRPr="005F4612">
        <w:rPr>
          <w:rFonts w:cs="Arial"/>
          <w:spacing w:val="2"/>
          <w:sz w:val="26"/>
          <w:szCs w:val="24"/>
        </w:rPr>
        <w:t xml:space="preserve">La disminución en </w:t>
      </w:r>
      <w:r>
        <w:rPr>
          <w:rFonts w:cs="Arial"/>
          <w:spacing w:val="2"/>
          <w:sz w:val="26"/>
          <w:szCs w:val="24"/>
        </w:rPr>
        <w:t xml:space="preserve">los </w:t>
      </w:r>
      <w:r w:rsidRPr="005F4612">
        <w:rPr>
          <w:rFonts w:cs="Arial"/>
          <w:spacing w:val="2"/>
          <w:sz w:val="26"/>
          <w:szCs w:val="24"/>
        </w:rPr>
        <w:t>ingreso</w:t>
      </w:r>
      <w:r>
        <w:rPr>
          <w:rFonts w:cs="Arial"/>
          <w:spacing w:val="2"/>
          <w:sz w:val="26"/>
          <w:szCs w:val="24"/>
        </w:rPr>
        <w:t>s</w:t>
      </w:r>
      <w:r w:rsidRPr="005F4612">
        <w:rPr>
          <w:rFonts w:cs="Arial"/>
          <w:spacing w:val="2"/>
          <w:sz w:val="26"/>
          <w:szCs w:val="24"/>
        </w:rPr>
        <w:t xml:space="preserve"> por el Impuesto sobre Actividades Económi</w:t>
      </w:r>
      <w:r>
        <w:rPr>
          <w:rFonts w:cs="Arial"/>
          <w:spacing w:val="2"/>
          <w:sz w:val="26"/>
          <w:szCs w:val="24"/>
        </w:rPr>
        <w:t>cas</w:t>
      </w:r>
      <w:r w:rsidRPr="005F4612">
        <w:rPr>
          <w:rFonts w:cs="Arial"/>
          <w:spacing w:val="2"/>
          <w:sz w:val="26"/>
          <w:szCs w:val="24"/>
        </w:rPr>
        <w:t xml:space="preserve"> se explica básicamente por la imputación, en el presupuesto del 2022, de </w:t>
      </w:r>
      <w:r>
        <w:rPr>
          <w:rFonts w:cs="Arial"/>
          <w:spacing w:val="2"/>
          <w:sz w:val="26"/>
          <w:szCs w:val="24"/>
        </w:rPr>
        <w:t xml:space="preserve">0,6 millones </w:t>
      </w:r>
      <w:r w:rsidRPr="005F4612">
        <w:rPr>
          <w:rFonts w:cs="Arial"/>
          <w:spacing w:val="2"/>
          <w:sz w:val="26"/>
          <w:szCs w:val="24"/>
        </w:rPr>
        <w:t>correspondientes a liquidaciones de</w:t>
      </w:r>
      <w:r>
        <w:rPr>
          <w:rFonts w:cs="Arial"/>
          <w:spacing w:val="2"/>
          <w:sz w:val="26"/>
          <w:szCs w:val="24"/>
        </w:rPr>
        <w:t xml:space="preserve"> ejercicio 2021. Este desfase contable se debe a </w:t>
      </w:r>
      <w:r w:rsidRPr="005F4612">
        <w:rPr>
          <w:rFonts w:cs="Arial"/>
          <w:spacing w:val="2"/>
          <w:sz w:val="26"/>
          <w:szCs w:val="24"/>
        </w:rPr>
        <w:t xml:space="preserve">las dificultades que se ha encontrado el </w:t>
      </w:r>
      <w:r>
        <w:rPr>
          <w:rFonts w:cs="Arial"/>
          <w:spacing w:val="2"/>
          <w:sz w:val="26"/>
          <w:szCs w:val="24"/>
        </w:rPr>
        <w:t xml:space="preserve">ayuntamiento </w:t>
      </w:r>
      <w:r w:rsidRPr="005F4612">
        <w:rPr>
          <w:rFonts w:cs="Arial"/>
          <w:spacing w:val="2"/>
          <w:sz w:val="26"/>
          <w:szCs w:val="24"/>
        </w:rPr>
        <w:t xml:space="preserve">con la gestión por parte de </w:t>
      </w:r>
      <w:r>
        <w:rPr>
          <w:rFonts w:cs="Arial"/>
          <w:spacing w:val="2"/>
          <w:sz w:val="26"/>
          <w:szCs w:val="24"/>
        </w:rPr>
        <w:t xml:space="preserve">la Hacienda </w:t>
      </w:r>
      <w:r w:rsidR="003D644A">
        <w:rPr>
          <w:rFonts w:cs="Arial"/>
          <w:spacing w:val="2"/>
          <w:sz w:val="26"/>
          <w:szCs w:val="24"/>
        </w:rPr>
        <w:t xml:space="preserve">Foral </w:t>
      </w:r>
      <w:r>
        <w:rPr>
          <w:rFonts w:cs="Arial"/>
          <w:spacing w:val="2"/>
          <w:sz w:val="26"/>
          <w:szCs w:val="24"/>
        </w:rPr>
        <w:t xml:space="preserve">de Navarra, por los </w:t>
      </w:r>
      <w:r w:rsidRPr="005F4612">
        <w:rPr>
          <w:rFonts w:cs="Arial"/>
          <w:spacing w:val="2"/>
          <w:sz w:val="26"/>
          <w:szCs w:val="24"/>
        </w:rPr>
        <w:t xml:space="preserve">cambios normativos que afectaban en el 2021 a la gestión del </w:t>
      </w:r>
      <w:r>
        <w:rPr>
          <w:rFonts w:cs="Arial"/>
          <w:spacing w:val="2"/>
          <w:sz w:val="26"/>
          <w:szCs w:val="24"/>
        </w:rPr>
        <w:t>citado impuesto</w:t>
      </w:r>
      <w:r w:rsidRPr="005F4612">
        <w:rPr>
          <w:rFonts w:cs="Arial"/>
          <w:spacing w:val="2"/>
          <w:sz w:val="26"/>
          <w:szCs w:val="24"/>
        </w:rPr>
        <w:t xml:space="preserve">. </w:t>
      </w:r>
    </w:p>
    <w:p w14:paraId="567D2080" w14:textId="77777777" w:rsidR="00807992" w:rsidRDefault="00CF62A2" w:rsidP="00807992">
      <w:pPr>
        <w:numPr>
          <w:ilvl w:val="0"/>
          <w:numId w:val="10"/>
        </w:numPr>
        <w:tabs>
          <w:tab w:val="num" w:pos="284"/>
          <w:tab w:val="num" w:pos="600"/>
          <w:tab w:val="num" w:pos="720"/>
          <w:tab w:val="num" w:pos="1320"/>
        </w:tabs>
        <w:spacing w:before="120" w:after="120"/>
        <w:rPr>
          <w:rFonts w:cs="Arial"/>
          <w:spacing w:val="2"/>
          <w:sz w:val="26"/>
          <w:szCs w:val="24"/>
        </w:rPr>
      </w:pPr>
      <w:r>
        <w:rPr>
          <w:rFonts w:cs="Arial"/>
          <w:spacing w:val="2"/>
          <w:sz w:val="26"/>
          <w:szCs w:val="24"/>
        </w:rPr>
        <w:t xml:space="preserve">En relación con el </w:t>
      </w:r>
      <w:r w:rsidR="00807992" w:rsidRPr="005F4612">
        <w:rPr>
          <w:rFonts w:cs="Arial"/>
          <w:spacing w:val="2"/>
          <w:sz w:val="26"/>
          <w:szCs w:val="24"/>
        </w:rPr>
        <w:t xml:space="preserve">Impuesto sobre gastos suntuarios, indicamos que la Ley Foral 22/2020, de 29 de diciembre, de modificación de la Ley Foral de Haciendas Locales de Navarra, eliminó la imposición sobre los premios en el bingo a partir del ejercicio 2021.  </w:t>
      </w:r>
    </w:p>
    <w:p w14:paraId="1954A3C5" w14:textId="77777777" w:rsidR="00807992" w:rsidRPr="005F4612" w:rsidRDefault="00807992" w:rsidP="00807992">
      <w:pPr>
        <w:numPr>
          <w:ilvl w:val="0"/>
          <w:numId w:val="10"/>
        </w:numPr>
        <w:tabs>
          <w:tab w:val="num" w:pos="284"/>
          <w:tab w:val="num" w:pos="600"/>
          <w:tab w:val="num" w:pos="720"/>
          <w:tab w:val="num" w:pos="1320"/>
        </w:tabs>
        <w:spacing w:before="120" w:after="120"/>
        <w:rPr>
          <w:rFonts w:cs="Arial"/>
          <w:spacing w:val="2"/>
          <w:sz w:val="26"/>
          <w:szCs w:val="24"/>
        </w:rPr>
      </w:pPr>
      <w:r w:rsidRPr="005F4612">
        <w:rPr>
          <w:rFonts w:cs="Arial"/>
          <w:spacing w:val="2"/>
          <w:sz w:val="26"/>
          <w:szCs w:val="24"/>
        </w:rPr>
        <w:t xml:space="preserve">Las variaciones del Impuesto sobre el incremento del valor de terrenos de naturaleza urbana y el de Construcciones, instalaciones y obras se analizan posteriormente. </w:t>
      </w:r>
    </w:p>
    <w:p w14:paraId="5F1B8B2A" w14:textId="77777777" w:rsidR="00807992" w:rsidRDefault="00807992" w:rsidP="00807992">
      <w:pPr>
        <w:tabs>
          <w:tab w:val="left" w:pos="480"/>
          <w:tab w:val="num" w:pos="720"/>
          <w:tab w:val="num" w:pos="1320"/>
        </w:tabs>
        <w:spacing w:after="240"/>
        <w:ind w:firstLine="284"/>
        <w:rPr>
          <w:rFonts w:cs="Arial"/>
          <w:spacing w:val="6"/>
          <w:sz w:val="26"/>
          <w:szCs w:val="24"/>
        </w:rPr>
      </w:pPr>
      <w:r w:rsidRPr="00667DFF">
        <w:rPr>
          <w:rFonts w:cs="Arial"/>
          <w:spacing w:val="6"/>
          <w:sz w:val="26"/>
          <w:szCs w:val="24"/>
        </w:rPr>
        <w:t xml:space="preserve">Los tipos impositivos aplicados por el ayuntamiento se ubican en el </w:t>
      </w:r>
      <w:r w:rsidRPr="00667DFF">
        <w:rPr>
          <w:rFonts w:cs="Arial"/>
          <w:color w:val="000000" w:themeColor="text1"/>
          <w:spacing w:val="6"/>
          <w:sz w:val="26"/>
          <w:szCs w:val="24"/>
        </w:rPr>
        <w:t>tramo alto del abanico que contempla la Ley Foral 2/1995 de</w:t>
      </w:r>
      <w:r w:rsidRPr="00667DFF">
        <w:rPr>
          <w:rFonts w:cs="Arial"/>
          <w:spacing w:val="6"/>
          <w:sz w:val="26"/>
          <w:szCs w:val="24"/>
        </w:rPr>
        <w:t xml:space="preserve"> Haciendas Locales de Navarra</w:t>
      </w:r>
      <w:r>
        <w:rPr>
          <w:rFonts w:cs="Arial"/>
          <w:spacing w:val="6"/>
          <w:sz w:val="26"/>
          <w:szCs w:val="24"/>
        </w:rPr>
        <w:t xml:space="preserve"> (LFHL en adelante)</w:t>
      </w:r>
      <w:r w:rsidRPr="00667DFF">
        <w:rPr>
          <w:rFonts w:cs="Arial"/>
          <w:spacing w:val="6"/>
          <w:sz w:val="26"/>
          <w:szCs w:val="24"/>
        </w:rPr>
        <w:t>, tal y como puede observarse en el cuadro siguiente:</w:t>
      </w:r>
    </w:p>
    <w:tbl>
      <w:tblPr>
        <w:tblW w:w="5000" w:type="pct"/>
        <w:jc w:val="center"/>
        <w:tblBorders>
          <w:top w:val="single" w:sz="4" w:space="0" w:color="auto"/>
          <w:bottom w:val="single" w:sz="4" w:space="0" w:color="auto"/>
        </w:tblBorders>
        <w:tblCellMar>
          <w:top w:w="28" w:type="dxa"/>
          <w:left w:w="70" w:type="dxa"/>
          <w:right w:w="70" w:type="dxa"/>
        </w:tblCellMar>
        <w:tblLook w:val="00A0" w:firstRow="1" w:lastRow="0" w:firstColumn="1" w:lastColumn="0" w:noHBand="0" w:noVBand="0"/>
      </w:tblPr>
      <w:tblGrid>
        <w:gridCol w:w="4975"/>
        <w:gridCol w:w="2074"/>
        <w:gridCol w:w="1740"/>
      </w:tblGrid>
      <w:tr w:rsidR="00807992" w:rsidRPr="00667DFF" w14:paraId="3E1FC042" w14:textId="77777777" w:rsidTr="00EE2FA3">
        <w:trPr>
          <w:trHeight w:val="255"/>
          <w:jc w:val="center"/>
        </w:trPr>
        <w:tc>
          <w:tcPr>
            <w:tcW w:w="2830" w:type="pct"/>
            <w:tcBorders>
              <w:top w:val="single" w:sz="4" w:space="0" w:color="auto"/>
              <w:left w:val="nil"/>
              <w:bottom w:val="single" w:sz="4" w:space="0" w:color="auto"/>
              <w:right w:val="nil"/>
            </w:tcBorders>
            <w:shd w:val="clear" w:color="auto" w:fill="FABF8F" w:themeFill="accent6" w:themeFillTint="99"/>
            <w:vAlign w:val="center"/>
          </w:tcPr>
          <w:p w14:paraId="3EB6B8DA" w14:textId="77777777" w:rsidR="00807992" w:rsidRPr="00667DFF" w:rsidRDefault="00807992" w:rsidP="00807992">
            <w:pPr>
              <w:keepLines/>
              <w:tabs>
                <w:tab w:val="left" w:pos="142"/>
                <w:tab w:val="right" w:pos="2835"/>
                <w:tab w:val="right" w:pos="3969"/>
                <w:tab w:val="right" w:pos="5103"/>
                <w:tab w:val="right" w:pos="6237"/>
                <w:tab w:val="right" w:pos="7371"/>
              </w:tabs>
              <w:spacing w:after="0" w:line="276" w:lineRule="auto"/>
              <w:ind w:firstLine="0"/>
              <w:jc w:val="left"/>
              <w:rPr>
                <w:rFonts w:ascii="Arial" w:hAnsi="Arial" w:cs="Arial"/>
                <w:spacing w:val="6"/>
                <w:sz w:val="18"/>
                <w:szCs w:val="18"/>
                <w:lang w:val="es-ES" w:eastAsia="es-ES"/>
              </w:rPr>
            </w:pPr>
            <w:r w:rsidRPr="00667DFF">
              <w:rPr>
                <w:rFonts w:ascii="Arial" w:hAnsi="Arial" w:cs="Arial"/>
                <w:spacing w:val="6"/>
                <w:sz w:val="18"/>
                <w:szCs w:val="18"/>
                <w:lang w:val="es-ES" w:eastAsia="es-ES"/>
              </w:rPr>
              <w:t>Figura tributaria</w:t>
            </w:r>
          </w:p>
        </w:tc>
        <w:tc>
          <w:tcPr>
            <w:tcW w:w="1180" w:type="pct"/>
            <w:tcBorders>
              <w:top w:val="single" w:sz="4" w:space="0" w:color="auto"/>
              <w:left w:val="nil"/>
              <w:bottom w:val="single" w:sz="4" w:space="0" w:color="auto"/>
              <w:right w:val="nil"/>
            </w:tcBorders>
            <w:shd w:val="clear" w:color="auto" w:fill="FABF8F" w:themeFill="accent6" w:themeFillTint="99"/>
            <w:vAlign w:val="center"/>
            <w:hideMark/>
          </w:tcPr>
          <w:p w14:paraId="02DE60EF" w14:textId="77777777" w:rsidR="00807992" w:rsidRPr="00667DFF" w:rsidRDefault="00807992" w:rsidP="00807992">
            <w:pPr>
              <w:keepLines/>
              <w:tabs>
                <w:tab w:val="left" w:pos="142"/>
                <w:tab w:val="right" w:pos="2835"/>
                <w:tab w:val="right" w:pos="3969"/>
                <w:tab w:val="right" w:pos="5103"/>
                <w:tab w:val="right" w:pos="6237"/>
                <w:tab w:val="right" w:pos="7371"/>
              </w:tabs>
              <w:spacing w:after="0" w:line="276" w:lineRule="auto"/>
              <w:ind w:firstLine="0"/>
              <w:jc w:val="right"/>
              <w:rPr>
                <w:rFonts w:ascii="Arial" w:hAnsi="Arial" w:cs="Arial"/>
                <w:spacing w:val="6"/>
                <w:sz w:val="18"/>
                <w:szCs w:val="18"/>
                <w:lang w:val="es-ES" w:eastAsia="es-ES"/>
              </w:rPr>
            </w:pPr>
            <w:r w:rsidRPr="00667DFF">
              <w:rPr>
                <w:rFonts w:ascii="Arial" w:hAnsi="Arial" w:cs="Arial"/>
                <w:spacing w:val="6"/>
                <w:sz w:val="18"/>
                <w:szCs w:val="18"/>
                <w:lang w:val="es-ES" w:eastAsia="es-ES"/>
              </w:rPr>
              <w:t>Ayuntamiento</w:t>
            </w:r>
          </w:p>
        </w:tc>
        <w:tc>
          <w:tcPr>
            <w:tcW w:w="990" w:type="pct"/>
            <w:tcBorders>
              <w:top w:val="single" w:sz="4" w:space="0" w:color="auto"/>
              <w:left w:val="nil"/>
              <w:bottom w:val="single" w:sz="4" w:space="0" w:color="auto"/>
              <w:right w:val="nil"/>
            </w:tcBorders>
            <w:shd w:val="clear" w:color="auto" w:fill="FABF8F" w:themeFill="accent6" w:themeFillTint="99"/>
            <w:vAlign w:val="center"/>
            <w:hideMark/>
          </w:tcPr>
          <w:p w14:paraId="28396D38" w14:textId="77777777" w:rsidR="00807992" w:rsidRPr="00667DFF" w:rsidRDefault="00807992" w:rsidP="00807992">
            <w:pPr>
              <w:keepLines/>
              <w:tabs>
                <w:tab w:val="left" w:pos="142"/>
                <w:tab w:val="right" w:pos="2835"/>
                <w:tab w:val="right" w:pos="3969"/>
                <w:tab w:val="right" w:pos="5103"/>
                <w:tab w:val="right" w:pos="6237"/>
                <w:tab w:val="right" w:pos="7371"/>
              </w:tabs>
              <w:spacing w:after="0" w:line="276" w:lineRule="auto"/>
              <w:ind w:firstLine="0"/>
              <w:jc w:val="right"/>
              <w:rPr>
                <w:rFonts w:ascii="Arial" w:hAnsi="Arial" w:cs="Arial"/>
                <w:spacing w:val="6"/>
                <w:sz w:val="18"/>
                <w:szCs w:val="18"/>
                <w:lang w:val="es-ES" w:eastAsia="es-ES"/>
              </w:rPr>
            </w:pPr>
            <w:r w:rsidRPr="00667DFF">
              <w:rPr>
                <w:rFonts w:ascii="Arial" w:hAnsi="Arial" w:cs="Arial"/>
                <w:spacing w:val="6"/>
                <w:sz w:val="18"/>
                <w:szCs w:val="18"/>
                <w:lang w:val="es-ES" w:eastAsia="es-ES"/>
              </w:rPr>
              <w:t>Ley Foral 2/95</w:t>
            </w:r>
          </w:p>
        </w:tc>
      </w:tr>
      <w:tr w:rsidR="00807992" w:rsidRPr="002F144C" w14:paraId="1589A469" w14:textId="77777777" w:rsidTr="00EE2FA3">
        <w:trPr>
          <w:trHeight w:val="198"/>
          <w:jc w:val="center"/>
        </w:trPr>
        <w:tc>
          <w:tcPr>
            <w:tcW w:w="2830" w:type="pct"/>
            <w:tcBorders>
              <w:top w:val="single" w:sz="4" w:space="0" w:color="auto"/>
              <w:left w:val="nil"/>
              <w:bottom w:val="single" w:sz="2" w:space="0" w:color="auto"/>
              <w:right w:val="nil"/>
            </w:tcBorders>
            <w:vAlign w:val="center"/>
            <w:hideMark/>
          </w:tcPr>
          <w:p w14:paraId="631F7652"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left"/>
              <w:rPr>
                <w:rFonts w:ascii="Arial Narrow" w:hAnsi="Arial Narrow"/>
                <w:spacing w:val="6"/>
              </w:rPr>
            </w:pPr>
            <w:r w:rsidRPr="002F144C">
              <w:rPr>
                <w:rFonts w:ascii="Arial Narrow" w:hAnsi="Arial Narrow"/>
                <w:spacing w:val="6"/>
              </w:rPr>
              <w:t>Contribución Territorial Urbana</w:t>
            </w:r>
          </w:p>
        </w:tc>
        <w:tc>
          <w:tcPr>
            <w:tcW w:w="1180" w:type="pct"/>
            <w:tcBorders>
              <w:top w:val="single" w:sz="4" w:space="0" w:color="auto"/>
              <w:left w:val="nil"/>
              <w:bottom w:val="single" w:sz="2" w:space="0" w:color="auto"/>
              <w:right w:val="nil"/>
            </w:tcBorders>
            <w:vAlign w:val="center"/>
            <w:hideMark/>
          </w:tcPr>
          <w:p w14:paraId="490B1988"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right"/>
              <w:rPr>
                <w:rFonts w:ascii="Arial Narrow" w:hAnsi="Arial Narrow"/>
                <w:spacing w:val="6"/>
              </w:rPr>
            </w:pPr>
            <w:r w:rsidRPr="002F144C">
              <w:rPr>
                <w:rFonts w:ascii="Arial Narrow" w:hAnsi="Arial Narrow"/>
                <w:spacing w:val="6"/>
              </w:rPr>
              <w:t>0,3923</w:t>
            </w:r>
          </w:p>
        </w:tc>
        <w:tc>
          <w:tcPr>
            <w:tcW w:w="990" w:type="pct"/>
            <w:tcBorders>
              <w:top w:val="single" w:sz="4" w:space="0" w:color="auto"/>
              <w:left w:val="nil"/>
              <w:bottom w:val="single" w:sz="2" w:space="0" w:color="auto"/>
              <w:right w:val="nil"/>
            </w:tcBorders>
            <w:vAlign w:val="center"/>
            <w:hideMark/>
          </w:tcPr>
          <w:p w14:paraId="49DF45E8"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right"/>
              <w:rPr>
                <w:rFonts w:ascii="Arial Narrow" w:hAnsi="Arial Narrow"/>
                <w:spacing w:val="6"/>
              </w:rPr>
            </w:pPr>
            <w:r w:rsidRPr="002F144C">
              <w:rPr>
                <w:rFonts w:ascii="Arial Narrow" w:hAnsi="Arial Narrow"/>
                <w:spacing w:val="6"/>
              </w:rPr>
              <w:t>0,10 - 0,50</w:t>
            </w:r>
          </w:p>
        </w:tc>
      </w:tr>
      <w:tr w:rsidR="00807992" w:rsidRPr="00EB3CE2" w14:paraId="42B9723D" w14:textId="77777777" w:rsidTr="00D951F3">
        <w:trPr>
          <w:trHeight w:val="198"/>
          <w:jc w:val="center"/>
        </w:trPr>
        <w:tc>
          <w:tcPr>
            <w:tcW w:w="2830" w:type="pct"/>
            <w:tcBorders>
              <w:top w:val="single" w:sz="2" w:space="0" w:color="auto"/>
              <w:left w:val="nil"/>
              <w:bottom w:val="single" w:sz="2" w:space="0" w:color="auto"/>
              <w:right w:val="nil"/>
            </w:tcBorders>
            <w:vAlign w:val="center"/>
          </w:tcPr>
          <w:p w14:paraId="5C74FC6D" w14:textId="77777777" w:rsidR="00807992" w:rsidRPr="00EB3CE2" w:rsidRDefault="00807992" w:rsidP="00725269">
            <w:pPr>
              <w:keepLines/>
              <w:tabs>
                <w:tab w:val="left" w:pos="142"/>
                <w:tab w:val="right" w:pos="2835"/>
                <w:tab w:val="right" w:pos="3969"/>
                <w:tab w:val="right" w:pos="5103"/>
                <w:tab w:val="right" w:pos="6237"/>
                <w:tab w:val="right" w:pos="7371"/>
              </w:tabs>
              <w:spacing w:after="0"/>
              <w:ind w:firstLine="0"/>
              <w:jc w:val="left"/>
              <w:rPr>
                <w:rFonts w:ascii="Arial Narrow" w:hAnsi="Arial Narrow"/>
                <w:spacing w:val="6"/>
              </w:rPr>
            </w:pPr>
            <w:r w:rsidRPr="00EB3CE2">
              <w:rPr>
                <w:rFonts w:ascii="Arial Narrow" w:hAnsi="Arial Narrow"/>
                <w:spacing w:val="6"/>
              </w:rPr>
              <w:t>Contribución Territorial Rústica</w:t>
            </w:r>
          </w:p>
        </w:tc>
        <w:tc>
          <w:tcPr>
            <w:tcW w:w="1180" w:type="pct"/>
            <w:tcBorders>
              <w:top w:val="single" w:sz="2" w:space="0" w:color="auto"/>
              <w:left w:val="nil"/>
              <w:bottom w:val="single" w:sz="2" w:space="0" w:color="auto"/>
              <w:right w:val="nil"/>
            </w:tcBorders>
            <w:vAlign w:val="center"/>
          </w:tcPr>
          <w:p w14:paraId="0F04C8DA" w14:textId="77777777" w:rsidR="00807992" w:rsidRPr="00EB3CE2" w:rsidRDefault="00807992" w:rsidP="00725269">
            <w:pPr>
              <w:keepLines/>
              <w:tabs>
                <w:tab w:val="left" w:pos="142"/>
                <w:tab w:val="right" w:pos="2835"/>
                <w:tab w:val="right" w:pos="3969"/>
                <w:tab w:val="right" w:pos="5103"/>
                <w:tab w:val="right" w:pos="6237"/>
                <w:tab w:val="right" w:pos="7371"/>
              </w:tabs>
              <w:spacing w:after="0"/>
              <w:ind w:firstLine="0"/>
              <w:jc w:val="right"/>
              <w:rPr>
                <w:rFonts w:ascii="Arial Narrow" w:hAnsi="Arial Narrow"/>
                <w:spacing w:val="6"/>
              </w:rPr>
            </w:pPr>
            <w:r w:rsidRPr="00EB3CE2">
              <w:rPr>
                <w:rFonts w:ascii="Arial Narrow" w:hAnsi="Arial Narrow"/>
                <w:spacing w:val="6"/>
              </w:rPr>
              <w:t>0,80</w:t>
            </w:r>
          </w:p>
        </w:tc>
        <w:tc>
          <w:tcPr>
            <w:tcW w:w="990" w:type="pct"/>
            <w:tcBorders>
              <w:top w:val="single" w:sz="2" w:space="0" w:color="auto"/>
              <w:left w:val="nil"/>
              <w:bottom w:val="single" w:sz="2" w:space="0" w:color="auto"/>
              <w:right w:val="nil"/>
            </w:tcBorders>
            <w:vAlign w:val="center"/>
          </w:tcPr>
          <w:p w14:paraId="459A1236" w14:textId="77777777" w:rsidR="00807992" w:rsidRPr="00EB3CE2" w:rsidRDefault="00807992" w:rsidP="00725269">
            <w:pPr>
              <w:keepLines/>
              <w:tabs>
                <w:tab w:val="left" w:pos="142"/>
                <w:tab w:val="right" w:pos="2835"/>
                <w:tab w:val="right" w:pos="3969"/>
                <w:tab w:val="right" w:pos="5103"/>
                <w:tab w:val="right" w:pos="6237"/>
                <w:tab w:val="right" w:pos="7371"/>
              </w:tabs>
              <w:spacing w:after="0"/>
              <w:ind w:firstLine="0"/>
              <w:jc w:val="right"/>
              <w:rPr>
                <w:rFonts w:ascii="Arial Narrow" w:hAnsi="Arial Narrow"/>
                <w:spacing w:val="6"/>
              </w:rPr>
            </w:pPr>
          </w:p>
        </w:tc>
      </w:tr>
      <w:tr w:rsidR="00807992" w:rsidRPr="002F144C" w14:paraId="2C46B1D5" w14:textId="77777777" w:rsidTr="00D951F3">
        <w:trPr>
          <w:trHeight w:val="198"/>
          <w:jc w:val="center"/>
        </w:trPr>
        <w:tc>
          <w:tcPr>
            <w:tcW w:w="2830" w:type="pct"/>
            <w:tcBorders>
              <w:top w:val="single" w:sz="2" w:space="0" w:color="auto"/>
              <w:left w:val="nil"/>
              <w:bottom w:val="single" w:sz="2" w:space="0" w:color="auto"/>
              <w:right w:val="nil"/>
            </w:tcBorders>
            <w:vAlign w:val="center"/>
            <w:hideMark/>
          </w:tcPr>
          <w:p w14:paraId="5F607915"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left"/>
              <w:rPr>
                <w:rFonts w:ascii="Arial Narrow" w:hAnsi="Arial Narrow"/>
                <w:spacing w:val="6"/>
              </w:rPr>
            </w:pPr>
            <w:r w:rsidRPr="002F144C">
              <w:rPr>
                <w:rFonts w:ascii="Arial Narrow" w:hAnsi="Arial Narrow"/>
                <w:spacing w:val="6"/>
              </w:rPr>
              <w:t>Impuesto de Actividades Económicas (IAE)</w:t>
            </w:r>
          </w:p>
        </w:tc>
        <w:tc>
          <w:tcPr>
            <w:tcW w:w="1180" w:type="pct"/>
            <w:tcBorders>
              <w:top w:val="single" w:sz="2" w:space="0" w:color="auto"/>
              <w:left w:val="nil"/>
              <w:bottom w:val="single" w:sz="2" w:space="0" w:color="auto"/>
              <w:right w:val="nil"/>
            </w:tcBorders>
            <w:vAlign w:val="center"/>
            <w:hideMark/>
          </w:tcPr>
          <w:p w14:paraId="1311FC30"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right"/>
              <w:rPr>
                <w:rFonts w:ascii="Arial Narrow" w:hAnsi="Arial Narrow"/>
                <w:spacing w:val="6"/>
              </w:rPr>
            </w:pPr>
            <w:r w:rsidRPr="002F144C">
              <w:rPr>
                <w:rFonts w:ascii="Arial Narrow" w:hAnsi="Arial Narrow"/>
                <w:spacing w:val="6"/>
              </w:rPr>
              <w:t>1,32-1,4</w:t>
            </w:r>
          </w:p>
        </w:tc>
        <w:tc>
          <w:tcPr>
            <w:tcW w:w="990" w:type="pct"/>
            <w:tcBorders>
              <w:top w:val="single" w:sz="2" w:space="0" w:color="auto"/>
              <w:left w:val="nil"/>
              <w:bottom w:val="single" w:sz="2" w:space="0" w:color="auto"/>
              <w:right w:val="nil"/>
            </w:tcBorders>
            <w:vAlign w:val="center"/>
            <w:hideMark/>
          </w:tcPr>
          <w:p w14:paraId="340483F2"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right"/>
              <w:rPr>
                <w:rFonts w:ascii="Arial Narrow" w:hAnsi="Arial Narrow"/>
                <w:spacing w:val="6"/>
              </w:rPr>
            </w:pPr>
            <w:r w:rsidRPr="002F144C">
              <w:rPr>
                <w:rFonts w:ascii="Arial Narrow" w:hAnsi="Arial Narrow"/>
                <w:spacing w:val="6"/>
              </w:rPr>
              <w:t>1 - 1,4</w:t>
            </w:r>
          </w:p>
        </w:tc>
      </w:tr>
      <w:tr w:rsidR="00807992" w:rsidRPr="002F144C" w14:paraId="46E6B7E0" w14:textId="77777777" w:rsidTr="00EE2FA3">
        <w:trPr>
          <w:trHeight w:val="198"/>
          <w:jc w:val="center"/>
        </w:trPr>
        <w:tc>
          <w:tcPr>
            <w:tcW w:w="2830" w:type="pct"/>
            <w:tcBorders>
              <w:top w:val="single" w:sz="2" w:space="0" w:color="auto"/>
              <w:left w:val="nil"/>
              <w:bottom w:val="single" w:sz="4" w:space="0" w:color="auto"/>
              <w:right w:val="nil"/>
            </w:tcBorders>
            <w:vAlign w:val="center"/>
            <w:hideMark/>
          </w:tcPr>
          <w:p w14:paraId="2F2106D5"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left"/>
              <w:rPr>
                <w:rFonts w:ascii="Arial Narrow" w:hAnsi="Arial Narrow"/>
                <w:spacing w:val="6"/>
              </w:rPr>
            </w:pPr>
            <w:r w:rsidRPr="002F144C">
              <w:rPr>
                <w:rFonts w:ascii="Arial Narrow" w:hAnsi="Arial Narrow"/>
                <w:spacing w:val="6"/>
              </w:rPr>
              <w:t>Incremento de valor de los terrenos</w:t>
            </w:r>
          </w:p>
        </w:tc>
        <w:tc>
          <w:tcPr>
            <w:tcW w:w="1180" w:type="pct"/>
            <w:tcBorders>
              <w:top w:val="single" w:sz="2" w:space="0" w:color="auto"/>
              <w:left w:val="nil"/>
              <w:bottom w:val="single" w:sz="4" w:space="0" w:color="auto"/>
              <w:right w:val="nil"/>
            </w:tcBorders>
            <w:vAlign w:val="center"/>
            <w:hideMark/>
          </w:tcPr>
          <w:p w14:paraId="210FD3AD"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right"/>
              <w:rPr>
                <w:rFonts w:ascii="Arial Narrow" w:hAnsi="Arial Narrow"/>
                <w:spacing w:val="6"/>
              </w:rPr>
            </w:pPr>
            <w:r w:rsidRPr="002F144C">
              <w:rPr>
                <w:rFonts w:ascii="Arial Narrow" w:hAnsi="Arial Narrow"/>
                <w:spacing w:val="6"/>
              </w:rPr>
              <w:t>23</w:t>
            </w:r>
          </w:p>
        </w:tc>
        <w:tc>
          <w:tcPr>
            <w:tcW w:w="990" w:type="pct"/>
            <w:tcBorders>
              <w:top w:val="single" w:sz="2" w:space="0" w:color="auto"/>
              <w:left w:val="nil"/>
              <w:bottom w:val="single" w:sz="4" w:space="0" w:color="auto"/>
              <w:right w:val="nil"/>
            </w:tcBorders>
            <w:vAlign w:val="center"/>
            <w:hideMark/>
          </w:tcPr>
          <w:p w14:paraId="77385375"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right"/>
              <w:rPr>
                <w:rFonts w:ascii="Arial Narrow" w:hAnsi="Arial Narrow"/>
                <w:spacing w:val="6"/>
              </w:rPr>
            </w:pPr>
            <w:r w:rsidRPr="002F144C">
              <w:rPr>
                <w:rFonts w:ascii="Arial Narrow" w:hAnsi="Arial Narrow"/>
                <w:spacing w:val="6"/>
              </w:rPr>
              <w:t>8-25</w:t>
            </w:r>
          </w:p>
        </w:tc>
      </w:tr>
      <w:tr w:rsidR="00807992" w:rsidRPr="002F144C" w14:paraId="6EF747AF" w14:textId="77777777" w:rsidTr="00EE2FA3">
        <w:trPr>
          <w:trHeight w:val="198"/>
          <w:jc w:val="center"/>
        </w:trPr>
        <w:tc>
          <w:tcPr>
            <w:tcW w:w="2830" w:type="pct"/>
            <w:tcBorders>
              <w:top w:val="single" w:sz="4" w:space="0" w:color="auto"/>
              <w:left w:val="nil"/>
              <w:bottom w:val="single" w:sz="4" w:space="0" w:color="auto"/>
              <w:right w:val="nil"/>
            </w:tcBorders>
            <w:vAlign w:val="center"/>
            <w:hideMark/>
          </w:tcPr>
          <w:p w14:paraId="1C28D655"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 xml:space="preserve">Impuesto </w:t>
            </w:r>
            <w:r w:rsidRPr="002F144C">
              <w:rPr>
                <w:rFonts w:ascii="Arial Narrow" w:hAnsi="Arial Narrow"/>
                <w:spacing w:val="6"/>
              </w:rPr>
              <w:t>Construcciones, instalaciones y obras (ICIO)</w:t>
            </w:r>
          </w:p>
        </w:tc>
        <w:tc>
          <w:tcPr>
            <w:tcW w:w="1180" w:type="pct"/>
            <w:tcBorders>
              <w:top w:val="single" w:sz="4" w:space="0" w:color="auto"/>
              <w:left w:val="nil"/>
              <w:bottom w:val="single" w:sz="4" w:space="0" w:color="auto"/>
              <w:right w:val="nil"/>
            </w:tcBorders>
            <w:vAlign w:val="center"/>
            <w:hideMark/>
          </w:tcPr>
          <w:p w14:paraId="65B33911"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right"/>
              <w:rPr>
                <w:rFonts w:ascii="Arial Narrow" w:hAnsi="Arial Narrow"/>
                <w:spacing w:val="6"/>
              </w:rPr>
            </w:pPr>
            <w:r w:rsidRPr="002F144C">
              <w:rPr>
                <w:rFonts w:ascii="Arial Narrow" w:hAnsi="Arial Narrow"/>
                <w:spacing w:val="6"/>
              </w:rPr>
              <w:t>5</w:t>
            </w:r>
          </w:p>
        </w:tc>
        <w:tc>
          <w:tcPr>
            <w:tcW w:w="990" w:type="pct"/>
            <w:tcBorders>
              <w:top w:val="single" w:sz="4" w:space="0" w:color="auto"/>
              <w:left w:val="nil"/>
              <w:bottom w:val="single" w:sz="4" w:space="0" w:color="auto"/>
              <w:right w:val="nil"/>
            </w:tcBorders>
            <w:vAlign w:val="center"/>
            <w:hideMark/>
          </w:tcPr>
          <w:p w14:paraId="27A1383D" w14:textId="77777777" w:rsidR="00807992" w:rsidRPr="002F144C" w:rsidRDefault="00807992" w:rsidP="00725269">
            <w:pPr>
              <w:keepLines/>
              <w:tabs>
                <w:tab w:val="left" w:pos="142"/>
                <w:tab w:val="right" w:pos="2835"/>
                <w:tab w:val="right" w:pos="3969"/>
                <w:tab w:val="right" w:pos="5103"/>
                <w:tab w:val="right" w:pos="6237"/>
                <w:tab w:val="right" w:pos="7371"/>
              </w:tabs>
              <w:spacing w:after="0"/>
              <w:ind w:firstLine="0"/>
              <w:jc w:val="right"/>
              <w:rPr>
                <w:rFonts w:ascii="Arial Narrow" w:hAnsi="Arial Narrow"/>
                <w:spacing w:val="6"/>
              </w:rPr>
            </w:pPr>
            <w:r w:rsidRPr="002F144C">
              <w:rPr>
                <w:rFonts w:ascii="Arial Narrow" w:hAnsi="Arial Narrow"/>
                <w:spacing w:val="6"/>
              </w:rPr>
              <w:t>2-5</w:t>
            </w:r>
          </w:p>
        </w:tc>
      </w:tr>
    </w:tbl>
    <w:p w14:paraId="1F860860" w14:textId="77777777" w:rsidR="00807992" w:rsidRPr="00DD7910" w:rsidRDefault="00807992" w:rsidP="00807992">
      <w:pPr>
        <w:tabs>
          <w:tab w:val="left" w:pos="480"/>
          <w:tab w:val="num" w:pos="720"/>
          <w:tab w:val="num" w:pos="1320"/>
        </w:tabs>
        <w:spacing w:before="240" w:after="200"/>
        <w:ind w:firstLine="284"/>
        <w:rPr>
          <w:rFonts w:cs="Arial"/>
          <w:spacing w:val="6"/>
          <w:sz w:val="26"/>
          <w:szCs w:val="24"/>
        </w:rPr>
      </w:pPr>
      <w:r w:rsidRPr="00DD7910">
        <w:rPr>
          <w:rFonts w:cs="Arial"/>
          <w:spacing w:val="6"/>
          <w:sz w:val="26"/>
          <w:szCs w:val="24"/>
        </w:rPr>
        <w:lastRenderedPageBreak/>
        <w:t>Continúa pendiente la aprobación de una ponencia de valoración total actualizando los valores y adaptando el tipo impositivo único de la contribución territorial establecido en la LFHL.</w:t>
      </w:r>
    </w:p>
    <w:p w14:paraId="73FC11D4" w14:textId="77777777" w:rsidR="00807992" w:rsidRPr="00667DFF" w:rsidRDefault="00807992" w:rsidP="00807992">
      <w:pPr>
        <w:tabs>
          <w:tab w:val="left" w:pos="480"/>
          <w:tab w:val="num" w:pos="720"/>
          <w:tab w:val="num" w:pos="1320"/>
        </w:tabs>
        <w:spacing w:before="120" w:after="240"/>
        <w:ind w:firstLine="284"/>
        <w:rPr>
          <w:rFonts w:cs="Arial"/>
          <w:spacing w:val="6"/>
          <w:sz w:val="26"/>
          <w:szCs w:val="24"/>
        </w:rPr>
      </w:pPr>
      <w:r w:rsidRPr="00667DFF">
        <w:rPr>
          <w:rFonts w:cs="Arial"/>
          <w:color w:val="000000" w:themeColor="text1"/>
          <w:spacing w:val="6"/>
          <w:sz w:val="26"/>
          <w:szCs w:val="24"/>
        </w:rPr>
        <w:t xml:space="preserve">Hemos revisado el Plan de Control Tributario y una muestra sobre las siguientes </w:t>
      </w:r>
      <w:r w:rsidRPr="00667DFF">
        <w:rPr>
          <w:rFonts w:cs="Arial"/>
          <w:spacing w:val="6"/>
          <w:sz w:val="26"/>
          <w:szCs w:val="24"/>
        </w:rPr>
        <w:t>partidas de ingresos:</w:t>
      </w:r>
    </w:p>
    <w:tbl>
      <w:tblPr>
        <w:tblW w:w="8789" w:type="dxa"/>
        <w:jc w:val="center"/>
        <w:tblLook w:val="01E0" w:firstRow="1" w:lastRow="1" w:firstColumn="1" w:lastColumn="1" w:noHBand="0" w:noVBand="0"/>
      </w:tblPr>
      <w:tblGrid>
        <w:gridCol w:w="6031"/>
        <w:gridCol w:w="1624"/>
        <w:gridCol w:w="1134"/>
      </w:tblGrid>
      <w:tr w:rsidR="00807992" w:rsidRPr="00667DFF" w14:paraId="05BBA9B7" w14:textId="77777777" w:rsidTr="00BF76EE">
        <w:trPr>
          <w:trHeight w:val="227"/>
          <w:jc w:val="center"/>
        </w:trPr>
        <w:tc>
          <w:tcPr>
            <w:tcW w:w="6031" w:type="dxa"/>
            <w:tcBorders>
              <w:top w:val="single" w:sz="4" w:space="0" w:color="auto"/>
              <w:bottom w:val="single" w:sz="2" w:space="0" w:color="auto"/>
            </w:tcBorders>
            <w:shd w:val="clear" w:color="auto" w:fill="FABF8F" w:themeFill="accent6" w:themeFillTint="99"/>
            <w:vAlign w:val="center"/>
          </w:tcPr>
          <w:p w14:paraId="2844F2BF" w14:textId="77777777" w:rsidR="00807992" w:rsidRPr="00667DFF" w:rsidRDefault="00807992" w:rsidP="00807992">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667DFF">
              <w:rPr>
                <w:rFonts w:ascii="Arial" w:hAnsi="Arial"/>
                <w:spacing w:val="6"/>
                <w:sz w:val="18"/>
                <w:szCs w:val="24"/>
              </w:rPr>
              <w:t>Concepto</w:t>
            </w:r>
          </w:p>
        </w:tc>
        <w:tc>
          <w:tcPr>
            <w:tcW w:w="1624" w:type="dxa"/>
            <w:tcBorders>
              <w:top w:val="single" w:sz="4" w:space="0" w:color="auto"/>
              <w:bottom w:val="single" w:sz="2" w:space="0" w:color="auto"/>
            </w:tcBorders>
            <w:shd w:val="clear" w:color="auto" w:fill="FABF8F" w:themeFill="accent6" w:themeFillTint="99"/>
            <w:vAlign w:val="center"/>
          </w:tcPr>
          <w:p w14:paraId="78213F42" w14:textId="77777777" w:rsidR="00807992" w:rsidRPr="00667DFF" w:rsidRDefault="00807992" w:rsidP="00BF76EE">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667DFF">
              <w:rPr>
                <w:rFonts w:ascii="Arial" w:hAnsi="Arial"/>
                <w:spacing w:val="6"/>
                <w:sz w:val="18"/>
                <w:szCs w:val="24"/>
              </w:rPr>
              <w:t xml:space="preserve">Derechos </w:t>
            </w:r>
          </w:p>
          <w:p w14:paraId="2E84B7D2" w14:textId="77777777" w:rsidR="00807992" w:rsidRPr="00667DFF" w:rsidRDefault="00807992" w:rsidP="00BF76EE">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667DFF">
              <w:rPr>
                <w:rFonts w:ascii="Arial" w:hAnsi="Arial"/>
                <w:spacing w:val="6"/>
                <w:sz w:val="18"/>
                <w:szCs w:val="24"/>
              </w:rPr>
              <w:t>reconocidos</w:t>
            </w:r>
          </w:p>
        </w:tc>
        <w:tc>
          <w:tcPr>
            <w:tcW w:w="1134" w:type="dxa"/>
            <w:tcBorders>
              <w:top w:val="single" w:sz="4" w:space="0" w:color="auto"/>
              <w:bottom w:val="single" w:sz="2" w:space="0" w:color="auto"/>
            </w:tcBorders>
            <w:shd w:val="clear" w:color="auto" w:fill="FABF8F" w:themeFill="accent6" w:themeFillTint="99"/>
            <w:vAlign w:val="center"/>
          </w:tcPr>
          <w:p w14:paraId="348CBC0C" w14:textId="77777777" w:rsidR="00807992" w:rsidRDefault="00807992" w:rsidP="00BF76EE">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667DFF">
              <w:rPr>
                <w:rFonts w:ascii="Arial" w:hAnsi="Arial"/>
                <w:spacing w:val="6"/>
                <w:sz w:val="18"/>
                <w:szCs w:val="24"/>
              </w:rPr>
              <w:t>% Var</w:t>
            </w:r>
            <w:r>
              <w:rPr>
                <w:rFonts w:ascii="Arial" w:hAnsi="Arial"/>
                <w:spacing w:val="6"/>
                <w:sz w:val="18"/>
                <w:szCs w:val="24"/>
              </w:rPr>
              <w:t>.</w:t>
            </w:r>
          </w:p>
          <w:p w14:paraId="1616DA26" w14:textId="77777777" w:rsidR="00807992" w:rsidRPr="00667DFF" w:rsidRDefault="00807992" w:rsidP="00BF76EE">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2021</w:t>
            </w:r>
            <w:r w:rsidRPr="00667DFF">
              <w:rPr>
                <w:rFonts w:ascii="Arial" w:hAnsi="Arial"/>
                <w:spacing w:val="6"/>
                <w:sz w:val="18"/>
                <w:szCs w:val="24"/>
              </w:rPr>
              <w:t>/20</w:t>
            </w:r>
            <w:r>
              <w:rPr>
                <w:rFonts w:ascii="Arial" w:hAnsi="Arial"/>
                <w:spacing w:val="6"/>
                <w:sz w:val="18"/>
                <w:szCs w:val="24"/>
              </w:rPr>
              <w:t>20</w:t>
            </w:r>
          </w:p>
        </w:tc>
      </w:tr>
      <w:tr w:rsidR="00807992" w:rsidRPr="00667DFF" w14:paraId="73E7BD40" w14:textId="77777777" w:rsidTr="006C15C7">
        <w:trPr>
          <w:trHeight w:val="198"/>
          <w:jc w:val="center"/>
        </w:trPr>
        <w:tc>
          <w:tcPr>
            <w:tcW w:w="6031" w:type="dxa"/>
            <w:tcBorders>
              <w:top w:val="single" w:sz="2" w:space="0" w:color="auto"/>
              <w:bottom w:val="single" w:sz="4" w:space="0" w:color="auto"/>
            </w:tcBorders>
            <w:vAlign w:val="center"/>
          </w:tcPr>
          <w:p w14:paraId="0B6A9704" w14:textId="77777777" w:rsidR="00807992" w:rsidRPr="00667DFF" w:rsidRDefault="00807992" w:rsidP="002B0291">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Pr>
                <w:rFonts w:ascii="Arial Narrow" w:hAnsi="Arial Narrow"/>
                <w:spacing w:val="6"/>
                <w:szCs w:val="24"/>
              </w:rPr>
              <w:t>Impuesto s</w:t>
            </w:r>
            <w:r w:rsidR="002B0291">
              <w:rPr>
                <w:rFonts w:ascii="Arial Narrow" w:hAnsi="Arial Narrow"/>
                <w:spacing w:val="6"/>
                <w:szCs w:val="24"/>
              </w:rPr>
              <w:t>/</w:t>
            </w:r>
            <w:r>
              <w:rPr>
                <w:rFonts w:ascii="Arial Narrow" w:hAnsi="Arial Narrow"/>
                <w:spacing w:val="6"/>
                <w:szCs w:val="24"/>
              </w:rPr>
              <w:t>el incremento de valor de terrenos de naturaleza urbana</w:t>
            </w:r>
          </w:p>
        </w:tc>
        <w:tc>
          <w:tcPr>
            <w:tcW w:w="1624" w:type="dxa"/>
            <w:tcBorders>
              <w:top w:val="single" w:sz="2" w:space="0" w:color="auto"/>
              <w:bottom w:val="single" w:sz="4" w:space="0" w:color="auto"/>
            </w:tcBorders>
            <w:vAlign w:val="center"/>
          </w:tcPr>
          <w:p w14:paraId="13303D83" w14:textId="77777777" w:rsidR="00807992" w:rsidRPr="00667DFF" w:rsidRDefault="00807992" w:rsidP="0080799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cs="Calibri"/>
                <w:color w:val="000000"/>
                <w:lang w:val="es-ES" w:eastAsia="es-ES"/>
              </w:rPr>
              <w:t>5.803.854</w:t>
            </w:r>
          </w:p>
        </w:tc>
        <w:tc>
          <w:tcPr>
            <w:tcW w:w="1134" w:type="dxa"/>
            <w:tcBorders>
              <w:top w:val="single" w:sz="2" w:space="0" w:color="auto"/>
              <w:bottom w:val="single" w:sz="4" w:space="0" w:color="auto"/>
            </w:tcBorders>
            <w:vAlign w:val="center"/>
          </w:tcPr>
          <w:p w14:paraId="3CB481E3" w14:textId="77777777" w:rsidR="00807992" w:rsidRPr="00667DFF" w:rsidRDefault="00807992" w:rsidP="0080799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-22</w:t>
            </w:r>
          </w:p>
        </w:tc>
      </w:tr>
      <w:tr w:rsidR="00807992" w:rsidRPr="00667DFF" w14:paraId="09F67AFA" w14:textId="77777777" w:rsidTr="006C15C7">
        <w:trPr>
          <w:trHeight w:val="198"/>
          <w:jc w:val="center"/>
        </w:trPr>
        <w:tc>
          <w:tcPr>
            <w:tcW w:w="6031" w:type="dxa"/>
            <w:tcBorders>
              <w:top w:val="single" w:sz="4" w:space="0" w:color="auto"/>
              <w:bottom w:val="single" w:sz="4" w:space="0" w:color="auto"/>
            </w:tcBorders>
            <w:vAlign w:val="center"/>
          </w:tcPr>
          <w:p w14:paraId="1C542DA6" w14:textId="77777777" w:rsidR="00807992" w:rsidRPr="00667DFF" w:rsidRDefault="00807992" w:rsidP="00807992">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Pr>
                <w:rFonts w:ascii="Arial Narrow" w:hAnsi="Arial Narrow"/>
                <w:spacing w:val="6"/>
                <w:szCs w:val="24"/>
              </w:rPr>
              <w:t>Impuesto sobre construcciones, instalaciones y obras</w:t>
            </w:r>
          </w:p>
        </w:tc>
        <w:tc>
          <w:tcPr>
            <w:tcW w:w="1624" w:type="dxa"/>
            <w:tcBorders>
              <w:top w:val="single" w:sz="4" w:space="0" w:color="auto"/>
              <w:bottom w:val="single" w:sz="4" w:space="0" w:color="auto"/>
            </w:tcBorders>
            <w:vAlign w:val="center"/>
          </w:tcPr>
          <w:p w14:paraId="6467F445" w14:textId="77777777" w:rsidR="00807992" w:rsidRPr="00667DFF" w:rsidRDefault="00807992" w:rsidP="0080799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cs="Calibri"/>
                <w:color w:val="000000"/>
                <w:lang w:val="es-ES" w:eastAsia="es-ES"/>
              </w:rPr>
              <w:t>13.386.626</w:t>
            </w:r>
          </w:p>
        </w:tc>
        <w:tc>
          <w:tcPr>
            <w:tcW w:w="1134" w:type="dxa"/>
            <w:tcBorders>
              <w:top w:val="single" w:sz="4" w:space="0" w:color="auto"/>
              <w:bottom w:val="single" w:sz="4" w:space="0" w:color="auto"/>
            </w:tcBorders>
            <w:vAlign w:val="center"/>
          </w:tcPr>
          <w:p w14:paraId="0312F966" w14:textId="77777777" w:rsidR="00807992" w:rsidRPr="00667DFF" w:rsidRDefault="00807992" w:rsidP="00807992">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56</w:t>
            </w:r>
          </w:p>
        </w:tc>
      </w:tr>
    </w:tbl>
    <w:p w14:paraId="4FD86FC9" w14:textId="77777777" w:rsidR="008F663D" w:rsidRDefault="008F663D" w:rsidP="00807992">
      <w:pPr>
        <w:tabs>
          <w:tab w:val="num" w:pos="600"/>
          <w:tab w:val="num" w:pos="720"/>
          <w:tab w:val="num" w:pos="1320"/>
        </w:tabs>
        <w:spacing w:after="120"/>
        <w:ind w:left="142" w:firstLine="0"/>
        <w:rPr>
          <w:rFonts w:cs="Arial"/>
          <w:spacing w:val="6"/>
          <w:sz w:val="26"/>
          <w:szCs w:val="24"/>
        </w:rPr>
      </w:pPr>
    </w:p>
    <w:p w14:paraId="3D454DDF" w14:textId="77777777" w:rsidR="00807992" w:rsidRPr="005E2E7B" w:rsidRDefault="00807992" w:rsidP="00807992">
      <w:pPr>
        <w:numPr>
          <w:ilvl w:val="0"/>
          <w:numId w:val="10"/>
        </w:numPr>
        <w:tabs>
          <w:tab w:val="num" w:pos="284"/>
          <w:tab w:val="num" w:pos="600"/>
          <w:tab w:val="num" w:pos="720"/>
          <w:tab w:val="num" w:pos="1320"/>
        </w:tabs>
        <w:spacing w:after="120"/>
        <w:rPr>
          <w:rFonts w:cs="Arial"/>
          <w:spacing w:val="6"/>
          <w:sz w:val="26"/>
          <w:szCs w:val="24"/>
        </w:rPr>
      </w:pPr>
      <w:r w:rsidRPr="005E2E7B">
        <w:rPr>
          <w:rFonts w:cs="Arial"/>
          <w:spacing w:val="6"/>
          <w:sz w:val="26"/>
          <w:szCs w:val="24"/>
        </w:rPr>
        <w:t xml:space="preserve">El Plan de Inspección de 2021 fue aprobado el 22 de diciembre de 2020 y publicado </w:t>
      </w:r>
      <w:r>
        <w:rPr>
          <w:rFonts w:cs="Arial"/>
          <w:spacing w:val="6"/>
          <w:sz w:val="26"/>
          <w:szCs w:val="24"/>
        </w:rPr>
        <w:t xml:space="preserve">posteriormente en el BON. </w:t>
      </w:r>
      <w:r w:rsidRPr="005E2E7B">
        <w:rPr>
          <w:rFonts w:cs="Arial"/>
          <w:spacing w:val="6"/>
          <w:sz w:val="26"/>
          <w:szCs w:val="24"/>
        </w:rPr>
        <w:t xml:space="preserve">El alcance del plan de inspección ha sido el siguiente: </w:t>
      </w:r>
    </w:p>
    <w:tbl>
      <w:tblPr>
        <w:tblW w:w="0" w:type="auto"/>
        <w:tblCellMar>
          <w:left w:w="70" w:type="dxa"/>
          <w:right w:w="70" w:type="dxa"/>
        </w:tblCellMar>
        <w:tblLook w:val="04A0" w:firstRow="1" w:lastRow="0" w:firstColumn="1" w:lastColumn="0" w:noHBand="0" w:noVBand="1"/>
      </w:tblPr>
      <w:tblGrid>
        <w:gridCol w:w="3402"/>
        <w:gridCol w:w="1418"/>
        <w:gridCol w:w="1984"/>
        <w:gridCol w:w="1985"/>
      </w:tblGrid>
      <w:tr w:rsidR="00807992" w:rsidRPr="002B0291" w14:paraId="7028A992" w14:textId="77777777" w:rsidTr="00BF76EE">
        <w:trPr>
          <w:trHeight w:val="255"/>
        </w:trPr>
        <w:tc>
          <w:tcPr>
            <w:tcW w:w="3402" w:type="dxa"/>
            <w:tcBorders>
              <w:top w:val="single" w:sz="4" w:space="0" w:color="auto"/>
              <w:left w:val="nil"/>
              <w:bottom w:val="single" w:sz="2" w:space="0" w:color="auto"/>
              <w:right w:val="nil"/>
            </w:tcBorders>
            <w:shd w:val="clear" w:color="000000" w:fill="FABF8F"/>
            <w:vAlign w:val="center"/>
            <w:hideMark/>
          </w:tcPr>
          <w:p w14:paraId="26C94918" w14:textId="77777777" w:rsidR="00807992" w:rsidRPr="002B0291" w:rsidRDefault="00807992" w:rsidP="00807992">
            <w:pPr>
              <w:spacing w:after="0"/>
              <w:ind w:firstLine="0"/>
              <w:jc w:val="left"/>
              <w:rPr>
                <w:rFonts w:ascii="Arial" w:hAnsi="Arial" w:cs="Arial"/>
                <w:sz w:val="18"/>
                <w:szCs w:val="18"/>
                <w:lang w:val="es-ES" w:eastAsia="es-ES"/>
              </w:rPr>
            </w:pPr>
            <w:r w:rsidRPr="002B0291">
              <w:rPr>
                <w:rFonts w:ascii="Arial" w:hAnsi="Arial" w:cs="Arial"/>
                <w:sz w:val="18"/>
                <w:szCs w:val="18"/>
                <w:lang w:val="es-ES" w:eastAsia="es-ES"/>
              </w:rPr>
              <w:t>Concepto</w:t>
            </w:r>
          </w:p>
        </w:tc>
        <w:tc>
          <w:tcPr>
            <w:tcW w:w="1418" w:type="dxa"/>
            <w:tcBorders>
              <w:top w:val="single" w:sz="4" w:space="0" w:color="auto"/>
              <w:left w:val="nil"/>
              <w:bottom w:val="single" w:sz="2" w:space="0" w:color="auto"/>
              <w:right w:val="nil"/>
            </w:tcBorders>
            <w:shd w:val="clear" w:color="000000" w:fill="FABF8F"/>
            <w:vAlign w:val="center"/>
            <w:hideMark/>
          </w:tcPr>
          <w:p w14:paraId="1305D279" w14:textId="77777777" w:rsidR="00807992" w:rsidRPr="002B0291" w:rsidRDefault="00807992" w:rsidP="00BF76EE">
            <w:pPr>
              <w:spacing w:after="0"/>
              <w:ind w:firstLine="0"/>
              <w:jc w:val="right"/>
              <w:rPr>
                <w:rFonts w:ascii="Arial" w:hAnsi="Arial" w:cs="Arial"/>
                <w:sz w:val="18"/>
                <w:szCs w:val="18"/>
                <w:lang w:val="es-ES" w:eastAsia="es-ES"/>
              </w:rPr>
            </w:pPr>
            <w:proofErr w:type="spellStart"/>
            <w:r w:rsidRPr="002B0291">
              <w:rPr>
                <w:rFonts w:ascii="Arial" w:hAnsi="Arial" w:cs="Arial"/>
                <w:sz w:val="18"/>
                <w:szCs w:val="18"/>
                <w:lang w:val="es-ES" w:eastAsia="es-ES"/>
              </w:rPr>
              <w:t>Nº</w:t>
            </w:r>
            <w:proofErr w:type="spellEnd"/>
            <w:r w:rsidRPr="002B0291">
              <w:rPr>
                <w:rFonts w:ascii="Arial" w:hAnsi="Arial" w:cs="Arial"/>
                <w:sz w:val="18"/>
                <w:szCs w:val="18"/>
                <w:lang w:val="es-ES" w:eastAsia="es-ES"/>
              </w:rPr>
              <w:t xml:space="preserve"> de recibos</w:t>
            </w:r>
          </w:p>
        </w:tc>
        <w:tc>
          <w:tcPr>
            <w:tcW w:w="1984" w:type="dxa"/>
            <w:tcBorders>
              <w:top w:val="single" w:sz="4" w:space="0" w:color="auto"/>
              <w:left w:val="nil"/>
              <w:bottom w:val="single" w:sz="2" w:space="0" w:color="auto"/>
              <w:right w:val="nil"/>
            </w:tcBorders>
            <w:shd w:val="clear" w:color="000000" w:fill="FABF8F"/>
            <w:vAlign w:val="center"/>
            <w:hideMark/>
          </w:tcPr>
          <w:p w14:paraId="61681AA3" w14:textId="77777777" w:rsidR="002B0291" w:rsidRDefault="00807992" w:rsidP="00BF76EE">
            <w:pPr>
              <w:spacing w:after="0"/>
              <w:ind w:firstLine="0"/>
              <w:jc w:val="right"/>
              <w:rPr>
                <w:rFonts w:ascii="Arial" w:hAnsi="Arial" w:cs="Arial"/>
                <w:sz w:val="18"/>
                <w:szCs w:val="18"/>
                <w:lang w:val="es-ES" w:eastAsia="es-ES"/>
              </w:rPr>
            </w:pPr>
            <w:r w:rsidRPr="002B0291">
              <w:rPr>
                <w:rFonts w:ascii="Arial" w:hAnsi="Arial" w:cs="Arial"/>
                <w:sz w:val="18"/>
                <w:szCs w:val="18"/>
                <w:lang w:val="es-ES" w:eastAsia="es-ES"/>
              </w:rPr>
              <w:t xml:space="preserve">Derechos reconocidos </w:t>
            </w:r>
          </w:p>
          <w:p w14:paraId="71D2BF45" w14:textId="77777777" w:rsidR="00807992" w:rsidRPr="002B0291" w:rsidRDefault="00807992" w:rsidP="00BF76EE">
            <w:pPr>
              <w:spacing w:after="0"/>
              <w:ind w:firstLine="0"/>
              <w:jc w:val="right"/>
              <w:rPr>
                <w:rFonts w:ascii="Arial" w:hAnsi="Arial" w:cs="Arial"/>
                <w:sz w:val="18"/>
                <w:szCs w:val="18"/>
                <w:lang w:val="es-ES" w:eastAsia="es-ES"/>
              </w:rPr>
            </w:pPr>
            <w:r w:rsidRPr="002B0291">
              <w:rPr>
                <w:rFonts w:ascii="Arial" w:hAnsi="Arial" w:cs="Arial"/>
                <w:sz w:val="18"/>
                <w:szCs w:val="18"/>
                <w:lang w:val="es-ES" w:eastAsia="es-ES"/>
              </w:rPr>
              <w:t>inspeccionados</w:t>
            </w:r>
          </w:p>
        </w:tc>
        <w:tc>
          <w:tcPr>
            <w:tcW w:w="1985" w:type="dxa"/>
            <w:tcBorders>
              <w:top w:val="single" w:sz="4" w:space="0" w:color="auto"/>
              <w:left w:val="nil"/>
              <w:bottom w:val="single" w:sz="2" w:space="0" w:color="auto"/>
              <w:right w:val="nil"/>
            </w:tcBorders>
            <w:shd w:val="clear" w:color="000000" w:fill="FABF8F"/>
            <w:vAlign w:val="center"/>
            <w:hideMark/>
          </w:tcPr>
          <w:p w14:paraId="3D00B506" w14:textId="77777777" w:rsidR="002B0291" w:rsidRDefault="00807992" w:rsidP="00BF76EE">
            <w:pPr>
              <w:spacing w:after="0"/>
              <w:ind w:firstLine="0"/>
              <w:jc w:val="right"/>
              <w:rPr>
                <w:rFonts w:ascii="Arial" w:hAnsi="Arial" w:cs="Arial"/>
                <w:sz w:val="18"/>
                <w:szCs w:val="18"/>
                <w:lang w:val="es-ES" w:eastAsia="es-ES"/>
              </w:rPr>
            </w:pPr>
            <w:r w:rsidRPr="002B0291">
              <w:rPr>
                <w:rFonts w:ascii="Arial" w:hAnsi="Arial" w:cs="Arial"/>
                <w:sz w:val="18"/>
                <w:szCs w:val="18"/>
                <w:lang w:val="es-ES" w:eastAsia="es-ES"/>
              </w:rPr>
              <w:t>% Inspeccionados/</w:t>
            </w:r>
          </w:p>
          <w:p w14:paraId="5F2D83DD" w14:textId="77777777" w:rsidR="00807992" w:rsidRPr="002B0291" w:rsidRDefault="00807992" w:rsidP="00BF76EE">
            <w:pPr>
              <w:spacing w:after="0"/>
              <w:ind w:firstLine="0"/>
              <w:jc w:val="right"/>
              <w:rPr>
                <w:rFonts w:ascii="Arial" w:hAnsi="Arial" w:cs="Arial"/>
                <w:sz w:val="18"/>
                <w:szCs w:val="18"/>
                <w:lang w:val="es-ES" w:eastAsia="es-ES"/>
              </w:rPr>
            </w:pPr>
            <w:proofErr w:type="gramStart"/>
            <w:r w:rsidRPr="002B0291">
              <w:rPr>
                <w:rFonts w:ascii="Arial" w:hAnsi="Arial" w:cs="Arial"/>
                <w:sz w:val="18"/>
                <w:szCs w:val="18"/>
                <w:lang w:val="es-ES" w:eastAsia="es-ES"/>
              </w:rPr>
              <w:t>Total</w:t>
            </w:r>
            <w:proofErr w:type="gramEnd"/>
            <w:r w:rsidRPr="002B0291">
              <w:rPr>
                <w:rFonts w:ascii="Arial" w:hAnsi="Arial" w:cs="Arial"/>
                <w:sz w:val="18"/>
                <w:szCs w:val="18"/>
                <w:lang w:val="es-ES" w:eastAsia="es-ES"/>
              </w:rPr>
              <w:t xml:space="preserve"> DR</w:t>
            </w:r>
          </w:p>
        </w:tc>
      </w:tr>
      <w:tr w:rsidR="00807992" w:rsidRPr="007E04F3" w14:paraId="3C1287CE" w14:textId="77777777" w:rsidTr="00D951F3">
        <w:trPr>
          <w:trHeight w:val="198"/>
        </w:trPr>
        <w:tc>
          <w:tcPr>
            <w:tcW w:w="3402" w:type="dxa"/>
            <w:tcBorders>
              <w:top w:val="single" w:sz="2" w:space="0" w:color="auto"/>
              <w:left w:val="nil"/>
              <w:bottom w:val="single" w:sz="2" w:space="0" w:color="auto"/>
              <w:right w:val="nil"/>
            </w:tcBorders>
            <w:shd w:val="clear" w:color="auto" w:fill="auto"/>
            <w:noWrap/>
            <w:vAlign w:val="center"/>
            <w:hideMark/>
          </w:tcPr>
          <w:p w14:paraId="62FE42A5" w14:textId="77777777" w:rsidR="00807992" w:rsidRPr="002B0291" w:rsidRDefault="00807992" w:rsidP="00807992">
            <w:pPr>
              <w:spacing w:after="0"/>
              <w:ind w:firstLine="0"/>
              <w:jc w:val="left"/>
              <w:rPr>
                <w:rFonts w:ascii="Arial Narrow" w:hAnsi="Arial Narrow" w:cs="Calibri"/>
                <w:lang w:val="es-ES" w:eastAsia="es-ES"/>
              </w:rPr>
            </w:pPr>
            <w:r w:rsidRPr="002B0291">
              <w:rPr>
                <w:rFonts w:ascii="Arial Narrow" w:hAnsi="Arial Narrow" w:cs="Calibri"/>
                <w:lang w:val="es-ES" w:eastAsia="es-ES"/>
              </w:rPr>
              <w:t>I.A.E.</w:t>
            </w:r>
          </w:p>
        </w:tc>
        <w:tc>
          <w:tcPr>
            <w:tcW w:w="1418" w:type="dxa"/>
            <w:tcBorders>
              <w:top w:val="single" w:sz="2" w:space="0" w:color="auto"/>
              <w:left w:val="nil"/>
              <w:bottom w:val="single" w:sz="2" w:space="0" w:color="auto"/>
              <w:right w:val="nil"/>
            </w:tcBorders>
            <w:shd w:val="clear" w:color="auto" w:fill="auto"/>
            <w:vAlign w:val="center"/>
            <w:hideMark/>
          </w:tcPr>
          <w:p w14:paraId="4F4F907A"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3</w:t>
            </w:r>
          </w:p>
        </w:tc>
        <w:tc>
          <w:tcPr>
            <w:tcW w:w="1984" w:type="dxa"/>
            <w:tcBorders>
              <w:top w:val="single" w:sz="2" w:space="0" w:color="auto"/>
              <w:left w:val="nil"/>
              <w:bottom w:val="single" w:sz="2" w:space="0" w:color="auto"/>
              <w:right w:val="nil"/>
            </w:tcBorders>
            <w:shd w:val="clear" w:color="auto" w:fill="auto"/>
            <w:noWrap/>
            <w:vAlign w:val="center"/>
            <w:hideMark/>
          </w:tcPr>
          <w:p w14:paraId="3A667EAC"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94.624</w:t>
            </w:r>
          </w:p>
        </w:tc>
        <w:tc>
          <w:tcPr>
            <w:tcW w:w="1985" w:type="dxa"/>
            <w:tcBorders>
              <w:top w:val="single" w:sz="2" w:space="0" w:color="auto"/>
              <w:left w:val="nil"/>
              <w:bottom w:val="single" w:sz="2" w:space="0" w:color="auto"/>
              <w:right w:val="nil"/>
            </w:tcBorders>
            <w:shd w:val="clear" w:color="auto" w:fill="auto"/>
            <w:noWrap/>
            <w:vAlign w:val="center"/>
            <w:hideMark/>
          </w:tcPr>
          <w:p w14:paraId="09166AF9"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1</w:t>
            </w:r>
          </w:p>
        </w:tc>
      </w:tr>
      <w:tr w:rsidR="00807992" w:rsidRPr="007E04F3" w14:paraId="5E4BFFED" w14:textId="77777777" w:rsidTr="00CE26B4">
        <w:trPr>
          <w:trHeight w:val="198"/>
        </w:trPr>
        <w:tc>
          <w:tcPr>
            <w:tcW w:w="3402" w:type="dxa"/>
            <w:tcBorders>
              <w:top w:val="single" w:sz="2" w:space="0" w:color="auto"/>
              <w:left w:val="nil"/>
              <w:bottom w:val="single" w:sz="2" w:space="0" w:color="auto"/>
              <w:right w:val="nil"/>
            </w:tcBorders>
            <w:shd w:val="clear" w:color="auto" w:fill="auto"/>
            <w:noWrap/>
            <w:vAlign w:val="center"/>
            <w:hideMark/>
          </w:tcPr>
          <w:p w14:paraId="2DF0D044" w14:textId="77777777" w:rsidR="00807992" w:rsidRPr="002B0291" w:rsidRDefault="00807992" w:rsidP="00807992">
            <w:pPr>
              <w:spacing w:after="0"/>
              <w:ind w:firstLine="0"/>
              <w:jc w:val="left"/>
              <w:rPr>
                <w:rFonts w:ascii="Arial Narrow" w:hAnsi="Arial Narrow" w:cs="Calibri"/>
                <w:lang w:val="es-ES" w:eastAsia="es-ES"/>
              </w:rPr>
            </w:pPr>
            <w:r w:rsidRPr="002B0291">
              <w:rPr>
                <w:rFonts w:ascii="Arial Narrow" w:hAnsi="Arial Narrow" w:cs="Calibri"/>
                <w:lang w:val="es-ES" w:eastAsia="es-ES"/>
              </w:rPr>
              <w:t>ICIO</w:t>
            </w:r>
          </w:p>
        </w:tc>
        <w:tc>
          <w:tcPr>
            <w:tcW w:w="1418" w:type="dxa"/>
            <w:tcBorders>
              <w:top w:val="single" w:sz="2" w:space="0" w:color="auto"/>
              <w:left w:val="nil"/>
              <w:bottom w:val="single" w:sz="2" w:space="0" w:color="auto"/>
              <w:right w:val="nil"/>
            </w:tcBorders>
            <w:shd w:val="clear" w:color="auto" w:fill="auto"/>
            <w:vAlign w:val="center"/>
            <w:hideMark/>
          </w:tcPr>
          <w:p w14:paraId="0A727FCC"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230</w:t>
            </w:r>
          </w:p>
        </w:tc>
        <w:tc>
          <w:tcPr>
            <w:tcW w:w="1984" w:type="dxa"/>
            <w:tcBorders>
              <w:top w:val="single" w:sz="2" w:space="0" w:color="auto"/>
              <w:left w:val="nil"/>
              <w:bottom w:val="single" w:sz="2" w:space="0" w:color="auto"/>
              <w:right w:val="nil"/>
            </w:tcBorders>
            <w:shd w:val="clear" w:color="auto" w:fill="auto"/>
            <w:noWrap/>
            <w:vAlign w:val="center"/>
            <w:hideMark/>
          </w:tcPr>
          <w:p w14:paraId="659D6656"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1.323.824</w:t>
            </w:r>
          </w:p>
        </w:tc>
        <w:tc>
          <w:tcPr>
            <w:tcW w:w="1985" w:type="dxa"/>
            <w:tcBorders>
              <w:top w:val="single" w:sz="2" w:space="0" w:color="auto"/>
              <w:left w:val="nil"/>
              <w:bottom w:val="single" w:sz="2" w:space="0" w:color="auto"/>
              <w:right w:val="nil"/>
            </w:tcBorders>
            <w:shd w:val="clear" w:color="auto" w:fill="auto"/>
            <w:noWrap/>
            <w:vAlign w:val="center"/>
            <w:hideMark/>
          </w:tcPr>
          <w:p w14:paraId="626BD80B"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10</w:t>
            </w:r>
          </w:p>
        </w:tc>
      </w:tr>
      <w:tr w:rsidR="00807992" w:rsidRPr="007E04F3" w14:paraId="4849C804" w14:textId="77777777" w:rsidTr="00CE26B4">
        <w:trPr>
          <w:trHeight w:val="198"/>
        </w:trPr>
        <w:tc>
          <w:tcPr>
            <w:tcW w:w="3402" w:type="dxa"/>
            <w:tcBorders>
              <w:top w:val="single" w:sz="2" w:space="0" w:color="auto"/>
              <w:left w:val="nil"/>
              <w:bottom w:val="single" w:sz="2" w:space="0" w:color="auto"/>
              <w:right w:val="nil"/>
            </w:tcBorders>
            <w:shd w:val="clear" w:color="auto" w:fill="auto"/>
            <w:noWrap/>
            <w:vAlign w:val="center"/>
            <w:hideMark/>
          </w:tcPr>
          <w:p w14:paraId="24A61073" w14:textId="77777777" w:rsidR="00807992" w:rsidRPr="002B0291" w:rsidRDefault="00807992" w:rsidP="00807992">
            <w:pPr>
              <w:spacing w:after="0"/>
              <w:ind w:firstLine="0"/>
              <w:jc w:val="left"/>
              <w:rPr>
                <w:rFonts w:ascii="Arial Narrow" w:hAnsi="Arial Narrow" w:cs="Calibri"/>
                <w:lang w:val="es-ES" w:eastAsia="es-ES"/>
              </w:rPr>
            </w:pPr>
            <w:r w:rsidRPr="002B0291">
              <w:rPr>
                <w:rFonts w:ascii="Arial Narrow" w:hAnsi="Arial Narrow" w:cs="Calibri"/>
                <w:lang w:val="es-ES" w:eastAsia="es-ES"/>
              </w:rPr>
              <w:t xml:space="preserve">Tasa </w:t>
            </w:r>
            <w:proofErr w:type="spellStart"/>
            <w:r w:rsidRPr="002B0291">
              <w:rPr>
                <w:rFonts w:ascii="Arial Narrow" w:hAnsi="Arial Narrow" w:cs="Calibri"/>
                <w:lang w:val="es-ES" w:eastAsia="es-ES"/>
              </w:rPr>
              <w:t>aprovech</w:t>
            </w:r>
            <w:proofErr w:type="spellEnd"/>
            <w:r w:rsidRPr="002B0291">
              <w:rPr>
                <w:rFonts w:ascii="Arial Narrow" w:hAnsi="Arial Narrow" w:cs="Calibri"/>
                <w:lang w:val="es-ES" w:eastAsia="es-ES"/>
              </w:rPr>
              <w:t>. Especial 1,5%</w:t>
            </w:r>
          </w:p>
        </w:tc>
        <w:tc>
          <w:tcPr>
            <w:tcW w:w="1418" w:type="dxa"/>
            <w:tcBorders>
              <w:top w:val="single" w:sz="2" w:space="0" w:color="auto"/>
              <w:left w:val="nil"/>
              <w:bottom w:val="single" w:sz="2" w:space="0" w:color="auto"/>
              <w:right w:val="nil"/>
            </w:tcBorders>
            <w:shd w:val="clear" w:color="auto" w:fill="auto"/>
            <w:vAlign w:val="center"/>
            <w:hideMark/>
          </w:tcPr>
          <w:p w14:paraId="11D1CE18"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11</w:t>
            </w:r>
          </w:p>
        </w:tc>
        <w:tc>
          <w:tcPr>
            <w:tcW w:w="1984" w:type="dxa"/>
            <w:tcBorders>
              <w:top w:val="single" w:sz="2" w:space="0" w:color="auto"/>
              <w:left w:val="nil"/>
              <w:bottom w:val="single" w:sz="2" w:space="0" w:color="auto"/>
              <w:right w:val="nil"/>
            </w:tcBorders>
            <w:shd w:val="clear" w:color="auto" w:fill="auto"/>
            <w:noWrap/>
            <w:vAlign w:val="center"/>
            <w:hideMark/>
          </w:tcPr>
          <w:p w14:paraId="38DC18AE"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77.840</w:t>
            </w:r>
          </w:p>
        </w:tc>
        <w:tc>
          <w:tcPr>
            <w:tcW w:w="1985" w:type="dxa"/>
            <w:tcBorders>
              <w:top w:val="single" w:sz="2" w:space="0" w:color="auto"/>
              <w:left w:val="nil"/>
              <w:bottom w:val="single" w:sz="2" w:space="0" w:color="auto"/>
              <w:right w:val="nil"/>
            </w:tcBorders>
            <w:shd w:val="clear" w:color="auto" w:fill="auto"/>
            <w:noWrap/>
            <w:vAlign w:val="center"/>
            <w:hideMark/>
          </w:tcPr>
          <w:p w14:paraId="6EAB9A42"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3</w:t>
            </w:r>
          </w:p>
        </w:tc>
      </w:tr>
      <w:tr w:rsidR="00807992" w:rsidRPr="007E04F3" w14:paraId="5E074F02" w14:textId="77777777" w:rsidTr="00CE26B4">
        <w:trPr>
          <w:trHeight w:val="198"/>
        </w:trPr>
        <w:tc>
          <w:tcPr>
            <w:tcW w:w="3402" w:type="dxa"/>
            <w:tcBorders>
              <w:top w:val="single" w:sz="2" w:space="0" w:color="auto"/>
              <w:left w:val="nil"/>
              <w:bottom w:val="single" w:sz="2" w:space="0" w:color="auto"/>
              <w:right w:val="nil"/>
            </w:tcBorders>
            <w:shd w:val="clear" w:color="auto" w:fill="auto"/>
            <w:noWrap/>
            <w:vAlign w:val="center"/>
            <w:hideMark/>
          </w:tcPr>
          <w:p w14:paraId="518B2CF9" w14:textId="77777777" w:rsidR="00807992" w:rsidRPr="002B0291" w:rsidRDefault="00807992" w:rsidP="00807992">
            <w:pPr>
              <w:spacing w:after="0"/>
              <w:ind w:firstLine="0"/>
              <w:jc w:val="left"/>
              <w:rPr>
                <w:rFonts w:ascii="Arial Narrow" w:hAnsi="Arial Narrow" w:cs="Calibri"/>
                <w:lang w:val="es-ES" w:eastAsia="es-ES"/>
              </w:rPr>
            </w:pPr>
            <w:proofErr w:type="gramStart"/>
            <w:r w:rsidRPr="002B0291">
              <w:rPr>
                <w:rFonts w:ascii="Arial Narrow" w:hAnsi="Arial Narrow" w:cs="Calibri"/>
                <w:lang w:val="es-ES" w:eastAsia="es-ES"/>
              </w:rPr>
              <w:t>Tasa  ocupación</w:t>
            </w:r>
            <w:proofErr w:type="gramEnd"/>
            <w:r w:rsidRPr="002B0291">
              <w:rPr>
                <w:rFonts w:ascii="Arial Narrow" w:hAnsi="Arial Narrow" w:cs="Calibri"/>
                <w:lang w:val="es-ES" w:eastAsia="es-ES"/>
              </w:rPr>
              <w:t xml:space="preserve"> vía pública </w:t>
            </w:r>
          </w:p>
        </w:tc>
        <w:tc>
          <w:tcPr>
            <w:tcW w:w="1418" w:type="dxa"/>
            <w:tcBorders>
              <w:top w:val="single" w:sz="2" w:space="0" w:color="auto"/>
              <w:left w:val="nil"/>
              <w:bottom w:val="single" w:sz="2" w:space="0" w:color="auto"/>
              <w:right w:val="nil"/>
            </w:tcBorders>
            <w:shd w:val="clear" w:color="auto" w:fill="auto"/>
            <w:vAlign w:val="center"/>
            <w:hideMark/>
          </w:tcPr>
          <w:p w14:paraId="63493F65"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84</w:t>
            </w:r>
          </w:p>
        </w:tc>
        <w:tc>
          <w:tcPr>
            <w:tcW w:w="1984" w:type="dxa"/>
            <w:tcBorders>
              <w:top w:val="single" w:sz="2" w:space="0" w:color="auto"/>
              <w:left w:val="nil"/>
              <w:bottom w:val="single" w:sz="2" w:space="0" w:color="auto"/>
              <w:right w:val="nil"/>
            </w:tcBorders>
            <w:shd w:val="clear" w:color="auto" w:fill="auto"/>
            <w:noWrap/>
            <w:vAlign w:val="center"/>
            <w:hideMark/>
          </w:tcPr>
          <w:p w14:paraId="0C11F7F6"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352.972</w:t>
            </w:r>
          </w:p>
        </w:tc>
        <w:tc>
          <w:tcPr>
            <w:tcW w:w="1985" w:type="dxa"/>
            <w:tcBorders>
              <w:top w:val="single" w:sz="2" w:space="0" w:color="auto"/>
              <w:left w:val="nil"/>
              <w:bottom w:val="single" w:sz="2" w:space="0" w:color="auto"/>
              <w:right w:val="nil"/>
            </w:tcBorders>
            <w:shd w:val="clear" w:color="auto" w:fill="auto"/>
            <w:noWrap/>
            <w:vAlign w:val="center"/>
            <w:hideMark/>
          </w:tcPr>
          <w:p w14:paraId="28624BEB"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89</w:t>
            </w:r>
          </w:p>
        </w:tc>
      </w:tr>
      <w:tr w:rsidR="00807992" w:rsidRPr="007E04F3" w14:paraId="7D58B07E" w14:textId="77777777" w:rsidTr="00CE26B4">
        <w:trPr>
          <w:trHeight w:val="198"/>
        </w:trPr>
        <w:tc>
          <w:tcPr>
            <w:tcW w:w="3402" w:type="dxa"/>
            <w:tcBorders>
              <w:top w:val="single" w:sz="2" w:space="0" w:color="auto"/>
              <w:left w:val="nil"/>
              <w:bottom w:val="single" w:sz="2" w:space="0" w:color="auto"/>
              <w:right w:val="nil"/>
            </w:tcBorders>
            <w:shd w:val="clear" w:color="auto" w:fill="auto"/>
            <w:noWrap/>
            <w:vAlign w:val="center"/>
            <w:hideMark/>
          </w:tcPr>
          <w:p w14:paraId="596EFB5B" w14:textId="77777777" w:rsidR="00807992" w:rsidRPr="002B0291" w:rsidRDefault="00807992" w:rsidP="00807992">
            <w:pPr>
              <w:spacing w:after="0"/>
              <w:ind w:firstLine="0"/>
              <w:jc w:val="left"/>
              <w:rPr>
                <w:rFonts w:ascii="Arial Narrow" w:hAnsi="Arial Narrow" w:cs="Calibri"/>
                <w:lang w:val="es-ES" w:eastAsia="es-ES"/>
              </w:rPr>
            </w:pPr>
            <w:r w:rsidRPr="002B0291">
              <w:rPr>
                <w:rFonts w:ascii="Arial Narrow" w:hAnsi="Arial Narrow" w:cs="Calibri"/>
                <w:lang w:val="es-ES" w:eastAsia="es-ES"/>
              </w:rPr>
              <w:t>Tasa licencia urbanística</w:t>
            </w:r>
          </w:p>
        </w:tc>
        <w:tc>
          <w:tcPr>
            <w:tcW w:w="1418" w:type="dxa"/>
            <w:tcBorders>
              <w:top w:val="single" w:sz="2" w:space="0" w:color="auto"/>
              <w:left w:val="nil"/>
              <w:bottom w:val="single" w:sz="2" w:space="0" w:color="auto"/>
              <w:right w:val="nil"/>
            </w:tcBorders>
            <w:shd w:val="clear" w:color="auto" w:fill="auto"/>
            <w:vAlign w:val="center"/>
            <w:hideMark/>
          </w:tcPr>
          <w:p w14:paraId="11ADC706"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207</w:t>
            </w:r>
          </w:p>
        </w:tc>
        <w:tc>
          <w:tcPr>
            <w:tcW w:w="1984" w:type="dxa"/>
            <w:tcBorders>
              <w:top w:val="single" w:sz="2" w:space="0" w:color="auto"/>
              <w:left w:val="nil"/>
              <w:bottom w:val="single" w:sz="2" w:space="0" w:color="auto"/>
              <w:right w:val="nil"/>
            </w:tcBorders>
            <w:shd w:val="clear" w:color="auto" w:fill="auto"/>
            <w:noWrap/>
            <w:vAlign w:val="center"/>
            <w:hideMark/>
          </w:tcPr>
          <w:p w14:paraId="52B8F969"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130.946</w:t>
            </w:r>
          </w:p>
        </w:tc>
        <w:tc>
          <w:tcPr>
            <w:tcW w:w="1985" w:type="dxa"/>
            <w:tcBorders>
              <w:top w:val="single" w:sz="2" w:space="0" w:color="auto"/>
              <w:left w:val="nil"/>
              <w:bottom w:val="single" w:sz="2" w:space="0" w:color="auto"/>
              <w:right w:val="nil"/>
            </w:tcBorders>
            <w:shd w:val="clear" w:color="auto" w:fill="auto"/>
            <w:noWrap/>
            <w:vAlign w:val="center"/>
            <w:hideMark/>
          </w:tcPr>
          <w:p w14:paraId="1D450EE2"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10</w:t>
            </w:r>
          </w:p>
        </w:tc>
      </w:tr>
      <w:tr w:rsidR="00807992" w:rsidRPr="007E04F3" w14:paraId="28ED3317" w14:textId="77777777" w:rsidTr="00BF76EE">
        <w:trPr>
          <w:trHeight w:val="198"/>
        </w:trPr>
        <w:tc>
          <w:tcPr>
            <w:tcW w:w="3402" w:type="dxa"/>
            <w:tcBorders>
              <w:top w:val="single" w:sz="2" w:space="0" w:color="auto"/>
              <w:left w:val="nil"/>
              <w:bottom w:val="single" w:sz="4" w:space="0" w:color="auto"/>
              <w:right w:val="nil"/>
            </w:tcBorders>
            <w:shd w:val="clear" w:color="auto" w:fill="auto"/>
            <w:noWrap/>
            <w:vAlign w:val="center"/>
            <w:hideMark/>
          </w:tcPr>
          <w:p w14:paraId="4E77BB0C" w14:textId="77777777" w:rsidR="00807992" w:rsidRPr="002B0291" w:rsidRDefault="00807992" w:rsidP="00807992">
            <w:pPr>
              <w:spacing w:after="0"/>
              <w:ind w:firstLine="0"/>
              <w:jc w:val="left"/>
              <w:rPr>
                <w:rFonts w:ascii="Arial Narrow" w:hAnsi="Arial Narrow" w:cs="Calibri"/>
                <w:lang w:val="es-ES" w:eastAsia="es-ES"/>
              </w:rPr>
            </w:pPr>
            <w:r w:rsidRPr="002B0291">
              <w:rPr>
                <w:rFonts w:ascii="Arial Narrow" w:hAnsi="Arial Narrow" w:cs="Calibri"/>
                <w:lang w:val="es-ES" w:eastAsia="es-ES"/>
              </w:rPr>
              <w:t>Interés demora y aplazamiento</w:t>
            </w:r>
          </w:p>
        </w:tc>
        <w:tc>
          <w:tcPr>
            <w:tcW w:w="1418" w:type="dxa"/>
            <w:tcBorders>
              <w:top w:val="single" w:sz="2" w:space="0" w:color="auto"/>
              <w:left w:val="nil"/>
              <w:bottom w:val="single" w:sz="4" w:space="0" w:color="auto"/>
              <w:right w:val="nil"/>
            </w:tcBorders>
            <w:shd w:val="clear" w:color="auto" w:fill="auto"/>
            <w:vAlign w:val="center"/>
            <w:hideMark/>
          </w:tcPr>
          <w:p w14:paraId="624F9D24"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22</w:t>
            </w:r>
          </w:p>
        </w:tc>
        <w:tc>
          <w:tcPr>
            <w:tcW w:w="1984" w:type="dxa"/>
            <w:tcBorders>
              <w:top w:val="single" w:sz="2" w:space="0" w:color="auto"/>
              <w:left w:val="nil"/>
              <w:bottom w:val="single" w:sz="4" w:space="0" w:color="auto"/>
              <w:right w:val="nil"/>
            </w:tcBorders>
            <w:shd w:val="clear" w:color="auto" w:fill="auto"/>
            <w:noWrap/>
            <w:vAlign w:val="center"/>
            <w:hideMark/>
          </w:tcPr>
          <w:p w14:paraId="234C497E"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17.629</w:t>
            </w:r>
          </w:p>
        </w:tc>
        <w:tc>
          <w:tcPr>
            <w:tcW w:w="1985" w:type="dxa"/>
            <w:tcBorders>
              <w:top w:val="single" w:sz="2" w:space="0" w:color="auto"/>
              <w:left w:val="nil"/>
              <w:bottom w:val="single" w:sz="4" w:space="0" w:color="auto"/>
              <w:right w:val="nil"/>
            </w:tcBorders>
            <w:shd w:val="clear" w:color="auto" w:fill="auto"/>
            <w:noWrap/>
            <w:vAlign w:val="center"/>
            <w:hideMark/>
          </w:tcPr>
          <w:p w14:paraId="40AC3154" w14:textId="77777777" w:rsidR="00807992" w:rsidRPr="002B0291" w:rsidRDefault="00807992" w:rsidP="00807992">
            <w:pPr>
              <w:spacing w:after="0"/>
              <w:ind w:firstLine="0"/>
              <w:jc w:val="right"/>
              <w:rPr>
                <w:rFonts w:ascii="Arial Narrow" w:hAnsi="Arial Narrow" w:cs="Calibri"/>
                <w:lang w:val="es-ES" w:eastAsia="es-ES"/>
              </w:rPr>
            </w:pPr>
            <w:r w:rsidRPr="002B0291">
              <w:rPr>
                <w:rFonts w:ascii="Arial Narrow" w:hAnsi="Arial Narrow" w:cs="Calibri"/>
                <w:lang w:val="es-ES" w:eastAsia="es-ES"/>
              </w:rPr>
              <w:t>4</w:t>
            </w:r>
          </w:p>
        </w:tc>
      </w:tr>
      <w:tr w:rsidR="00807992" w:rsidRPr="002B0291" w14:paraId="0A2CC812" w14:textId="77777777" w:rsidTr="00BF76EE">
        <w:trPr>
          <w:trHeight w:val="255"/>
        </w:trPr>
        <w:tc>
          <w:tcPr>
            <w:tcW w:w="3402" w:type="dxa"/>
            <w:tcBorders>
              <w:top w:val="single" w:sz="4" w:space="0" w:color="auto"/>
              <w:left w:val="nil"/>
              <w:bottom w:val="single" w:sz="4" w:space="0" w:color="auto"/>
              <w:right w:val="nil"/>
            </w:tcBorders>
            <w:shd w:val="clear" w:color="000000" w:fill="FABF8F"/>
            <w:vAlign w:val="center"/>
            <w:hideMark/>
          </w:tcPr>
          <w:p w14:paraId="2ECDCF73" w14:textId="77777777" w:rsidR="00807992" w:rsidRPr="002B0291" w:rsidRDefault="00807992" w:rsidP="00807992">
            <w:pPr>
              <w:spacing w:after="0"/>
              <w:ind w:firstLine="0"/>
              <w:rPr>
                <w:rFonts w:ascii="Arial" w:hAnsi="Arial" w:cs="Arial"/>
                <w:sz w:val="18"/>
                <w:szCs w:val="18"/>
                <w:lang w:val="es-ES" w:eastAsia="es-ES"/>
              </w:rPr>
            </w:pPr>
            <w:proofErr w:type="gramStart"/>
            <w:r w:rsidRPr="002B0291">
              <w:rPr>
                <w:rFonts w:ascii="Arial" w:hAnsi="Arial" w:cs="Arial"/>
                <w:sz w:val="18"/>
                <w:szCs w:val="18"/>
                <w:lang w:val="es-ES" w:eastAsia="es-ES"/>
              </w:rPr>
              <w:t>Total</w:t>
            </w:r>
            <w:proofErr w:type="gramEnd"/>
            <w:r w:rsidRPr="002B0291">
              <w:rPr>
                <w:rFonts w:ascii="Arial" w:hAnsi="Arial" w:cs="Arial"/>
                <w:sz w:val="18"/>
                <w:szCs w:val="18"/>
                <w:lang w:val="es-ES" w:eastAsia="es-ES"/>
              </w:rPr>
              <w:t xml:space="preserve"> general</w:t>
            </w:r>
          </w:p>
        </w:tc>
        <w:tc>
          <w:tcPr>
            <w:tcW w:w="1418" w:type="dxa"/>
            <w:tcBorders>
              <w:top w:val="single" w:sz="4" w:space="0" w:color="auto"/>
              <w:left w:val="nil"/>
              <w:bottom w:val="single" w:sz="4" w:space="0" w:color="auto"/>
              <w:right w:val="nil"/>
            </w:tcBorders>
            <w:shd w:val="clear" w:color="000000" w:fill="FABF8F"/>
            <w:vAlign w:val="center"/>
            <w:hideMark/>
          </w:tcPr>
          <w:p w14:paraId="289C3D4E" w14:textId="77777777" w:rsidR="00807992" w:rsidRPr="002B0291" w:rsidRDefault="00807992" w:rsidP="00807992">
            <w:pPr>
              <w:spacing w:after="0"/>
              <w:ind w:firstLine="0"/>
              <w:jc w:val="right"/>
              <w:rPr>
                <w:rFonts w:ascii="Arial" w:hAnsi="Arial" w:cs="Arial"/>
                <w:sz w:val="18"/>
                <w:szCs w:val="18"/>
                <w:lang w:val="es-ES" w:eastAsia="es-ES"/>
              </w:rPr>
            </w:pPr>
            <w:r w:rsidRPr="002B0291">
              <w:rPr>
                <w:rFonts w:ascii="Arial" w:hAnsi="Arial" w:cs="Arial"/>
                <w:sz w:val="18"/>
                <w:szCs w:val="18"/>
                <w:lang w:val="es-ES" w:eastAsia="es-ES"/>
              </w:rPr>
              <w:t>557</w:t>
            </w:r>
          </w:p>
        </w:tc>
        <w:tc>
          <w:tcPr>
            <w:tcW w:w="1984" w:type="dxa"/>
            <w:tcBorders>
              <w:top w:val="single" w:sz="4" w:space="0" w:color="auto"/>
              <w:left w:val="nil"/>
              <w:bottom w:val="single" w:sz="4" w:space="0" w:color="auto"/>
              <w:right w:val="nil"/>
            </w:tcBorders>
            <w:shd w:val="clear" w:color="000000" w:fill="FABF8F"/>
            <w:vAlign w:val="center"/>
            <w:hideMark/>
          </w:tcPr>
          <w:p w14:paraId="0CE89A9A" w14:textId="77777777" w:rsidR="00807992" w:rsidRPr="002B0291" w:rsidRDefault="00807992" w:rsidP="00807992">
            <w:pPr>
              <w:spacing w:after="0"/>
              <w:ind w:firstLine="0"/>
              <w:jc w:val="right"/>
              <w:rPr>
                <w:rFonts w:ascii="Arial" w:hAnsi="Arial" w:cs="Arial"/>
                <w:sz w:val="18"/>
                <w:szCs w:val="18"/>
                <w:lang w:val="es-ES" w:eastAsia="es-ES"/>
              </w:rPr>
            </w:pPr>
            <w:r w:rsidRPr="002B0291">
              <w:rPr>
                <w:rFonts w:ascii="Arial" w:hAnsi="Arial" w:cs="Arial"/>
                <w:sz w:val="18"/>
                <w:szCs w:val="18"/>
                <w:lang w:val="es-ES" w:eastAsia="es-ES"/>
              </w:rPr>
              <w:t>1.997.835</w:t>
            </w:r>
          </w:p>
        </w:tc>
        <w:tc>
          <w:tcPr>
            <w:tcW w:w="1985" w:type="dxa"/>
            <w:tcBorders>
              <w:top w:val="single" w:sz="4" w:space="0" w:color="auto"/>
              <w:left w:val="nil"/>
              <w:bottom w:val="single" w:sz="4" w:space="0" w:color="auto"/>
              <w:right w:val="nil"/>
            </w:tcBorders>
            <w:shd w:val="clear" w:color="000000" w:fill="FABF8F"/>
            <w:vAlign w:val="center"/>
            <w:hideMark/>
          </w:tcPr>
          <w:p w14:paraId="527FC170" w14:textId="77777777" w:rsidR="00807992" w:rsidRPr="002B0291" w:rsidRDefault="00807992" w:rsidP="00807992">
            <w:pPr>
              <w:spacing w:after="0"/>
              <w:ind w:firstLine="0"/>
              <w:jc w:val="right"/>
              <w:rPr>
                <w:rFonts w:ascii="Arial" w:hAnsi="Arial" w:cs="Arial"/>
                <w:sz w:val="18"/>
                <w:szCs w:val="18"/>
                <w:lang w:val="es-ES" w:eastAsia="es-ES"/>
              </w:rPr>
            </w:pPr>
            <w:r w:rsidRPr="002B0291">
              <w:rPr>
                <w:rFonts w:ascii="Arial" w:hAnsi="Arial" w:cs="Arial"/>
                <w:sz w:val="18"/>
                <w:szCs w:val="18"/>
                <w:lang w:val="es-ES" w:eastAsia="es-ES"/>
              </w:rPr>
              <w:t>7</w:t>
            </w:r>
          </w:p>
        </w:tc>
      </w:tr>
    </w:tbl>
    <w:p w14:paraId="730420F8" w14:textId="77777777" w:rsidR="000023DA" w:rsidRDefault="000023DA" w:rsidP="0012553E">
      <w:pPr>
        <w:tabs>
          <w:tab w:val="left" w:pos="480"/>
          <w:tab w:val="num" w:pos="720"/>
          <w:tab w:val="num" w:pos="1320"/>
        </w:tabs>
        <w:spacing w:before="120"/>
        <w:ind w:firstLine="284"/>
        <w:rPr>
          <w:rFonts w:cs="Arial"/>
          <w:spacing w:val="6"/>
          <w:sz w:val="26"/>
          <w:szCs w:val="24"/>
        </w:rPr>
      </w:pPr>
      <w:r>
        <w:rPr>
          <w:rFonts w:cs="Arial"/>
          <w:spacing w:val="6"/>
          <w:sz w:val="26"/>
          <w:szCs w:val="24"/>
        </w:rPr>
        <w:t xml:space="preserve">De la revisión realizada, hemos comprobado que se ha llevado a cabo </w:t>
      </w:r>
      <w:proofErr w:type="gramStart"/>
      <w:r>
        <w:rPr>
          <w:rFonts w:cs="Arial"/>
          <w:spacing w:val="6"/>
          <w:sz w:val="26"/>
          <w:szCs w:val="24"/>
        </w:rPr>
        <w:t>de acuerdo a</w:t>
      </w:r>
      <w:proofErr w:type="gramEnd"/>
      <w:r>
        <w:rPr>
          <w:rFonts w:cs="Arial"/>
          <w:spacing w:val="6"/>
          <w:sz w:val="26"/>
          <w:szCs w:val="24"/>
        </w:rPr>
        <w:t xml:space="preserve"> la planificación prevista y que se ha procedido a las regularizaciones tributarias correspondientes. </w:t>
      </w:r>
    </w:p>
    <w:p w14:paraId="0071C069" w14:textId="77777777" w:rsidR="00807992" w:rsidRPr="00092EDF" w:rsidRDefault="00807992" w:rsidP="00807992">
      <w:pPr>
        <w:tabs>
          <w:tab w:val="left" w:pos="480"/>
          <w:tab w:val="num" w:pos="720"/>
          <w:tab w:val="num" w:pos="1320"/>
        </w:tabs>
        <w:ind w:firstLine="284"/>
        <w:rPr>
          <w:rFonts w:cs="Arial"/>
          <w:spacing w:val="6"/>
          <w:sz w:val="26"/>
          <w:szCs w:val="24"/>
        </w:rPr>
      </w:pPr>
      <w:r w:rsidRPr="00667DFF">
        <w:rPr>
          <w:rFonts w:cs="Arial"/>
          <w:spacing w:val="6"/>
          <w:sz w:val="26"/>
          <w:szCs w:val="24"/>
        </w:rPr>
        <w:t xml:space="preserve">En cuanto a los impuestos revisados, hemos comprobado que, en general, la liquidación y recaudación de </w:t>
      </w:r>
      <w:proofErr w:type="gramStart"/>
      <w:r w:rsidRPr="00667DFF">
        <w:rPr>
          <w:rFonts w:cs="Arial"/>
          <w:spacing w:val="6"/>
          <w:sz w:val="26"/>
          <w:szCs w:val="24"/>
        </w:rPr>
        <w:t>los mismos</w:t>
      </w:r>
      <w:proofErr w:type="gramEnd"/>
      <w:r w:rsidRPr="00667DFF">
        <w:rPr>
          <w:rFonts w:cs="Arial"/>
          <w:spacing w:val="6"/>
          <w:sz w:val="26"/>
          <w:szCs w:val="24"/>
        </w:rPr>
        <w:t xml:space="preserve"> se realiza conforme a las ordenanzas y </w:t>
      </w:r>
      <w:r w:rsidRPr="00092EDF">
        <w:rPr>
          <w:rFonts w:cs="Arial"/>
          <w:spacing w:val="6"/>
          <w:sz w:val="26"/>
          <w:szCs w:val="24"/>
        </w:rPr>
        <w:t>normas reguladoras. Al respecto, indicamos lo siguiente:</w:t>
      </w:r>
    </w:p>
    <w:p w14:paraId="26EF286E" w14:textId="77777777" w:rsidR="00807992" w:rsidRDefault="00CF62A2" w:rsidP="00807992">
      <w:pPr>
        <w:numPr>
          <w:ilvl w:val="0"/>
          <w:numId w:val="10"/>
        </w:numPr>
        <w:tabs>
          <w:tab w:val="num" w:pos="284"/>
          <w:tab w:val="num" w:pos="600"/>
          <w:tab w:val="num" w:pos="720"/>
          <w:tab w:val="num" w:pos="1320"/>
        </w:tabs>
        <w:spacing w:after="120"/>
        <w:rPr>
          <w:rFonts w:cs="Arial"/>
          <w:spacing w:val="6"/>
          <w:sz w:val="26"/>
          <w:szCs w:val="24"/>
        </w:rPr>
      </w:pPr>
      <w:r>
        <w:rPr>
          <w:rFonts w:cs="Arial"/>
          <w:spacing w:val="6"/>
          <w:sz w:val="26"/>
          <w:szCs w:val="24"/>
        </w:rPr>
        <w:t xml:space="preserve"> En relación con el</w:t>
      </w:r>
      <w:r w:rsidR="00807992" w:rsidRPr="00092EDF">
        <w:rPr>
          <w:rFonts w:cs="Arial"/>
          <w:spacing w:val="6"/>
          <w:sz w:val="26"/>
          <w:szCs w:val="24"/>
        </w:rPr>
        <w:t xml:space="preserve"> ICIO, los ingresos reconocidos en 2021 son un 56 por ciento superiores a los del ejercicio anterior.</w:t>
      </w:r>
      <w:r w:rsidR="00807992">
        <w:rPr>
          <w:rFonts w:cs="Arial"/>
          <w:spacing w:val="6"/>
          <w:sz w:val="26"/>
          <w:szCs w:val="24"/>
        </w:rPr>
        <w:t xml:space="preserve"> </w:t>
      </w:r>
    </w:p>
    <w:p w14:paraId="3FEEC4DA" w14:textId="77777777" w:rsidR="00807992" w:rsidRDefault="00807992" w:rsidP="00807992">
      <w:pPr>
        <w:tabs>
          <w:tab w:val="left" w:pos="708"/>
          <w:tab w:val="center" w:pos="2835"/>
          <w:tab w:val="center" w:pos="3969"/>
          <w:tab w:val="center" w:pos="5103"/>
          <w:tab w:val="center" w:pos="6237"/>
          <w:tab w:val="center" w:pos="7371"/>
        </w:tabs>
        <w:spacing w:after="120"/>
        <w:ind w:firstLine="284"/>
        <w:rPr>
          <w:spacing w:val="6"/>
          <w:sz w:val="26"/>
          <w:szCs w:val="26"/>
        </w:rPr>
      </w:pPr>
      <w:r w:rsidRPr="00092EDF">
        <w:rPr>
          <w:spacing w:val="6"/>
          <w:sz w:val="26"/>
          <w:szCs w:val="26"/>
        </w:rPr>
        <w:t xml:space="preserve">En 2021 hay 2.958 recibos y en 2020 había 2.540, por tanto, se han tramitado 418 expedientes más que el año pasado, lo que supone un 16 por ciento </w:t>
      </w:r>
      <w:r>
        <w:rPr>
          <w:spacing w:val="6"/>
          <w:sz w:val="26"/>
          <w:szCs w:val="26"/>
        </w:rPr>
        <w:t xml:space="preserve">más motivado por una mayor actividad urbanística, principalmente </w:t>
      </w:r>
      <w:r w:rsidRPr="00092EDF">
        <w:rPr>
          <w:spacing w:val="6"/>
          <w:sz w:val="26"/>
          <w:szCs w:val="26"/>
        </w:rPr>
        <w:t xml:space="preserve">en Salesianos y </w:t>
      </w:r>
      <w:r>
        <w:rPr>
          <w:spacing w:val="6"/>
          <w:sz w:val="26"/>
          <w:szCs w:val="26"/>
        </w:rPr>
        <w:t xml:space="preserve">el barrio del Soto </w:t>
      </w:r>
      <w:proofErr w:type="spellStart"/>
      <w:r w:rsidRPr="00092EDF">
        <w:rPr>
          <w:spacing w:val="6"/>
          <w:sz w:val="26"/>
          <w:szCs w:val="26"/>
        </w:rPr>
        <w:t>Lezkairu</w:t>
      </w:r>
      <w:proofErr w:type="spellEnd"/>
      <w:r w:rsidRPr="00092EDF">
        <w:rPr>
          <w:spacing w:val="6"/>
          <w:sz w:val="26"/>
          <w:szCs w:val="26"/>
        </w:rPr>
        <w:t xml:space="preserve">. </w:t>
      </w:r>
      <w:r>
        <w:rPr>
          <w:spacing w:val="6"/>
          <w:sz w:val="26"/>
          <w:szCs w:val="26"/>
        </w:rPr>
        <w:t>Hemos a</w:t>
      </w:r>
      <w:r w:rsidRPr="00092EDF">
        <w:rPr>
          <w:spacing w:val="6"/>
          <w:sz w:val="26"/>
          <w:szCs w:val="26"/>
        </w:rPr>
        <w:t>nalizado el concepto de los 12 recibos superiores a 300 mil euros,</w:t>
      </w:r>
      <w:r>
        <w:rPr>
          <w:spacing w:val="6"/>
          <w:sz w:val="26"/>
          <w:szCs w:val="26"/>
        </w:rPr>
        <w:t xml:space="preserve"> y ocho </w:t>
      </w:r>
      <w:r w:rsidRPr="00092EDF">
        <w:rPr>
          <w:spacing w:val="6"/>
          <w:sz w:val="26"/>
          <w:szCs w:val="26"/>
        </w:rPr>
        <w:t>son por la construcción de edificios de viviendas en esos barrios, además de un hotel.</w:t>
      </w:r>
    </w:p>
    <w:p w14:paraId="4602A9B6" w14:textId="77777777" w:rsidR="00807992" w:rsidRPr="00092EDF" w:rsidRDefault="00CF62A2" w:rsidP="00807992">
      <w:pPr>
        <w:numPr>
          <w:ilvl w:val="0"/>
          <w:numId w:val="10"/>
        </w:numPr>
        <w:tabs>
          <w:tab w:val="num" w:pos="284"/>
          <w:tab w:val="num" w:pos="600"/>
          <w:tab w:val="num" w:pos="720"/>
          <w:tab w:val="num" w:pos="1320"/>
        </w:tabs>
        <w:spacing w:after="120"/>
        <w:rPr>
          <w:rFonts w:cs="Arial"/>
          <w:spacing w:val="6"/>
          <w:sz w:val="26"/>
          <w:szCs w:val="24"/>
        </w:rPr>
      </w:pPr>
      <w:r>
        <w:rPr>
          <w:rFonts w:cs="Arial"/>
          <w:spacing w:val="6"/>
          <w:sz w:val="26"/>
          <w:szCs w:val="24"/>
        </w:rPr>
        <w:t>En relación con e</w:t>
      </w:r>
      <w:r w:rsidR="00807992" w:rsidRPr="00092EDF">
        <w:rPr>
          <w:rFonts w:cs="Arial"/>
          <w:spacing w:val="6"/>
          <w:sz w:val="26"/>
          <w:szCs w:val="24"/>
        </w:rPr>
        <w:t xml:space="preserve">l Impuesto sobre </w:t>
      </w:r>
      <w:r w:rsidR="00807992">
        <w:rPr>
          <w:rFonts w:cs="Arial"/>
          <w:spacing w:val="6"/>
          <w:sz w:val="26"/>
          <w:szCs w:val="24"/>
        </w:rPr>
        <w:t xml:space="preserve">incremento de valor de </w:t>
      </w:r>
      <w:r w:rsidR="00807992" w:rsidRPr="00092EDF">
        <w:rPr>
          <w:rFonts w:cs="Arial"/>
          <w:spacing w:val="6"/>
          <w:sz w:val="26"/>
          <w:szCs w:val="24"/>
        </w:rPr>
        <w:t xml:space="preserve">terrenos de naturaleza urbana, en el ejercicio 2021 no hay un motivo especial que explique la disminución por su propia naturaleza no periódica. </w:t>
      </w:r>
    </w:p>
    <w:p w14:paraId="6F358A6C" w14:textId="77777777" w:rsidR="00807992" w:rsidRPr="002B0291" w:rsidRDefault="00807992" w:rsidP="0012553E">
      <w:pPr>
        <w:numPr>
          <w:ilvl w:val="0"/>
          <w:numId w:val="10"/>
        </w:numPr>
        <w:tabs>
          <w:tab w:val="num" w:pos="284"/>
          <w:tab w:val="num" w:pos="600"/>
          <w:tab w:val="num" w:pos="720"/>
          <w:tab w:val="num" w:pos="1320"/>
        </w:tabs>
        <w:spacing w:before="120" w:after="160"/>
        <w:ind w:firstLine="284"/>
        <w:rPr>
          <w:rFonts w:ascii="Arial" w:hAnsi="Arial"/>
          <w:i/>
          <w:iCs/>
          <w:color w:val="000000"/>
          <w:spacing w:val="10"/>
          <w:kern w:val="28"/>
          <w:sz w:val="25"/>
          <w:szCs w:val="26"/>
        </w:rPr>
      </w:pPr>
      <w:r w:rsidRPr="002B0291">
        <w:rPr>
          <w:rFonts w:cs="Arial"/>
          <w:spacing w:val="6"/>
          <w:sz w:val="26"/>
          <w:szCs w:val="24"/>
        </w:rPr>
        <w:t xml:space="preserve">No obstante, destacamos que el área que gestiona estos impuestos adolece de falta de responsable y de medios suficientes, lo que provoca que la actividad </w:t>
      </w:r>
      <w:r w:rsidRPr="002B0291">
        <w:rPr>
          <w:rFonts w:cs="Arial"/>
          <w:spacing w:val="6"/>
          <w:sz w:val="26"/>
          <w:szCs w:val="24"/>
        </w:rPr>
        <w:lastRenderedPageBreak/>
        <w:t xml:space="preserve">esté ralentizada, y que en el caso del ICIO, no se están practicando todas las liquidaciones definitivas como exige la ordenanza. Esta carencia se está supliendo al incluir su revisión en el plan de inspección con el objeto de evitar prescripciones que podrían impedir su cobro. </w:t>
      </w:r>
    </w:p>
    <w:p w14:paraId="740C533B" w14:textId="77777777" w:rsidR="00807992" w:rsidRPr="00667DFF" w:rsidRDefault="00807992" w:rsidP="0012553E">
      <w:pPr>
        <w:tabs>
          <w:tab w:val="left" w:pos="708"/>
          <w:tab w:val="center" w:pos="2835"/>
          <w:tab w:val="center" w:pos="3969"/>
          <w:tab w:val="center" w:pos="5103"/>
          <w:tab w:val="center" w:pos="6237"/>
          <w:tab w:val="center" w:pos="7371"/>
        </w:tabs>
        <w:spacing w:before="120" w:after="120"/>
        <w:ind w:firstLine="284"/>
        <w:rPr>
          <w:rFonts w:ascii="Arial" w:hAnsi="Arial"/>
          <w:i/>
          <w:iCs/>
          <w:color w:val="000000"/>
          <w:spacing w:val="10"/>
          <w:kern w:val="28"/>
          <w:sz w:val="25"/>
          <w:szCs w:val="26"/>
        </w:rPr>
      </w:pPr>
      <w:r w:rsidRPr="00667DFF">
        <w:rPr>
          <w:rFonts w:ascii="Arial" w:hAnsi="Arial"/>
          <w:i/>
          <w:iCs/>
          <w:color w:val="000000"/>
          <w:spacing w:val="10"/>
          <w:kern w:val="28"/>
          <w:sz w:val="25"/>
          <w:szCs w:val="26"/>
        </w:rPr>
        <w:t>Tasas, precios públicos y otros ingresos</w:t>
      </w:r>
    </w:p>
    <w:p w14:paraId="17E20455" w14:textId="77777777" w:rsidR="00807992" w:rsidRDefault="00807992" w:rsidP="00807992">
      <w:pPr>
        <w:tabs>
          <w:tab w:val="left" w:pos="480"/>
          <w:tab w:val="num" w:pos="720"/>
          <w:tab w:val="num" w:pos="1320"/>
          <w:tab w:val="num" w:pos="1948"/>
        </w:tabs>
        <w:spacing w:after="200"/>
        <w:ind w:firstLine="284"/>
        <w:rPr>
          <w:rFonts w:cs="Arial"/>
          <w:spacing w:val="6"/>
          <w:sz w:val="26"/>
          <w:szCs w:val="24"/>
        </w:rPr>
      </w:pPr>
      <w:r w:rsidRPr="00667DFF">
        <w:rPr>
          <w:rFonts w:cs="Arial"/>
          <w:spacing w:val="6"/>
          <w:sz w:val="26"/>
          <w:szCs w:val="24"/>
        </w:rPr>
        <w:t>Las tasas, precios públicos y ot</w:t>
      </w:r>
      <w:r>
        <w:rPr>
          <w:rFonts w:cs="Arial"/>
          <w:spacing w:val="6"/>
          <w:sz w:val="26"/>
          <w:szCs w:val="24"/>
        </w:rPr>
        <w:t xml:space="preserve">ros ingresos ascendieron a 41 millones, representaron el </w:t>
      </w:r>
      <w:r w:rsidRPr="00186034">
        <w:rPr>
          <w:rFonts w:cs="Arial"/>
          <w:spacing w:val="6"/>
          <w:sz w:val="26"/>
          <w:szCs w:val="24"/>
        </w:rPr>
        <w:t>18</w:t>
      </w:r>
      <w:r w:rsidRPr="00667DFF">
        <w:rPr>
          <w:rFonts w:cs="Arial"/>
          <w:spacing w:val="6"/>
          <w:sz w:val="26"/>
          <w:szCs w:val="24"/>
        </w:rPr>
        <w:t xml:space="preserve"> por ciento del total de ingresos municipales y corresponden a:</w:t>
      </w:r>
    </w:p>
    <w:tbl>
      <w:tblPr>
        <w:tblW w:w="5000" w:type="pct"/>
        <w:tblCellMar>
          <w:left w:w="70" w:type="dxa"/>
          <w:right w:w="70" w:type="dxa"/>
        </w:tblCellMar>
        <w:tblLook w:val="04A0" w:firstRow="1" w:lastRow="0" w:firstColumn="1" w:lastColumn="0" w:noHBand="0" w:noVBand="1"/>
      </w:tblPr>
      <w:tblGrid>
        <w:gridCol w:w="3925"/>
        <w:gridCol w:w="1672"/>
        <w:gridCol w:w="1672"/>
        <w:gridCol w:w="1520"/>
      </w:tblGrid>
      <w:tr w:rsidR="00807992" w:rsidRPr="00667DFF" w14:paraId="2107A4E3" w14:textId="77777777" w:rsidTr="006C15C7">
        <w:trPr>
          <w:trHeight w:val="255"/>
        </w:trPr>
        <w:tc>
          <w:tcPr>
            <w:tcW w:w="2233" w:type="pct"/>
            <w:tcBorders>
              <w:top w:val="single" w:sz="4" w:space="0" w:color="auto"/>
              <w:left w:val="nil"/>
              <w:bottom w:val="single" w:sz="4" w:space="0" w:color="auto"/>
              <w:right w:val="nil"/>
            </w:tcBorders>
            <w:shd w:val="clear" w:color="000000" w:fill="FABF8F"/>
            <w:vAlign w:val="center"/>
            <w:hideMark/>
          </w:tcPr>
          <w:p w14:paraId="54CCFB22" w14:textId="77777777" w:rsidR="00807992" w:rsidRPr="00667DFF" w:rsidRDefault="00807992" w:rsidP="00807992">
            <w:pPr>
              <w:spacing w:after="0"/>
              <w:ind w:firstLine="0"/>
              <w:jc w:val="left"/>
              <w:rPr>
                <w:rFonts w:ascii="Arial" w:hAnsi="Arial" w:cs="Arial"/>
                <w:color w:val="000000"/>
                <w:sz w:val="18"/>
                <w:szCs w:val="18"/>
                <w:lang w:val="es-ES" w:eastAsia="es-ES"/>
              </w:rPr>
            </w:pPr>
            <w:r w:rsidRPr="00667DFF">
              <w:rPr>
                <w:rFonts w:ascii="Arial" w:hAnsi="Arial" w:cs="Arial"/>
                <w:color w:val="000000"/>
                <w:sz w:val="18"/>
                <w:szCs w:val="18"/>
                <w:lang w:val="es-ES" w:eastAsia="es-ES"/>
              </w:rPr>
              <w:t>Concepto</w:t>
            </w:r>
          </w:p>
        </w:tc>
        <w:tc>
          <w:tcPr>
            <w:tcW w:w="951" w:type="pct"/>
            <w:tcBorders>
              <w:top w:val="single" w:sz="4" w:space="0" w:color="auto"/>
              <w:left w:val="nil"/>
              <w:bottom w:val="single" w:sz="4" w:space="0" w:color="auto"/>
              <w:right w:val="nil"/>
            </w:tcBorders>
            <w:shd w:val="clear" w:color="000000" w:fill="FABF8F"/>
            <w:vAlign w:val="center"/>
            <w:hideMark/>
          </w:tcPr>
          <w:p w14:paraId="56CB216A" w14:textId="77777777" w:rsidR="00807992" w:rsidRPr="00667DFF" w:rsidRDefault="00807992" w:rsidP="00807992">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DRN</w:t>
            </w:r>
          </w:p>
        </w:tc>
        <w:tc>
          <w:tcPr>
            <w:tcW w:w="951" w:type="pct"/>
            <w:tcBorders>
              <w:top w:val="single" w:sz="4" w:space="0" w:color="auto"/>
              <w:left w:val="nil"/>
              <w:bottom w:val="single" w:sz="4" w:space="0" w:color="auto"/>
              <w:right w:val="nil"/>
            </w:tcBorders>
            <w:shd w:val="clear" w:color="000000" w:fill="FABF8F"/>
            <w:vAlign w:val="center"/>
            <w:hideMark/>
          </w:tcPr>
          <w:p w14:paraId="49CDC616" w14:textId="77777777" w:rsidR="00807992" w:rsidRDefault="00807992" w:rsidP="0080799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 s/ total </w:t>
            </w:r>
          </w:p>
          <w:p w14:paraId="76350704" w14:textId="77777777" w:rsidR="00807992" w:rsidRPr="00667DFF" w:rsidRDefault="00807992" w:rsidP="0080799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DRN</w:t>
            </w:r>
          </w:p>
        </w:tc>
        <w:tc>
          <w:tcPr>
            <w:tcW w:w="865" w:type="pct"/>
            <w:tcBorders>
              <w:top w:val="single" w:sz="4" w:space="0" w:color="auto"/>
              <w:left w:val="nil"/>
              <w:bottom w:val="single" w:sz="4" w:space="0" w:color="auto"/>
              <w:right w:val="nil"/>
            </w:tcBorders>
            <w:shd w:val="clear" w:color="000000" w:fill="FABF8F"/>
            <w:vAlign w:val="center"/>
            <w:hideMark/>
          </w:tcPr>
          <w:p w14:paraId="6B5B1A2A" w14:textId="77777777" w:rsidR="00807992" w:rsidRPr="00667DFF" w:rsidRDefault="00807992" w:rsidP="00807992">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 xml:space="preserve">% Variación </w:t>
            </w:r>
            <w:r>
              <w:rPr>
                <w:rFonts w:ascii="Arial" w:hAnsi="Arial" w:cs="Arial"/>
                <w:color w:val="000000"/>
                <w:sz w:val="18"/>
                <w:szCs w:val="18"/>
                <w:lang w:val="es-ES" w:eastAsia="es-ES"/>
              </w:rPr>
              <w:t>2021</w:t>
            </w:r>
            <w:r w:rsidRPr="00667DFF">
              <w:rPr>
                <w:rFonts w:ascii="Arial" w:hAnsi="Arial" w:cs="Arial"/>
                <w:color w:val="000000"/>
                <w:sz w:val="18"/>
                <w:szCs w:val="18"/>
                <w:lang w:val="es-ES" w:eastAsia="es-ES"/>
              </w:rPr>
              <w:t>/20</w:t>
            </w:r>
            <w:r>
              <w:rPr>
                <w:rFonts w:ascii="Arial" w:hAnsi="Arial" w:cs="Arial"/>
                <w:color w:val="000000"/>
                <w:sz w:val="18"/>
                <w:szCs w:val="18"/>
                <w:lang w:val="es-ES" w:eastAsia="es-ES"/>
              </w:rPr>
              <w:t>20</w:t>
            </w:r>
          </w:p>
        </w:tc>
      </w:tr>
      <w:tr w:rsidR="00807992" w:rsidRPr="00667DFF" w14:paraId="2078214E" w14:textId="77777777" w:rsidTr="006C15C7">
        <w:trPr>
          <w:trHeight w:val="198"/>
        </w:trPr>
        <w:tc>
          <w:tcPr>
            <w:tcW w:w="2233" w:type="pct"/>
            <w:tcBorders>
              <w:top w:val="single" w:sz="4" w:space="0" w:color="auto"/>
              <w:left w:val="nil"/>
              <w:bottom w:val="single" w:sz="4" w:space="0" w:color="auto"/>
              <w:right w:val="nil"/>
            </w:tcBorders>
            <w:shd w:val="clear" w:color="auto" w:fill="auto"/>
            <w:noWrap/>
            <w:vAlign w:val="bottom"/>
            <w:hideMark/>
          </w:tcPr>
          <w:p w14:paraId="3D4D5409"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Tasas y precios públicos</w:t>
            </w:r>
          </w:p>
        </w:tc>
        <w:tc>
          <w:tcPr>
            <w:tcW w:w="951" w:type="pct"/>
            <w:tcBorders>
              <w:top w:val="single" w:sz="4" w:space="0" w:color="auto"/>
              <w:left w:val="nil"/>
              <w:bottom w:val="single" w:sz="4" w:space="0" w:color="auto"/>
              <w:right w:val="nil"/>
            </w:tcBorders>
            <w:shd w:val="clear" w:color="auto" w:fill="auto"/>
            <w:noWrap/>
            <w:vAlign w:val="bottom"/>
          </w:tcPr>
          <w:p w14:paraId="5A9DA041"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24.423.853</w:t>
            </w:r>
          </w:p>
        </w:tc>
        <w:tc>
          <w:tcPr>
            <w:tcW w:w="951" w:type="pct"/>
            <w:tcBorders>
              <w:top w:val="single" w:sz="4" w:space="0" w:color="auto"/>
              <w:left w:val="nil"/>
              <w:bottom w:val="single" w:sz="4" w:space="0" w:color="auto"/>
              <w:right w:val="nil"/>
            </w:tcBorders>
            <w:shd w:val="clear" w:color="auto" w:fill="auto"/>
            <w:noWrap/>
            <w:vAlign w:val="bottom"/>
          </w:tcPr>
          <w:p w14:paraId="6C19C649"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11</w:t>
            </w:r>
          </w:p>
        </w:tc>
        <w:tc>
          <w:tcPr>
            <w:tcW w:w="865" w:type="pct"/>
            <w:tcBorders>
              <w:top w:val="single" w:sz="4" w:space="0" w:color="auto"/>
              <w:left w:val="nil"/>
              <w:bottom w:val="single" w:sz="4" w:space="0" w:color="auto"/>
              <w:right w:val="nil"/>
            </w:tcBorders>
            <w:shd w:val="clear" w:color="auto" w:fill="auto"/>
            <w:noWrap/>
            <w:vAlign w:val="bottom"/>
          </w:tcPr>
          <w:p w14:paraId="33D8D535" w14:textId="77777777" w:rsidR="00807992" w:rsidRPr="00667DFF" w:rsidRDefault="000023DA"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25</w:t>
            </w:r>
          </w:p>
        </w:tc>
      </w:tr>
      <w:tr w:rsidR="00807992" w:rsidRPr="00667DFF" w14:paraId="03C8C4C6" w14:textId="77777777" w:rsidTr="006C15C7">
        <w:trPr>
          <w:trHeight w:val="198"/>
        </w:trPr>
        <w:tc>
          <w:tcPr>
            <w:tcW w:w="2233" w:type="pct"/>
            <w:tcBorders>
              <w:top w:val="single" w:sz="4" w:space="0" w:color="auto"/>
              <w:left w:val="nil"/>
              <w:bottom w:val="single" w:sz="4" w:space="0" w:color="auto"/>
              <w:right w:val="nil"/>
            </w:tcBorders>
            <w:shd w:val="clear" w:color="auto" w:fill="auto"/>
            <w:noWrap/>
            <w:vAlign w:val="bottom"/>
            <w:hideMark/>
          </w:tcPr>
          <w:p w14:paraId="3BA27904"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Otros ingresos</w:t>
            </w:r>
          </w:p>
        </w:tc>
        <w:tc>
          <w:tcPr>
            <w:tcW w:w="951" w:type="pct"/>
            <w:tcBorders>
              <w:top w:val="single" w:sz="4" w:space="0" w:color="auto"/>
              <w:left w:val="nil"/>
              <w:bottom w:val="single" w:sz="4" w:space="0" w:color="auto"/>
              <w:right w:val="nil"/>
            </w:tcBorders>
            <w:shd w:val="clear" w:color="auto" w:fill="auto"/>
            <w:noWrap/>
            <w:vAlign w:val="bottom"/>
          </w:tcPr>
          <w:p w14:paraId="63095376"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16.127.528</w:t>
            </w:r>
          </w:p>
        </w:tc>
        <w:tc>
          <w:tcPr>
            <w:tcW w:w="951" w:type="pct"/>
            <w:tcBorders>
              <w:top w:val="single" w:sz="4" w:space="0" w:color="auto"/>
              <w:left w:val="nil"/>
              <w:bottom w:val="single" w:sz="4" w:space="0" w:color="auto"/>
              <w:right w:val="nil"/>
            </w:tcBorders>
            <w:shd w:val="clear" w:color="auto" w:fill="auto"/>
            <w:noWrap/>
            <w:vAlign w:val="bottom"/>
          </w:tcPr>
          <w:p w14:paraId="77D3BADE"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7</w:t>
            </w:r>
          </w:p>
        </w:tc>
        <w:tc>
          <w:tcPr>
            <w:tcW w:w="865" w:type="pct"/>
            <w:tcBorders>
              <w:top w:val="single" w:sz="4" w:space="0" w:color="auto"/>
              <w:left w:val="nil"/>
              <w:bottom w:val="single" w:sz="4" w:space="0" w:color="auto"/>
              <w:right w:val="nil"/>
            </w:tcBorders>
            <w:shd w:val="clear" w:color="auto" w:fill="auto"/>
            <w:noWrap/>
            <w:vAlign w:val="bottom"/>
          </w:tcPr>
          <w:p w14:paraId="10B4D129" w14:textId="77777777" w:rsidR="00807992" w:rsidRPr="00667DFF" w:rsidRDefault="000023DA"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23</w:t>
            </w:r>
          </w:p>
        </w:tc>
      </w:tr>
    </w:tbl>
    <w:p w14:paraId="4831A038" w14:textId="77777777" w:rsidR="00807992" w:rsidRDefault="00807992" w:rsidP="00807992">
      <w:pPr>
        <w:tabs>
          <w:tab w:val="left" w:pos="708"/>
          <w:tab w:val="center" w:pos="2835"/>
          <w:tab w:val="center" w:pos="3969"/>
          <w:tab w:val="center" w:pos="5103"/>
          <w:tab w:val="center" w:pos="6237"/>
          <w:tab w:val="center" w:pos="7371"/>
        </w:tabs>
        <w:spacing w:before="200" w:after="200"/>
        <w:ind w:firstLine="284"/>
        <w:rPr>
          <w:spacing w:val="6"/>
          <w:sz w:val="26"/>
          <w:szCs w:val="26"/>
        </w:rPr>
      </w:pPr>
      <w:r>
        <w:rPr>
          <w:spacing w:val="6"/>
          <w:sz w:val="26"/>
          <w:szCs w:val="26"/>
        </w:rPr>
        <w:t>El ayuntamiento inició la carga informática para implantar un estudio de coste para el cálculo de tasas y precios públicos, que sustituya al actual cálculo de costes, continuando este trabajo pendiente de concluir.</w:t>
      </w:r>
    </w:p>
    <w:p w14:paraId="32DC5857" w14:textId="77777777" w:rsidR="00807992" w:rsidRPr="00667DFF" w:rsidRDefault="00807992" w:rsidP="00807992">
      <w:pPr>
        <w:tabs>
          <w:tab w:val="left" w:pos="708"/>
          <w:tab w:val="center" w:pos="2835"/>
          <w:tab w:val="center" w:pos="3969"/>
          <w:tab w:val="center" w:pos="5103"/>
          <w:tab w:val="center" w:pos="6237"/>
          <w:tab w:val="center" w:pos="7371"/>
        </w:tabs>
        <w:spacing w:before="200" w:after="200"/>
        <w:ind w:firstLine="284"/>
        <w:rPr>
          <w:spacing w:val="6"/>
          <w:sz w:val="26"/>
          <w:szCs w:val="26"/>
        </w:rPr>
      </w:pPr>
      <w:r w:rsidRPr="00667DFF">
        <w:rPr>
          <w:spacing w:val="6"/>
          <w:sz w:val="26"/>
          <w:szCs w:val="26"/>
        </w:rPr>
        <w:t xml:space="preserve">Hemos revisado una muestra sobre las siguientes partidas: </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253"/>
        <w:gridCol w:w="2268"/>
        <w:gridCol w:w="2268"/>
      </w:tblGrid>
      <w:tr w:rsidR="00807992" w:rsidRPr="00667DFF" w14:paraId="2C5347D1" w14:textId="77777777" w:rsidTr="007E5CC4">
        <w:trPr>
          <w:trHeight w:val="255"/>
        </w:trPr>
        <w:tc>
          <w:tcPr>
            <w:tcW w:w="2420" w:type="pct"/>
            <w:tcBorders>
              <w:bottom w:val="single" w:sz="4" w:space="0" w:color="auto"/>
            </w:tcBorders>
            <w:shd w:val="clear" w:color="000000" w:fill="FABF8F"/>
            <w:vAlign w:val="center"/>
            <w:hideMark/>
          </w:tcPr>
          <w:p w14:paraId="4A35CCD5" w14:textId="77777777" w:rsidR="00807992" w:rsidRPr="00667DFF" w:rsidRDefault="00807992" w:rsidP="00807992">
            <w:pPr>
              <w:tabs>
                <w:tab w:val="left" w:pos="142"/>
              </w:tabs>
              <w:spacing w:after="0"/>
              <w:ind w:firstLine="0"/>
              <w:jc w:val="left"/>
              <w:rPr>
                <w:rFonts w:ascii="Arial" w:hAnsi="Arial" w:cs="Arial"/>
                <w:color w:val="000000"/>
                <w:sz w:val="18"/>
                <w:szCs w:val="18"/>
                <w:lang w:val="es-ES"/>
              </w:rPr>
            </w:pPr>
            <w:r w:rsidRPr="00667DFF">
              <w:rPr>
                <w:rFonts w:ascii="Arial" w:hAnsi="Arial" w:cs="Arial"/>
                <w:color w:val="000000"/>
                <w:sz w:val="18"/>
                <w:szCs w:val="18"/>
                <w:lang w:val="es-ES"/>
              </w:rPr>
              <w:t>Concepto</w:t>
            </w:r>
          </w:p>
        </w:tc>
        <w:tc>
          <w:tcPr>
            <w:tcW w:w="1290" w:type="pct"/>
            <w:tcBorders>
              <w:bottom w:val="single" w:sz="4" w:space="0" w:color="auto"/>
            </w:tcBorders>
            <w:shd w:val="clear" w:color="000000" w:fill="FABF8F"/>
            <w:vAlign w:val="center"/>
            <w:hideMark/>
          </w:tcPr>
          <w:p w14:paraId="0CFFEF4F" w14:textId="77777777" w:rsidR="00807992" w:rsidRPr="00667DFF" w:rsidRDefault="00807992" w:rsidP="00BF76EE">
            <w:pPr>
              <w:tabs>
                <w:tab w:val="left" w:pos="142"/>
              </w:tabs>
              <w:spacing w:after="0"/>
              <w:ind w:firstLine="0"/>
              <w:jc w:val="right"/>
              <w:rPr>
                <w:rFonts w:ascii="Arial" w:hAnsi="Arial" w:cs="Arial"/>
                <w:color w:val="000000"/>
                <w:sz w:val="18"/>
                <w:szCs w:val="18"/>
                <w:lang w:val="es-ES"/>
              </w:rPr>
            </w:pPr>
            <w:r w:rsidRPr="00667DFF">
              <w:rPr>
                <w:rFonts w:ascii="Arial" w:hAnsi="Arial" w:cs="Arial"/>
                <w:color w:val="000000"/>
                <w:sz w:val="18"/>
                <w:szCs w:val="18"/>
                <w:lang w:val="es-ES"/>
              </w:rPr>
              <w:t xml:space="preserve">DRN </w:t>
            </w:r>
            <w:r>
              <w:rPr>
                <w:rFonts w:ascii="Arial" w:hAnsi="Arial" w:cs="Arial"/>
                <w:color w:val="000000"/>
                <w:sz w:val="18"/>
                <w:szCs w:val="18"/>
                <w:lang w:val="es-ES"/>
              </w:rPr>
              <w:t>2021</w:t>
            </w:r>
          </w:p>
        </w:tc>
        <w:tc>
          <w:tcPr>
            <w:tcW w:w="1290" w:type="pct"/>
            <w:tcBorders>
              <w:bottom w:val="single" w:sz="4" w:space="0" w:color="auto"/>
            </w:tcBorders>
            <w:shd w:val="clear" w:color="000000" w:fill="FABF8F"/>
          </w:tcPr>
          <w:p w14:paraId="518C5AB4" w14:textId="77777777" w:rsidR="00807992" w:rsidRDefault="00807992" w:rsidP="00BF76EE">
            <w:pPr>
              <w:tabs>
                <w:tab w:val="left" w:pos="142"/>
              </w:tabs>
              <w:spacing w:after="0"/>
              <w:ind w:firstLine="0"/>
              <w:jc w:val="right"/>
              <w:rPr>
                <w:rFonts w:ascii="Arial" w:hAnsi="Arial" w:cs="Arial"/>
                <w:color w:val="000000"/>
                <w:sz w:val="18"/>
                <w:szCs w:val="18"/>
                <w:lang w:val="es-ES"/>
              </w:rPr>
            </w:pPr>
            <w:r>
              <w:rPr>
                <w:rFonts w:ascii="Arial" w:hAnsi="Arial" w:cs="Arial"/>
                <w:color w:val="000000"/>
                <w:sz w:val="18"/>
                <w:szCs w:val="18"/>
                <w:lang w:val="es-ES"/>
              </w:rPr>
              <w:t>%</w:t>
            </w:r>
            <w:r w:rsidR="00BF76EE">
              <w:rPr>
                <w:rFonts w:ascii="Arial" w:hAnsi="Arial" w:cs="Arial"/>
                <w:color w:val="000000"/>
                <w:sz w:val="18"/>
                <w:szCs w:val="18"/>
                <w:lang w:val="es-ES"/>
              </w:rPr>
              <w:t>V</w:t>
            </w:r>
            <w:r>
              <w:rPr>
                <w:rFonts w:ascii="Arial" w:hAnsi="Arial" w:cs="Arial"/>
                <w:color w:val="000000"/>
                <w:sz w:val="18"/>
                <w:szCs w:val="18"/>
                <w:lang w:val="es-ES"/>
              </w:rPr>
              <w:t>ariación</w:t>
            </w:r>
          </w:p>
          <w:p w14:paraId="10807D4A" w14:textId="77777777" w:rsidR="00807992" w:rsidRPr="00667DFF" w:rsidRDefault="00807992" w:rsidP="00BF76EE">
            <w:pPr>
              <w:tabs>
                <w:tab w:val="left" w:pos="142"/>
              </w:tabs>
              <w:spacing w:after="0"/>
              <w:ind w:firstLine="0"/>
              <w:jc w:val="right"/>
              <w:rPr>
                <w:rFonts w:ascii="Arial" w:hAnsi="Arial" w:cs="Arial"/>
                <w:color w:val="000000"/>
                <w:sz w:val="18"/>
                <w:szCs w:val="18"/>
                <w:lang w:val="es-ES"/>
              </w:rPr>
            </w:pPr>
            <w:r>
              <w:rPr>
                <w:rFonts w:ascii="Arial" w:hAnsi="Arial" w:cs="Arial"/>
                <w:color w:val="000000"/>
                <w:sz w:val="18"/>
                <w:szCs w:val="18"/>
                <w:lang w:val="es-ES"/>
              </w:rPr>
              <w:t xml:space="preserve"> 2021/2020</w:t>
            </w:r>
          </w:p>
        </w:tc>
      </w:tr>
      <w:tr w:rsidR="00807992" w:rsidRPr="00667DFF" w14:paraId="14F0EC8C" w14:textId="77777777" w:rsidTr="007E5CC4">
        <w:trPr>
          <w:trHeight w:val="198"/>
        </w:trPr>
        <w:tc>
          <w:tcPr>
            <w:tcW w:w="2420" w:type="pct"/>
            <w:tcBorders>
              <w:top w:val="single" w:sz="4" w:space="0" w:color="auto"/>
              <w:bottom w:val="single" w:sz="4" w:space="0" w:color="auto"/>
            </w:tcBorders>
            <w:shd w:val="clear" w:color="auto" w:fill="auto"/>
            <w:vAlign w:val="center"/>
          </w:tcPr>
          <w:p w14:paraId="11F6DECA" w14:textId="77777777" w:rsidR="00807992" w:rsidRPr="00667DFF" w:rsidRDefault="00807992" w:rsidP="00807992">
            <w:pPr>
              <w:tabs>
                <w:tab w:val="left" w:pos="142"/>
              </w:tabs>
              <w:spacing w:after="0"/>
              <w:ind w:firstLine="0"/>
              <w:jc w:val="left"/>
              <w:rPr>
                <w:rFonts w:ascii="Arial Narrow" w:hAnsi="Arial Narrow"/>
                <w:color w:val="000000"/>
                <w:lang w:val="es-ES"/>
              </w:rPr>
            </w:pPr>
            <w:r>
              <w:rPr>
                <w:rFonts w:ascii="Arial Narrow" w:hAnsi="Arial Narrow"/>
                <w:color w:val="000000"/>
                <w:lang w:val="es-ES"/>
              </w:rPr>
              <w:t>Multas y sanciones</w:t>
            </w:r>
          </w:p>
        </w:tc>
        <w:tc>
          <w:tcPr>
            <w:tcW w:w="1290" w:type="pct"/>
            <w:tcBorders>
              <w:top w:val="single" w:sz="4" w:space="0" w:color="auto"/>
              <w:bottom w:val="single" w:sz="4" w:space="0" w:color="auto"/>
            </w:tcBorders>
            <w:shd w:val="clear" w:color="auto" w:fill="auto"/>
            <w:vAlign w:val="center"/>
          </w:tcPr>
          <w:p w14:paraId="46CDB842" w14:textId="77777777" w:rsidR="00807992" w:rsidRPr="00667DFF" w:rsidRDefault="00807992" w:rsidP="00807992">
            <w:pPr>
              <w:tabs>
                <w:tab w:val="left" w:pos="142"/>
              </w:tabs>
              <w:spacing w:after="0"/>
              <w:ind w:firstLine="0"/>
              <w:jc w:val="right"/>
              <w:rPr>
                <w:rFonts w:ascii="Arial Narrow" w:hAnsi="Arial Narrow"/>
                <w:color w:val="000000"/>
                <w:lang w:val="es-ES"/>
              </w:rPr>
            </w:pPr>
            <w:r>
              <w:rPr>
                <w:rFonts w:ascii="Arial Narrow" w:hAnsi="Arial Narrow"/>
                <w:color w:val="000000"/>
                <w:lang w:val="es-ES"/>
              </w:rPr>
              <w:t>11.468.252</w:t>
            </w:r>
          </w:p>
        </w:tc>
        <w:tc>
          <w:tcPr>
            <w:tcW w:w="1290" w:type="pct"/>
            <w:tcBorders>
              <w:top w:val="single" w:sz="4" w:space="0" w:color="auto"/>
              <w:bottom w:val="single" w:sz="4" w:space="0" w:color="auto"/>
            </w:tcBorders>
          </w:tcPr>
          <w:p w14:paraId="5D22A3C0" w14:textId="77777777" w:rsidR="00807992" w:rsidRPr="00667DFF" w:rsidRDefault="00807992" w:rsidP="00807992">
            <w:pPr>
              <w:tabs>
                <w:tab w:val="left" w:pos="142"/>
              </w:tabs>
              <w:spacing w:after="0"/>
              <w:ind w:firstLine="0"/>
              <w:jc w:val="right"/>
              <w:rPr>
                <w:rFonts w:ascii="Arial Narrow" w:hAnsi="Arial Narrow"/>
                <w:color w:val="000000"/>
                <w:lang w:val="es-ES"/>
              </w:rPr>
            </w:pPr>
            <w:r>
              <w:rPr>
                <w:rFonts w:ascii="Arial Narrow" w:hAnsi="Arial Narrow"/>
                <w:color w:val="000000"/>
                <w:lang w:val="es-ES"/>
              </w:rPr>
              <w:t>58</w:t>
            </w:r>
          </w:p>
        </w:tc>
      </w:tr>
      <w:tr w:rsidR="00807992" w:rsidRPr="00667DFF" w14:paraId="7BC67FD4" w14:textId="77777777" w:rsidTr="006C15C7">
        <w:trPr>
          <w:trHeight w:val="198"/>
        </w:trPr>
        <w:tc>
          <w:tcPr>
            <w:tcW w:w="2420" w:type="pct"/>
            <w:tcBorders>
              <w:top w:val="single" w:sz="4" w:space="0" w:color="auto"/>
              <w:bottom w:val="single" w:sz="4" w:space="0" w:color="auto"/>
            </w:tcBorders>
            <w:shd w:val="clear" w:color="auto" w:fill="auto"/>
            <w:vAlign w:val="center"/>
          </w:tcPr>
          <w:p w14:paraId="79AF6AA2" w14:textId="77777777" w:rsidR="00807992" w:rsidRPr="00667DFF" w:rsidRDefault="00807992" w:rsidP="00807992">
            <w:pPr>
              <w:tabs>
                <w:tab w:val="left" w:pos="142"/>
              </w:tabs>
              <w:spacing w:after="0"/>
              <w:ind w:firstLine="0"/>
              <w:jc w:val="left"/>
              <w:rPr>
                <w:rFonts w:ascii="Arial Narrow" w:hAnsi="Arial Narrow"/>
                <w:color w:val="000000"/>
                <w:lang w:val="es-ES"/>
              </w:rPr>
            </w:pPr>
            <w:r>
              <w:rPr>
                <w:rFonts w:ascii="Arial Narrow" w:hAnsi="Arial Narrow"/>
                <w:color w:val="000000"/>
                <w:lang w:val="es-ES"/>
              </w:rPr>
              <w:t>Reintegro de presupuestos cerrados</w:t>
            </w:r>
          </w:p>
        </w:tc>
        <w:tc>
          <w:tcPr>
            <w:tcW w:w="1290" w:type="pct"/>
            <w:tcBorders>
              <w:top w:val="single" w:sz="4" w:space="0" w:color="auto"/>
              <w:bottom w:val="single" w:sz="4" w:space="0" w:color="auto"/>
            </w:tcBorders>
            <w:shd w:val="clear" w:color="auto" w:fill="auto"/>
            <w:vAlign w:val="center"/>
          </w:tcPr>
          <w:p w14:paraId="599AB665" w14:textId="77777777" w:rsidR="00807992" w:rsidRPr="00667DFF" w:rsidRDefault="000023DA" w:rsidP="00807992">
            <w:pPr>
              <w:tabs>
                <w:tab w:val="left" w:pos="142"/>
              </w:tabs>
              <w:spacing w:after="0"/>
              <w:ind w:firstLine="0"/>
              <w:jc w:val="right"/>
              <w:rPr>
                <w:rFonts w:ascii="Arial Narrow" w:hAnsi="Arial Narrow"/>
                <w:color w:val="000000"/>
                <w:lang w:val="es-ES"/>
              </w:rPr>
            </w:pPr>
            <w:r>
              <w:rPr>
                <w:rFonts w:ascii="Arial Narrow" w:hAnsi="Arial Narrow"/>
                <w:color w:val="000000"/>
                <w:lang w:val="es-ES"/>
              </w:rPr>
              <w:t>582.802</w:t>
            </w:r>
          </w:p>
        </w:tc>
        <w:tc>
          <w:tcPr>
            <w:tcW w:w="1290" w:type="pct"/>
            <w:tcBorders>
              <w:top w:val="single" w:sz="4" w:space="0" w:color="auto"/>
              <w:bottom w:val="single" w:sz="4" w:space="0" w:color="auto"/>
            </w:tcBorders>
          </w:tcPr>
          <w:p w14:paraId="1F54301D" w14:textId="77777777" w:rsidR="00807992" w:rsidRPr="00667DFF" w:rsidRDefault="00807992" w:rsidP="00807992">
            <w:pPr>
              <w:tabs>
                <w:tab w:val="left" w:pos="142"/>
              </w:tabs>
              <w:spacing w:after="0"/>
              <w:ind w:firstLine="0"/>
              <w:jc w:val="right"/>
              <w:rPr>
                <w:rFonts w:ascii="Arial Narrow" w:hAnsi="Arial Narrow"/>
                <w:color w:val="000000"/>
                <w:lang w:val="es-ES"/>
              </w:rPr>
            </w:pPr>
            <w:r>
              <w:rPr>
                <w:rFonts w:ascii="Arial Narrow" w:hAnsi="Arial Narrow"/>
                <w:color w:val="000000"/>
                <w:lang w:val="es-ES"/>
              </w:rPr>
              <w:t>-78</w:t>
            </w:r>
          </w:p>
        </w:tc>
      </w:tr>
    </w:tbl>
    <w:p w14:paraId="0922EA2B" w14:textId="77777777" w:rsidR="00807992" w:rsidRDefault="00807992" w:rsidP="00807992">
      <w:pPr>
        <w:tabs>
          <w:tab w:val="left" w:pos="480"/>
          <w:tab w:val="num" w:pos="720"/>
          <w:tab w:val="num" w:pos="1320"/>
          <w:tab w:val="num" w:pos="1948"/>
        </w:tabs>
        <w:spacing w:before="200" w:after="120"/>
        <w:ind w:firstLine="284"/>
        <w:rPr>
          <w:rFonts w:cs="Arial"/>
          <w:spacing w:val="6"/>
          <w:sz w:val="26"/>
          <w:szCs w:val="24"/>
        </w:rPr>
      </w:pPr>
      <w:bookmarkStart w:id="147" w:name="_Toc419808250"/>
      <w:bookmarkStart w:id="148" w:name="_Toc419882720"/>
      <w:bookmarkStart w:id="149" w:name="_Toc451242411"/>
      <w:bookmarkStart w:id="150" w:name="_Toc451505877"/>
      <w:bookmarkStart w:id="151" w:name="_Toc451933597"/>
      <w:bookmarkStart w:id="152" w:name="_Toc451933656"/>
      <w:r>
        <w:rPr>
          <w:rFonts w:cs="Arial"/>
          <w:spacing w:val="6"/>
          <w:sz w:val="26"/>
          <w:szCs w:val="24"/>
        </w:rPr>
        <w:t>De nuestra revisión destacamos lo siguiente:</w:t>
      </w:r>
    </w:p>
    <w:p w14:paraId="1B7E3ABB" w14:textId="77777777" w:rsidR="00807992" w:rsidRPr="00186034" w:rsidRDefault="00CF62A2" w:rsidP="00FC7613">
      <w:pPr>
        <w:numPr>
          <w:ilvl w:val="0"/>
          <w:numId w:val="10"/>
        </w:numPr>
        <w:tabs>
          <w:tab w:val="num" w:pos="284"/>
          <w:tab w:val="num" w:pos="600"/>
          <w:tab w:val="num" w:pos="720"/>
          <w:tab w:val="num" w:pos="1320"/>
        </w:tabs>
        <w:spacing w:before="200" w:after="160"/>
        <w:ind w:firstLine="284"/>
        <w:rPr>
          <w:rFonts w:cs="Arial"/>
          <w:spacing w:val="6"/>
          <w:sz w:val="26"/>
          <w:szCs w:val="24"/>
        </w:rPr>
      </w:pPr>
      <w:r>
        <w:rPr>
          <w:rFonts w:cs="Arial"/>
          <w:spacing w:val="6"/>
          <w:sz w:val="26"/>
          <w:szCs w:val="24"/>
        </w:rPr>
        <w:t xml:space="preserve">En relación con </w:t>
      </w:r>
      <w:r w:rsidR="00807992">
        <w:rPr>
          <w:rFonts w:cs="Arial"/>
          <w:spacing w:val="6"/>
          <w:sz w:val="26"/>
          <w:szCs w:val="24"/>
        </w:rPr>
        <w:t xml:space="preserve">las multas y sanciones, la variación está motivado </w:t>
      </w:r>
      <w:r w:rsidR="000023DA">
        <w:rPr>
          <w:rFonts w:cs="Arial"/>
          <w:spacing w:val="6"/>
          <w:sz w:val="26"/>
          <w:szCs w:val="24"/>
        </w:rPr>
        <w:t xml:space="preserve">principalmente </w:t>
      </w:r>
      <w:r w:rsidR="00807992">
        <w:rPr>
          <w:rFonts w:cs="Arial"/>
          <w:spacing w:val="6"/>
          <w:sz w:val="26"/>
          <w:szCs w:val="24"/>
        </w:rPr>
        <w:t xml:space="preserve">por un aumento de las multas por </w:t>
      </w:r>
      <w:r w:rsidR="000023DA">
        <w:rPr>
          <w:rFonts w:cs="Arial"/>
          <w:spacing w:val="6"/>
          <w:sz w:val="26"/>
          <w:szCs w:val="24"/>
        </w:rPr>
        <w:t xml:space="preserve">circular </w:t>
      </w:r>
      <w:r w:rsidR="00807992">
        <w:rPr>
          <w:rFonts w:cs="Arial"/>
          <w:spacing w:val="6"/>
          <w:sz w:val="26"/>
          <w:szCs w:val="24"/>
        </w:rPr>
        <w:t xml:space="preserve">en vías urbanas </w:t>
      </w:r>
      <w:r w:rsidR="000023DA">
        <w:rPr>
          <w:rFonts w:cs="Arial"/>
          <w:spacing w:val="6"/>
          <w:sz w:val="26"/>
          <w:szCs w:val="24"/>
        </w:rPr>
        <w:t xml:space="preserve">de acceso restringido </w:t>
      </w:r>
      <w:r w:rsidR="00807992">
        <w:rPr>
          <w:rFonts w:cs="Arial"/>
          <w:spacing w:val="6"/>
          <w:sz w:val="26"/>
          <w:szCs w:val="24"/>
        </w:rPr>
        <w:t>sin contar con autorización, así como las sanciones impuestas por la entrada en vigor del Decreto-Ley Foral 9/2020 de 16 de septiembre</w:t>
      </w:r>
      <w:r w:rsidR="0018767B">
        <w:rPr>
          <w:rFonts w:cs="Arial"/>
          <w:spacing w:val="6"/>
          <w:sz w:val="26"/>
          <w:szCs w:val="24"/>
        </w:rPr>
        <w:t>. Dicho decreto</w:t>
      </w:r>
      <w:r w:rsidR="00807992">
        <w:rPr>
          <w:rFonts w:cs="Arial"/>
          <w:spacing w:val="6"/>
          <w:sz w:val="26"/>
          <w:szCs w:val="24"/>
        </w:rPr>
        <w:t xml:space="preserve"> establece el régimen sancionador por el incumplimiento de </w:t>
      </w:r>
      <w:r w:rsidR="00807992" w:rsidRPr="00186034">
        <w:rPr>
          <w:rFonts w:cs="Arial"/>
          <w:spacing w:val="6"/>
          <w:sz w:val="26"/>
          <w:szCs w:val="24"/>
        </w:rPr>
        <w:t>las medidas de prevención y contención sanitarias para afrontar la situación de crisis sanitaria ocasionada por COVID-19, en la Comunidad Foral de Navarra, cuya entra</w:t>
      </w:r>
      <w:r w:rsidR="000023DA">
        <w:rPr>
          <w:rFonts w:cs="Arial"/>
          <w:spacing w:val="6"/>
          <w:sz w:val="26"/>
          <w:szCs w:val="24"/>
        </w:rPr>
        <w:t>da en vigor se produjo en septiembre</w:t>
      </w:r>
      <w:r w:rsidR="00807992" w:rsidRPr="00186034">
        <w:rPr>
          <w:rFonts w:cs="Arial"/>
          <w:spacing w:val="6"/>
          <w:sz w:val="26"/>
          <w:szCs w:val="24"/>
        </w:rPr>
        <w:t xml:space="preserve"> del 2020. </w:t>
      </w:r>
    </w:p>
    <w:p w14:paraId="549FD9DF" w14:textId="77777777" w:rsidR="00807992" w:rsidRDefault="00807992" w:rsidP="00807992">
      <w:pPr>
        <w:tabs>
          <w:tab w:val="left" w:pos="480"/>
          <w:tab w:val="num" w:pos="720"/>
          <w:tab w:val="num" w:pos="1320"/>
          <w:tab w:val="num" w:pos="1948"/>
        </w:tabs>
        <w:spacing w:before="200" w:after="120"/>
        <w:ind w:firstLine="284"/>
        <w:rPr>
          <w:rFonts w:cs="Arial"/>
          <w:spacing w:val="6"/>
          <w:sz w:val="26"/>
          <w:szCs w:val="24"/>
        </w:rPr>
      </w:pPr>
      <w:r>
        <w:rPr>
          <w:rFonts w:cs="Arial"/>
          <w:spacing w:val="6"/>
          <w:sz w:val="26"/>
          <w:szCs w:val="24"/>
        </w:rPr>
        <w:t xml:space="preserve">Al respecto, es necesario indicar que el Tribunal Constitucional en su sentencia 148/2021, de 14 de julio, </w:t>
      </w:r>
      <w:r w:rsidRPr="00186034">
        <w:rPr>
          <w:rFonts w:cs="Arial"/>
          <w:spacing w:val="6"/>
          <w:sz w:val="26"/>
          <w:szCs w:val="24"/>
        </w:rPr>
        <w:t>declara inconstitucionales y nulos los apartados 1,3 y 5 del art.7 del Real Decreto 463/2020 por el que se decretaba el primer estado de alarma para la gestión de la situación de crisis sanitaria ocasionada por el COVID-19. Esos preceptos se referían a la li</w:t>
      </w:r>
      <w:r>
        <w:rPr>
          <w:rFonts w:cs="Arial"/>
          <w:spacing w:val="6"/>
          <w:sz w:val="26"/>
          <w:szCs w:val="24"/>
        </w:rPr>
        <w:t xml:space="preserve">bre circulación, </w:t>
      </w:r>
      <w:r w:rsidR="003D644A">
        <w:rPr>
          <w:rFonts w:cs="Arial"/>
          <w:spacing w:val="6"/>
          <w:sz w:val="26"/>
          <w:szCs w:val="24"/>
        </w:rPr>
        <w:t xml:space="preserve">y </w:t>
      </w:r>
      <w:r>
        <w:rPr>
          <w:rFonts w:cs="Arial"/>
          <w:spacing w:val="6"/>
          <w:sz w:val="26"/>
          <w:szCs w:val="24"/>
        </w:rPr>
        <w:t xml:space="preserve">a la movilidad, lo que afectaría a las sanciones impuestas por las citadas restricciones. </w:t>
      </w:r>
    </w:p>
    <w:p w14:paraId="137613DC" w14:textId="77777777" w:rsidR="00807992" w:rsidRDefault="00807992" w:rsidP="00807992">
      <w:pPr>
        <w:tabs>
          <w:tab w:val="left" w:pos="480"/>
          <w:tab w:val="num" w:pos="720"/>
          <w:tab w:val="num" w:pos="1320"/>
          <w:tab w:val="num" w:pos="1948"/>
        </w:tabs>
        <w:spacing w:before="200" w:after="120"/>
        <w:ind w:firstLine="284"/>
        <w:rPr>
          <w:rFonts w:cs="Arial"/>
          <w:spacing w:val="6"/>
          <w:sz w:val="26"/>
          <w:szCs w:val="24"/>
        </w:rPr>
      </w:pPr>
      <w:r>
        <w:rPr>
          <w:rFonts w:cs="Arial"/>
          <w:spacing w:val="6"/>
          <w:sz w:val="26"/>
          <w:szCs w:val="24"/>
        </w:rPr>
        <w:t xml:space="preserve">La citada sentencia generó mucha incertidumbre en la interpretación del alcance de dicha nulidad para las sanciones impuestas, principalmente si deben anularse de oficio todas las sanciones, o dejar que reclamen los sancionados, o si es aplicable únicamente a las sanciones pendientes de cobro. </w:t>
      </w:r>
    </w:p>
    <w:p w14:paraId="33E49C37" w14:textId="77777777" w:rsidR="00807992" w:rsidRDefault="00807992" w:rsidP="00807992">
      <w:pPr>
        <w:tabs>
          <w:tab w:val="left" w:pos="480"/>
          <w:tab w:val="num" w:pos="720"/>
          <w:tab w:val="num" w:pos="1320"/>
          <w:tab w:val="num" w:pos="1948"/>
        </w:tabs>
        <w:spacing w:before="200" w:after="120"/>
        <w:ind w:firstLine="284"/>
        <w:rPr>
          <w:rFonts w:cs="Arial"/>
          <w:spacing w:val="6"/>
          <w:sz w:val="26"/>
          <w:szCs w:val="24"/>
        </w:rPr>
      </w:pPr>
      <w:r>
        <w:rPr>
          <w:rFonts w:cs="Arial"/>
          <w:spacing w:val="6"/>
          <w:sz w:val="26"/>
          <w:szCs w:val="24"/>
        </w:rPr>
        <w:lastRenderedPageBreak/>
        <w:t xml:space="preserve">A la fecha de </w:t>
      </w:r>
      <w:r w:rsidR="00C71963">
        <w:rPr>
          <w:rFonts w:cs="Arial"/>
          <w:spacing w:val="6"/>
          <w:sz w:val="26"/>
          <w:szCs w:val="24"/>
        </w:rPr>
        <w:t xml:space="preserve">finalización del trabajo de campo </w:t>
      </w:r>
      <w:r>
        <w:rPr>
          <w:rFonts w:cs="Arial"/>
          <w:spacing w:val="6"/>
          <w:sz w:val="26"/>
          <w:szCs w:val="24"/>
        </w:rPr>
        <w:t xml:space="preserve">de este informe, el ayuntamiento ha </w:t>
      </w:r>
      <w:r w:rsidR="0047108B">
        <w:rPr>
          <w:rFonts w:cs="Arial"/>
          <w:spacing w:val="6"/>
          <w:sz w:val="26"/>
          <w:szCs w:val="24"/>
        </w:rPr>
        <w:t>devuelto</w:t>
      </w:r>
      <w:r>
        <w:rPr>
          <w:rFonts w:cs="Arial"/>
          <w:spacing w:val="6"/>
          <w:sz w:val="26"/>
          <w:szCs w:val="24"/>
        </w:rPr>
        <w:t xml:space="preserve"> las sanciones reclamadas por los ciudadanos y está pendiente </w:t>
      </w:r>
      <w:r w:rsidR="003D644A">
        <w:rPr>
          <w:rFonts w:cs="Arial"/>
          <w:spacing w:val="6"/>
          <w:sz w:val="26"/>
          <w:szCs w:val="24"/>
        </w:rPr>
        <w:t xml:space="preserve">su </w:t>
      </w:r>
      <w:r>
        <w:rPr>
          <w:rFonts w:cs="Arial"/>
          <w:spacing w:val="6"/>
          <w:sz w:val="26"/>
          <w:szCs w:val="24"/>
        </w:rPr>
        <w:t xml:space="preserve">pronunciamiento sobre la devolución de oficio de todas las sanciones. En cualquier caso, si bien es inmaterial a efectos de nuestro informe, en la medida que la Sentencia del Tribunal Constitucional es en el ejercicio 2021, el ayuntamiento debiera haber provisionado la correspondiente estimación y reflejar este hecho en la </w:t>
      </w:r>
      <w:r w:rsidR="0012553E">
        <w:rPr>
          <w:rFonts w:cs="Arial"/>
          <w:spacing w:val="6"/>
          <w:sz w:val="26"/>
          <w:szCs w:val="24"/>
        </w:rPr>
        <w:t>m</w:t>
      </w:r>
      <w:r>
        <w:rPr>
          <w:rFonts w:cs="Arial"/>
          <w:spacing w:val="6"/>
          <w:sz w:val="26"/>
          <w:szCs w:val="24"/>
        </w:rPr>
        <w:t xml:space="preserve">emoria de la </w:t>
      </w:r>
      <w:r w:rsidR="0012553E">
        <w:rPr>
          <w:rFonts w:cs="Arial"/>
          <w:spacing w:val="6"/>
          <w:sz w:val="26"/>
          <w:szCs w:val="24"/>
        </w:rPr>
        <w:t>c</w:t>
      </w:r>
      <w:r>
        <w:rPr>
          <w:rFonts w:cs="Arial"/>
          <w:spacing w:val="6"/>
          <w:sz w:val="26"/>
          <w:szCs w:val="24"/>
        </w:rPr>
        <w:t xml:space="preserve">uenta </w:t>
      </w:r>
      <w:r w:rsidR="0012553E">
        <w:rPr>
          <w:rFonts w:cs="Arial"/>
          <w:spacing w:val="6"/>
          <w:sz w:val="26"/>
          <w:szCs w:val="24"/>
        </w:rPr>
        <w:t>g</w:t>
      </w:r>
      <w:r>
        <w:rPr>
          <w:rFonts w:cs="Arial"/>
          <w:spacing w:val="6"/>
          <w:sz w:val="26"/>
          <w:szCs w:val="24"/>
        </w:rPr>
        <w:t xml:space="preserve">eneral. </w:t>
      </w:r>
    </w:p>
    <w:p w14:paraId="6449B3C8" w14:textId="77777777" w:rsidR="00807992" w:rsidRDefault="00CF62A2" w:rsidP="00FC7613">
      <w:pPr>
        <w:numPr>
          <w:ilvl w:val="0"/>
          <w:numId w:val="10"/>
        </w:numPr>
        <w:tabs>
          <w:tab w:val="num" w:pos="284"/>
          <w:tab w:val="num" w:pos="600"/>
          <w:tab w:val="num" w:pos="720"/>
          <w:tab w:val="num" w:pos="1320"/>
        </w:tabs>
        <w:spacing w:before="200" w:after="160"/>
        <w:ind w:firstLine="284"/>
        <w:rPr>
          <w:rFonts w:cs="Arial"/>
          <w:spacing w:val="6"/>
          <w:sz w:val="26"/>
          <w:szCs w:val="24"/>
        </w:rPr>
      </w:pPr>
      <w:r>
        <w:rPr>
          <w:rFonts w:cs="Arial"/>
          <w:spacing w:val="6"/>
          <w:sz w:val="26"/>
          <w:szCs w:val="24"/>
        </w:rPr>
        <w:t xml:space="preserve">En relación con </w:t>
      </w:r>
      <w:r w:rsidR="00807992">
        <w:rPr>
          <w:rFonts w:cs="Arial"/>
          <w:spacing w:val="6"/>
          <w:sz w:val="26"/>
          <w:szCs w:val="24"/>
        </w:rPr>
        <w:t xml:space="preserve">la partida de </w:t>
      </w:r>
      <w:r w:rsidR="003D644A">
        <w:rPr>
          <w:rFonts w:cs="Arial"/>
          <w:spacing w:val="6"/>
          <w:sz w:val="26"/>
          <w:szCs w:val="24"/>
        </w:rPr>
        <w:t xml:space="preserve">ingresos por </w:t>
      </w:r>
      <w:r w:rsidR="00807992">
        <w:rPr>
          <w:rFonts w:cs="Arial"/>
          <w:spacing w:val="6"/>
          <w:sz w:val="26"/>
          <w:szCs w:val="24"/>
        </w:rPr>
        <w:t xml:space="preserve">reintegro de ejercicios cerrados, la significativa disminución respecto a 2020, en términos absolutos dos millones, se debe </w:t>
      </w:r>
      <w:r w:rsidR="003D644A">
        <w:rPr>
          <w:rFonts w:cs="Arial"/>
          <w:spacing w:val="6"/>
          <w:sz w:val="26"/>
          <w:szCs w:val="24"/>
        </w:rPr>
        <w:t xml:space="preserve">principalmente </w:t>
      </w:r>
      <w:r w:rsidR="00807992">
        <w:rPr>
          <w:rFonts w:cs="Arial"/>
          <w:spacing w:val="6"/>
          <w:sz w:val="26"/>
          <w:szCs w:val="24"/>
        </w:rPr>
        <w:t xml:space="preserve">a que en 2020 hubo un ingreso de 2,36 millones </w:t>
      </w:r>
      <w:r w:rsidR="00807992" w:rsidRPr="00186034">
        <w:rPr>
          <w:rFonts w:cs="Arial"/>
          <w:spacing w:val="6"/>
          <w:sz w:val="26"/>
          <w:szCs w:val="24"/>
        </w:rPr>
        <w:t xml:space="preserve">del Gobierno de Navarra por cumplimiento de la sentencia firme 434/2018 del Contencioso por el que se </w:t>
      </w:r>
      <w:r w:rsidR="003D644A">
        <w:rPr>
          <w:rFonts w:cs="Arial"/>
          <w:spacing w:val="6"/>
          <w:sz w:val="26"/>
          <w:szCs w:val="24"/>
        </w:rPr>
        <w:t>estimaba abonar al a</w:t>
      </w:r>
      <w:r w:rsidR="00807992" w:rsidRPr="00186034">
        <w:rPr>
          <w:rFonts w:cs="Arial"/>
          <w:spacing w:val="6"/>
          <w:sz w:val="26"/>
          <w:szCs w:val="24"/>
        </w:rPr>
        <w:t xml:space="preserve">yuntamiento </w:t>
      </w:r>
      <w:r w:rsidR="00807992">
        <w:rPr>
          <w:rFonts w:cs="Arial"/>
          <w:spacing w:val="6"/>
          <w:sz w:val="26"/>
          <w:szCs w:val="24"/>
        </w:rPr>
        <w:t xml:space="preserve">la citada </w:t>
      </w:r>
      <w:r w:rsidR="00807992" w:rsidRPr="00186034">
        <w:rPr>
          <w:rFonts w:cs="Arial"/>
          <w:spacing w:val="6"/>
          <w:sz w:val="26"/>
          <w:szCs w:val="24"/>
        </w:rPr>
        <w:t>cuantía</w:t>
      </w:r>
      <w:r w:rsidR="0047108B">
        <w:rPr>
          <w:rFonts w:cs="Arial"/>
          <w:spacing w:val="6"/>
          <w:sz w:val="26"/>
          <w:szCs w:val="24"/>
        </w:rPr>
        <w:t xml:space="preserve">. Dicho ingreso está relacionado </w:t>
      </w:r>
      <w:r w:rsidR="00807992" w:rsidRPr="00186034">
        <w:rPr>
          <w:rFonts w:cs="Arial"/>
          <w:spacing w:val="6"/>
          <w:sz w:val="26"/>
          <w:szCs w:val="24"/>
        </w:rPr>
        <w:t>con un litigio por</w:t>
      </w:r>
      <w:r w:rsidR="003D644A">
        <w:rPr>
          <w:rFonts w:cs="Arial"/>
          <w:spacing w:val="6"/>
          <w:sz w:val="26"/>
          <w:szCs w:val="24"/>
        </w:rPr>
        <w:t xml:space="preserve"> la aportación como compensación por el régimen especial de los bomberos municipales en régimen de servicios especiales en la Administración de la Comunidad Foral de Navarra. </w:t>
      </w:r>
      <w:bookmarkStart w:id="153" w:name="TMB1332873191"/>
      <w:bookmarkStart w:id="154" w:name="TMP1462122152"/>
      <w:bookmarkStart w:id="155" w:name="TMB2132872679"/>
      <w:bookmarkEnd w:id="153"/>
      <w:bookmarkEnd w:id="154"/>
      <w:bookmarkEnd w:id="155"/>
    </w:p>
    <w:bookmarkEnd w:id="147"/>
    <w:bookmarkEnd w:id="148"/>
    <w:bookmarkEnd w:id="149"/>
    <w:bookmarkEnd w:id="150"/>
    <w:bookmarkEnd w:id="151"/>
    <w:bookmarkEnd w:id="152"/>
    <w:p w14:paraId="7A82FCA2" w14:textId="77777777" w:rsidR="00807992" w:rsidRPr="005360A2" w:rsidRDefault="00807992" w:rsidP="00807992">
      <w:pPr>
        <w:tabs>
          <w:tab w:val="num" w:pos="284"/>
          <w:tab w:val="num" w:pos="720"/>
          <w:tab w:val="num" w:pos="1320"/>
        </w:tabs>
        <w:spacing w:after="120"/>
        <w:ind w:firstLine="284"/>
        <w:rPr>
          <w:rFonts w:cs="Arial"/>
          <w:spacing w:val="6"/>
          <w:sz w:val="26"/>
          <w:szCs w:val="24"/>
        </w:rPr>
      </w:pPr>
      <w:r w:rsidRPr="005360A2">
        <w:rPr>
          <w:rFonts w:cs="Arial"/>
          <w:spacing w:val="6"/>
          <w:sz w:val="26"/>
          <w:szCs w:val="24"/>
        </w:rPr>
        <w:t>Recomendamos:</w:t>
      </w:r>
    </w:p>
    <w:p w14:paraId="0E22D228" w14:textId="77777777" w:rsidR="00807992" w:rsidRPr="0062596E" w:rsidRDefault="00807992" w:rsidP="00FC7613">
      <w:pPr>
        <w:numPr>
          <w:ilvl w:val="0"/>
          <w:numId w:val="10"/>
        </w:numPr>
        <w:tabs>
          <w:tab w:val="num" w:pos="284"/>
          <w:tab w:val="num" w:pos="600"/>
          <w:tab w:val="num" w:pos="720"/>
          <w:tab w:val="num" w:pos="1320"/>
        </w:tabs>
        <w:spacing w:before="200" w:after="160"/>
        <w:ind w:firstLine="284"/>
        <w:rPr>
          <w:rFonts w:cs="Arial"/>
          <w:i/>
          <w:spacing w:val="6"/>
          <w:sz w:val="26"/>
          <w:szCs w:val="24"/>
        </w:rPr>
      </w:pPr>
      <w:r w:rsidRPr="0062596E">
        <w:rPr>
          <w:rFonts w:cs="Arial"/>
          <w:i/>
          <w:spacing w:val="6"/>
          <w:sz w:val="26"/>
          <w:szCs w:val="24"/>
        </w:rPr>
        <w:t xml:space="preserve"> Aprobar definitivamente la Ponencia de Valoración Total que modifique los valores catastrale</w:t>
      </w:r>
      <w:r w:rsidR="009F4A8C" w:rsidRPr="0062596E">
        <w:rPr>
          <w:rFonts w:cs="Arial"/>
          <w:i/>
          <w:spacing w:val="6"/>
          <w:sz w:val="26"/>
          <w:szCs w:val="24"/>
        </w:rPr>
        <w:t xml:space="preserve">s, actualizando los existentes y unificando </w:t>
      </w:r>
      <w:r w:rsidR="0062596E" w:rsidRPr="0062596E">
        <w:rPr>
          <w:rFonts w:cs="Arial"/>
          <w:i/>
          <w:spacing w:val="6"/>
          <w:sz w:val="26"/>
          <w:szCs w:val="24"/>
        </w:rPr>
        <w:t xml:space="preserve">el tipo </w:t>
      </w:r>
      <w:r w:rsidR="009F4A8C" w:rsidRPr="0062596E">
        <w:rPr>
          <w:rFonts w:cs="Arial"/>
          <w:i/>
          <w:spacing w:val="6"/>
          <w:sz w:val="26"/>
          <w:szCs w:val="24"/>
        </w:rPr>
        <w:t>impositivo</w:t>
      </w:r>
      <w:r w:rsidR="0062596E" w:rsidRPr="0062596E">
        <w:rPr>
          <w:rFonts w:cs="Arial"/>
          <w:i/>
          <w:spacing w:val="6"/>
          <w:sz w:val="26"/>
          <w:szCs w:val="24"/>
        </w:rPr>
        <w:t xml:space="preserve"> de </w:t>
      </w:r>
      <w:r w:rsidR="009F4A8C" w:rsidRPr="0062596E">
        <w:rPr>
          <w:rFonts w:cs="Arial"/>
          <w:i/>
          <w:spacing w:val="6"/>
          <w:sz w:val="26"/>
          <w:szCs w:val="24"/>
        </w:rPr>
        <w:t xml:space="preserve">contribución. </w:t>
      </w:r>
    </w:p>
    <w:p w14:paraId="68E51362" w14:textId="77777777" w:rsidR="00807992" w:rsidRPr="005360A2" w:rsidRDefault="000023DA" w:rsidP="00807992">
      <w:pPr>
        <w:pStyle w:val="Prrafodelista"/>
        <w:numPr>
          <w:ilvl w:val="0"/>
          <w:numId w:val="10"/>
        </w:numPr>
        <w:tabs>
          <w:tab w:val="num" w:pos="600"/>
          <w:tab w:val="num" w:pos="720"/>
          <w:tab w:val="num" w:pos="1320"/>
        </w:tabs>
        <w:spacing w:before="120" w:after="120"/>
        <w:rPr>
          <w:rFonts w:cs="Arial"/>
          <w:i/>
          <w:spacing w:val="2"/>
          <w:sz w:val="26"/>
          <w:szCs w:val="24"/>
        </w:rPr>
      </w:pPr>
      <w:r>
        <w:rPr>
          <w:rFonts w:cs="Arial"/>
          <w:i/>
          <w:spacing w:val="2"/>
          <w:sz w:val="26"/>
          <w:szCs w:val="24"/>
        </w:rPr>
        <w:t>D</w:t>
      </w:r>
      <w:r w:rsidR="00807992" w:rsidRPr="005360A2">
        <w:rPr>
          <w:rFonts w:cs="Arial"/>
          <w:i/>
          <w:spacing w:val="2"/>
          <w:sz w:val="26"/>
          <w:szCs w:val="24"/>
        </w:rPr>
        <w:t xml:space="preserve">otar de medios </w:t>
      </w:r>
      <w:r>
        <w:rPr>
          <w:rFonts w:cs="Arial"/>
          <w:i/>
          <w:spacing w:val="2"/>
          <w:sz w:val="26"/>
          <w:szCs w:val="24"/>
        </w:rPr>
        <w:t xml:space="preserve">personales </w:t>
      </w:r>
      <w:r w:rsidR="00807992" w:rsidRPr="005360A2">
        <w:rPr>
          <w:rFonts w:cs="Arial"/>
          <w:i/>
          <w:spacing w:val="2"/>
          <w:sz w:val="26"/>
          <w:szCs w:val="24"/>
        </w:rPr>
        <w:t>suficientes para la agilización administrativa de impuestos relevantes en el presupuesto municipal.</w:t>
      </w:r>
    </w:p>
    <w:p w14:paraId="3725820D" w14:textId="77777777" w:rsidR="00807992" w:rsidRPr="00A54D1E" w:rsidRDefault="00807992" w:rsidP="002B2A2F">
      <w:pPr>
        <w:pStyle w:val="texto"/>
      </w:pPr>
      <w:bookmarkStart w:id="156" w:name="_Toc118266037"/>
      <w:bookmarkStart w:id="157" w:name="_Toc455146003"/>
      <w:r w:rsidRPr="00A54D1E">
        <w:t>5.</w:t>
      </w:r>
      <w:r>
        <w:t>4</w:t>
      </w:r>
      <w:r w:rsidRPr="00A54D1E">
        <w:t>.</w:t>
      </w:r>
      <w:r w:rsidR="00C1204F">
        <w:t>7</w:t>
      </w:r>
      <w:r>
        <w:t>. Ingresos por transferencias</w:t>
      </w:r>
      <w:bookmarkEnd w:id="156"/>
    </w:p>
    <w:bookmarkEnd w:id="157"/>
    <w:p w14:paraId="34FAF255" w14:textId="77777777" w:rsidR="00807992" w:rsidRDefault="00807992" w:rsidP="0012553E">
      <w:pPr>
        <w:spacing w:before="120" w:after="120"/>
        <w:ind w:firstLine="284"/>
        <w:rPr>
          <w:spacing w:val="4"/>
          <w:sz w:val="26"/>
          <w:szCs w:val="24"/>
        </w:rPr>
      </w:pPr>
      <w:r w:rsidRPr="00667DFF">
        <w:rPr>
          <w:spacing w:val="6"/>
          <w:sz w:val="26"/>
          <w:szCs w:val="24"/>
        </w:rPr>
        <w:t>Los derechos reconocidos netos por transferencias corrientes y de capital ascen</w:t>
      </w:r>
      <w:r w:rsidRPr="00667DFF">
        <w:rPr>
          <w:color w:val="000000" w:themeColor="text1"/>
          <w:spacing w:val="6"/>
          <w:sz w:val="26"/>
          <w:szCs w:val="24"/>
        </w:rPr>
        <w:t xml:space="preserve">dieron </w:t>
      </w:r>
      <w:r w:rsidRPr="00165EEC">
        <w:rPr>
          <w:spacing w:val="6"/>
          <w:sz w:val="26"/>
          <w:szCs w:val="24"/>
        </w:rPr>
        <w:t xml:space="preserve">respectivamente </w:t>
      </w:r>
      <w:r>
        <w:rPr>
          <w:spacing w:val="6"/>
          <w:sz w:val="26"/>
          <w:szCs w:val="24"/>
        </w:rPr>
        <w:t>a 110,72 millones y 2,16</w:t>
      </w:r>
      <w:r w:rsidRPr="00165EEC">
        <w:rPr>
          <w:spacing w:val="6"/>
          <w:sz w:val="26"/>
          <w:szCs w:val="24"/>
        </w:rPr>
        <w:t xml:space="preserve"> millones, suponiendo en su conjunto el </w:t>
      </w:r>
      <w:r>
        <w:rPr>
          <w:spacing w:val="6"/>
          <w:sz w:val="26"/>
          <w:szCs w:val="24"/>
        </w:rPr>
        <w:t>49</w:t>
      </w:r>
      <w:r w:rsidRPr="00165EEC">
        <w:rPr>
          <w:spacing w:val="6"/>
          <w:sz w:val="26"/>
          <w:szCs w:val="24"/>
        </w:rPr>
        <w:t xml:space="preserve"> por ciento del total de ingresos. </w:t>
      </w:r>
      <w:r>
        <w:rPr>
          <w:spacing w:val="6"/>
          <w:sz w:val="26"/>
          <w:szCs w:val="24"/>
        </w:rPr>
        <w:t xml:space="preserve"> </w:t>
      </w:r>
      <w:r w:rsidRPr="00667DFF">
        <w:rPr>
          <w:spacing w:val="4"/>
          <w:sz w:val="26"/>
          <w:szCs w:val="24"/>
        </w:rPr>
        <w:t xml:space="preserve">Los datos comparativos con el </w:t>
      </w:r>
      <w:r>
        <w:rPr>
          <w:spacing w:val="4"/>
          <w:sz w:val="26"/>
          <w:szCs w:val="24"/>
        </w:rPr>
        <w:t>ejercicio</w:t>
      </w:r>
      <w:r w:rsidRPr="00667DFF">
        <w:rPr>
          <w:spacing w:val="4"/>
          <w:sz w:val="26"/>
          <w:szCs w:val="24"/>
        </w:rPr>
        <w:t xml:space="preserve"> anterior reflejan las siguientes variaciones:</w:t>
      </w:r>
    </w:p>
    <w:tbl>
      <w:tblPr>
        <w:tblW w:w="5000" w:type="pct"/>
        <w:tblCellMar>
          <w:left w:w="70" w:type="dxa"/>
          <w:right w:w="70" w:type="dxa"/>
        </w:tblCellMar>
        <w:tblLook w:val="04A0" w:firstRow="1" w:lastRow="0" w:firstColumn="1" w:lastColumn="0" w:noHBand="0" w:noVBand="1"/>
      </w:tblPr>
      <w:tblGrid>
        <w:gridCol w:w="4265"/>
        <w:gridCol w:w="1313"/>
        <w:gridCol w:w="1232"/>
        <w:gridCol w:w="1979"/>
      </w:tblGrid>
      <w:tr w:rsidR="00807992" w:rsidRPr="00667DFF" w14:paraId="7D4574A1" w14:textId="77777777" w:rsidTr="00807992">
        <w:trPr>
          <w:trHeight w:val="270"/>
        </w:trPr>
        <w:tc>
          <w:tcPr>
            <w:tcW w:w="2426" w:type="pct"/>
            <w:vMerge w:val="restart"/>
            <w:tcBorders>
              <w:top w:val="single" w:sz="4" w:space="0" w:color="auto"/>
              <w:left w:val="nil"/>
              <w:bottom w:val="single" w:sz="4" w:space="0" w:color="auto"/>
              <w:right w:val="nil"/>
            </w:tcBorders>
            <w:shd w:val="clear" w:color="000000" w:fill="FABF8F"/>
            <w:vAlign w:val="center"/>
            <w:hideMark/>
          </w:tcPr>
          <w:p w14:paraId="1A2F76E8" w14:textId="77777777" w:rsidR="00807992" w:rsidRPr="00667DFF" w:rsidRDefault="00807992" w:rsidP="00807992">
            <w:pPr>
              <w:spacing w:after="0"/>
              <w:ind w:firstLine="0"/>
              <w:jc w:val="left"/>
              <w:rPr>
                <w:rFonts w:ascii="Arial" w:hAnsi="Arial" w:cs="Arial"/>
                <w:color w:val="000000"/>
                <w:sz w:val="18"/>
                <w:szCs w:val="18"/>
                <w:lang w:val="es-ES" w:eastAsia="es-ES"/>
              </w:rPr>
            </w:pPr>
            <w:r w:rsidRPr="00667DFF">
              <w:rPr>
                <w:rFonts w:ascii="Arial" w:hAnsi="Arial" w:cs="Arial"/>
                <w:color w:val="000000"/>
                <w:sz w:val="18"/>
                <w:szCs w:val="18"/>
                <w:lang w:val="es-ES" w:eastAsia="es-ES"/>
              </w:rPr>
              <w:t>Concepto</w:t>
            </w:r>
          </w:p>
        </w:tc>
        <w:tc>
          <w:tcPr>
            <w:tcW w:w="1448" w:type="pct"/>
            <w:gridSpan w:val="2"/>
            <w:tcBorders>
              <w:top w:val="single" w:sz="4" w:space="0" w:color="auto"/>
              <w:left w:val="nil"/>
              <w:bottom w:val="single" w:sz="4" w:space="0" w:color="auto"/>
              <w:right w:val="nil"/>
            </w:tcBorders>
            <w:shd w:val="clear" w:color="000000" w:fill="FABF8F"/>
            <w:vAlign w:val="center"/>
            <w:hideMark/>
          </w:tcPr>
          <w:p w14:paraId="29F15575" w14:textId="77777777" w:rsidR="00807992" w:rsidRPr="00667DFF" w:rsidRDefault="00807992" w:rsidP="00807992">
            <w:pPr>
              <w:spacing w:after="0"/>
              <w:ind w:firstLine="0"/>
              <w:jc w:val="center"/>
              <w:rPr>
                <w:rFonts w:ascii="Arial" w:hAnsi="Arial" w:cs="Arial"/>
                <w:color w:val="000000"/>
                <w:sz w:val="18"/>
                <w:szCs w:val="18"/>
                <w:lang w:val="es-ES" w:eastAsia="es-ES"/>
              </w:rPr>
            </w:pPr>
            <w:r w:rsidRPr="00667DFF">
              <w:rPr>
                <w:rFonts w:ascii="Arial" w:hAnsi="Arial" w:cs="Arial"/>
                <w:color w:val="000000"/>
                <w:sz w:val="18"/>
                <w:szCs w:val="18"/>
                <w:lang w:val="es-ES" w:eastAsia="es-ES"/>
              </w:rPr>
              <w:t>DRN</w:t>
            </w:r>
          </w:p>
        </w:tc>
        <w:tc>
          <w:tcPr>
            <w:tcW w:w="1126" w:type="pct"/>
            <w:vMerge w:val="restart"/>
            <w:tcBorders>
              <w:top w:val="single" w:sz="4" w:space="0" w:color="auto"/>
              <w:left w:val="nil"/>
              <w:bottom w:val="single" w:sz="4" w:space="0" w:color="auto"/>
              <w:right w:val="nil"/>
            </w:tcBorders>
            <w:shd w:val="clear" w:color="000000" w:fill="FABF8F"/>
            <w:vAlign w:val="center"/>
            <w:hideMark/>
          </w:tcPr>
          <w:p w14:paraId="2A6845AB" w14:textId="77777777" w:rsidR="00807992" w:rsidRPr="00667DFF" w:rsidRDefault="00807992" w:rsidP="00807992">
            <w:pPr>
              <w:spacing w:after="0"/>
              <w:ind w:firstLine="0"/>
              <w:jc w:val="right"/>
              <w:rPr>
                <w:rFonts w:ascii="Arial" w:hAnsi="Arial" w:cs="Arial"/>
                <w:color w:val="000000"/>
                <w:sz w:val="18"/>
                <w:szCs w:val="18"/>
                <w:lang w:val="es-ES" w:eastAsia="es-ES"/>
              </w:rPr>
            </w:pPr>
            <w:r w:rsidRPr="00667DFF">
              <w:rPr>
                <w:rFonts w:ascii="Arial" w:hAnsi="Arial" w:cs="Arial"/>
                <w:color w:val="000000"/>
                <w:sz w:val="18"/>
                <w:szCs w:val="18"/>
                <w:lang w:val="es-ES" w:eastAsia="es-ES"/>
              </w:rPr>
              <w:t xml:space="preserve">% Variación </w:t>
            </w:r>
            <w:r>
              <w:rPr>
                <w:rFonts w:ascii="Arial" w:hAnsi="Arial" w:cs="Arial"/>
                <w:color w:val="000000"/>
                <w:sz w:val="18"/>
                <w:szCs w:val="18"/>
                <w:lang w:val="es-ES" w:eastAsia="es-ES"/>
              </w:rPr>
              <w:t>2021</w:t>
            </w:r>
            <w:r w:rsidRPr="00667DFF">
              <w:rPr>
                <w:rFonts w:ascii="Arial" w:hAnsi="Arial" w:cs="Arial"/>
                <w:color w:val="000000"/>
                <w:sz w:val="18"/>
                <w:szCs w:val="18"/>
                <w:lang w:val="es-ES" w:eastAsia="es-ES"/>
              </w:rPr>
              <w:t>/20</w:t>
            </w:r>
            <w:r>
              <w:rPr>
                <w:rFonts w:ascii="Arial" w:hAnsi="Arial" w:cs="Arial"/>
                <w:color w:val="000000"/>
                <w:sz w:val="18"/>
                <w:szCs w:val="18"/>
                <w:lang w:val="es-ES" w:eastAsia="es-ES"/>
              </w:rPr>
              <w:t>20</w:t>
            </w:r>
          </w:p>
        </w:tc>
      </w:tr>
      <w:tr w:rsidR="00807992" w:rsidRPr="00667DFF" w14:paraId="793ACA84" w14:textId="77777777" w:rsidTr="00BF76EE">
        <w:trPr>
          <w:trHeight w:val="96"/>
        </w:trPr>
        <w:tc>
          <w:tcPr>
            <w:tcW w:w="2426" w:type="pct"/>
            <w:vMerge/>
            <w:tcBorders>
              <w:top w:val="single" w:sz="4" w:space="0" w:color="auto"/>
              <w:left w:val="nil"/>
              <w:bottom w:val="single" w:sz="2" w:space="0" w:color="auto"/>
              <w:right w:val="nil"/>
            </w:tcBorders>
            <w:vAlign w:val="center"/>
            <w:hideMark/>
          </w:tcPr>
          <w:p w14:paraId="6C983793"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p>
        </w:tc>
        <w:tc>
          <w:tcPr>
            <w:tcW w:w="747" w:type="pct"/>
            <w:tcBorders>
              <w:top w:val="nil"/>
              <w:left w:val="nil"/>
              <w:bottom w:val="single" w:sz="2" w:space="0" w:color="auto"/>
              <w:right w:val="nil"/>
            </w:tcBorders>
            <w:shd w:val="clear" w:color="000000" w:fill="FABF8F"/>
            <w:vAlign w:val="center"/>
            <w:hideMark/>
          </w:tcPr>
          <w:p w14:paraId="2699029B" w14:textId="77777777" w:rsidR="00807992" w:rsidRPr="00667DFF" w:rsidRDefault="00807992" w:rsidP="002B2A2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2020</w:t>
            </w:r>
          </w:p>
        </w:tc>
        <w:tc>
          <w:tcPr>
            <w:tcW w:w="701" w:type="pct"/>
            <w:tcBorders>
              <w:top w:val="nil"/>
              <w:left w:val="nil"/>
              <w:bottom w:val="single" w:sz="2" w:space="0" w:color="auto"/>
              <w:right w:val="nil"/>
            </w:tcBorders>
            <w:shd w:val="clear" w:color="000000" w:fill="FABF8F"/>
            <w:vAlign w:val="center"/>
            <w:hideMark/>
          </w:tcPr>
          <w:p w14:paraId="5705C60E" w14:textId="77777777" w:rsidR="00807992" w:rsidRPr="00667DFF" w:rsidRDefault="00807992" w:rsidP="002B2A2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2021</w:t>
            </w:r>
          </w:p>
        </w:tc>
        <w:tc>
          <w:tcPr>
            <w:tcW w:w="1126" w:type="pct"/>
            <w:vMerge/>
            <w:tcBorders>
              <w:top w:val="single" w:sz="4" w:space="0" w:color="auto"/>
              <w:left w:val="nil"/>
              <w:bottom w:val="single" w:sz="2" w:space="0" w:color="auto"/>
              <w:right w:val="nil"/>
            </w:tcBorders>
            <w:vAlign w:val="center"/>
            <w:hideMark/>
          </w:tcPr>
          <w:p w14:paraId="138BE772" w14:textId="77777777" w:rsidR="00807992" w:rsidRPr="00667DFF" w:rsidRDefault="00807992" w:rsidP="00807992">
            <w:pPr>
              <w:spacing w:after="0"/>
              <w:ind w:firstLine="0"/>
              <w:jc w:val="left"/>
              <w:rPr>
                <w:rFonts w:ascii="Arial Narrow" w:hAnsi="Arial Narrow" w:cs="Calibri"/>
                <w:color w:val="000000"/>
                <w:sz w:val="18"/>
                <w:szCs w:val="18"/>
                <w:lang w:val="es-ES" w:eastAsia="es-ES"/>
              </w:rPr>
            </w:pPr>
          </w:p>
        </w:tc>
      </w:tr>
      <w:tr w:rsidR="00807992" w:rsidRPr="00667DFF" w14:paraId="466ADCD4" w14:textId="77777777" w:rsidTr="006C15C7">
        <w:trPr>
          <w:trHeight w:val="198"/>
        </w:trPr>
        <w:tc>
          <w:tcPr>
            <w:tcW w:w="2426" w:type="pct"/>
            <w:tcBorders>
              <w:top w:val="single" w:sz="2" w:space="0" w:color="auto"/>
              <w:left w:val="nil"/>
              <w:bottom w:val="single" w:sz="4" w:space="0" w:color="auto"/>
              <w:right w:val="nil"/>
            </w:tcBorders>
            <w:shd w:val="clear" w:color="auto" w:fill="auto"/>
            <w:noWrap/>
            <w:vAlign w:val="bottom"/>
            <w:hideMark/>
          </w:tcPr>
          <w:p w14:paraId="5F781C71"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Transferencias corrientes</w:t>
            </w:r>
          </w:p>
        </w:tc>
        <w:tc>
          <w:tcPr>
            <w:tcW w:w="747" w:type="pct"/>
            <w:tcBorders>
              <w:top w:val="single" w:sz="2" w:space="0" w:color="auto"/>
              <w:left w:val="nil"/>
              <w:bottom w:val="single" w:sz="4" w:space="0" w:color="auto"/>
              <w:right w:val="nil"/>
            </w:tcBorders>
            <w:shd w:val="clear" w:color="auto" w:fill="auto"/>
            <w:noWrap/>
            <w:vAlign w:val="bottom"/>
          </w:tcPr>
          <w:p w14:paraId="1DE809DF" w14:textId="77777777" w:rsidR="00807992" w:rsidRPr="00667DFF"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115.265.283</w:t>
            </w:r>
          </w:p>
        </w:tc>
        <w:tc>
          <w:tcPr>
            <w:tcW w:w="701" w:type="pct"/>
            <w:tcBorders>
              <w:top w:val="single" w:sz="2" w:space="0" w:color="auto"/>
              <w:left w:val="nil"/>
              <w:bottom w:val="single" w:sz="4" w:space="0" w:color="auto"/>
              <w:right w:val="nil"/>
            </w:tcBorders>
            <w:shd w:val="clear" w:color="auto" w:fill="auto"/>
            <w:noWrap/>
            <w:vAlign w:val="bottom"/>
          </w:tcPr>
          <w:p w14:paraId="69CF7C49"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110.721.974</w:t>
            </w:r>
          </w:p>
        </w:tc>
        <w:tc>
          <w:tcPr>
            <w:tcW w:w="1126" w:type="pct"/>
            <w:tcBorders>
              <w:top w:val="single" w:sz="2" w:space="0" w:color="auto"/>
              <w:left w:val="nil"/>
              <w:bottom w:val="single" w:sz="4" w:space="0" w:color="auto"/>
              <w:right w:val="nil"/>
            </w:tcBorders>
            <w:shd w:val="clear" w:color="auto" w:fill="auto"/>
            <w:noWrap/>
            <w:vAlign w:val="bottom"/>
          </w:tcPr>
          <w:p w14:paraId="57DFF946"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w:t>
            </w:r>
          </w:p>
        </w:tc>
      </w:tr>
      <w:tr w:rsidR="00807992" w:rsidRPr="00667DFF" w14:paraId="586E5F14" w14:textId="77777777" w:rsidTr="006C15C7">
        <w:trPr>
          <w:trHeight w:val="198"/>
        </w:trPr>
        <w:tc>
          <w:tcPr>
            <w:tcW w:w="2426" w:type="pct"/>
            <w:tcBorders>
              <w:top w:val="single" w:sz="4" w:space="0" w:color="auto"/>
              <w:left w:val="nil"/>
              <w:bottom w:val="single" w:sz="4" w:space="0" w:color="auto"/>
              <w:right w:val="nil"/>
            </w:tcBorders>
            <w:shd w:val="clear" w:color="auto" w:fill="auto"/>
            <w:noWrap/>
            <w:vAlign w:val="bottom"/>
            <w:hideMark/>
          </w:tcPr>
          <w:p w14:paraId="0CA68829" w14:textId="77777777" w:rsidR="00807992" w:rsidRPr="00667DFF" w:rsidRDefault="00807992" w:rsidP="00807992">
            <w:pPr>
              <w:spacing w:after="0"/>
              <w:ind w:firstLine="0"/>
              <w:jc w:val="left"/>
              <w:rPr>
                <w:rFonts w:ascii="Arial Narrow" w:hAnsi="Arial Narrow" w:cs="Calibri"/>
                <w:color w:val="000000"/>
                <w:lang w:val="es-ES" w:eastAsia="es-ES"/>
              </w:rPr>
            </w:pPr>
            <w:r w:rsidRPr="00667DFF">
              <w:rPr>
                <w:rFonts w:ascii="Arial Narrow" w:hAnsi="Arial Narrow" w:cs="Calibri"/>
                <w:color w:val="000000"/>
                <w:lang w:val="es-ES" w:eastAsia="es-ES"/>
              </w:rPr>
              <w:t>Transferencias de capital</w:t>
            </w:r>
          </w:p>
        </w:tc>
        <w:tc>
          <w:tcPr>
            <w:tcW w:w="747" w:type="pct"/>
            <w:tcBorders>
              <w:top w:val="single" w:sz="4" w:space="0" w:color="auto"/>
              <w:left w:val="nil"/>
              <w:bottom w:val="single" w:sz="4" w:space="0" w:color="auto"/>
              <w:right w:val="nil"/>
            </w:tcBorders>
            <w:shd w:val="clear" w:color="auto" w:fill="auto"/>
            <w:noWrap/>
            <w:vAlign w:val="bottom"/>
          </w:tcPr>
          <w:p w14:paraId="6BC249E2" w14:textId="77777777" w:rsidR="00807992" w:rsidRPr="00667DFF"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1.756.645</w:t>
            </w:r>
          </w:p>
        </w:tc>
        <w:tc>
          <w:tcPr>
            <w:tcW w:w="701" w:type="pct"/>
            <w:tcBorders>
              <w:top w:val="single" w:sz="4" w:space="0" w:color="auto"/>
              <w:left w:val="nil"/>
              <w:bottom w:val="single" w:sz="4" w:space="0" w:color="auto"/>
              <w:right w:val="nil"/>
            </w:tcBorders>
            <w:shd w:val="clear" w:color="auto" w:fill="auto"/>
            <w:noWrap/>
            <w:vAlign w:val="bottom"/>
          </w:tcPr>
          <w:p w14:paraId="17995DC3"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2.158.478</w:t>
            </w:r>
          </w:p>
        </w:tc>
        <w:tc>
          <w:tcPr>
            <w:tcW w:w="1126" w:type="pct"/>
            <w:tcBorders>
              <w:top w:val="single" w:sz="4" w:space="0" w:color="auto"/>
              <w:left w:val="nil"/>
              <w:bottom w:val="single" w:sz="4" w:space="0" w:color="auto"/>
              <w:right w:val="nil"/>
            </w:tcBorders>
            <w:shd w:val="clear" w:color="auto" w:fill="auto"/>
            <w:noWrap/>
            <w:vAlign w:val="bottom"/>
          </w:tcPr>
          <w:p w14:paraId="71AEC2A6" w14:textId="77777777" w:rsidR="00807992" w:rsidRPr="00667DFF"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23</w:t>
            </w:r>
          </w:p>
        </w:tc>
      </w:tr>
    </w:tbl>
    <w:p w14:paraId="1D425703" w14:textId="77777777" w:rsidR="00807992" w:rsidRPr="00165EEC" w:rsidRDefault="00CF62A2" w:rsidP="00807992">
      <w:pPr>
        <w:tabs>
          <w:tab w:val="left" w:pos="142"/>
          <w:tab w:val="center" w:pos="2835"/>
          <w:tab w:val="center" w:pos="3969"/>
          <w:tab w:val="center" w:pos="5103"/>
          <w:tab w:val="center" w:pos="6237"/>
          <w:tab w:val="center" w:pos="7371"/>
        </w:tabs>
        <w:spacing w:before="120" w:after="240"/>
        <w:ind w:firstLine="284"/>
        <w:rPr>
          <w:spacing w:val="6"/>
          <w:sz w:val="26"/>
          <w:szCs w:val="26"/>
          <w:lang w:val="es-ES" w:eastAsia="es-ES"/>
        </w:rPr>
      </w:pPr>
      <w:r>
        <w:rPr>
          <w:spacing w:val="6"/>
          <w:sz w:val="26"/>
          <w:szCs w:val="26"/>
          <w:lang w:val="es-ES" w:eastAsia="es-ES"/>
        </w:rPr>
        <w:t>En relación con</w:t>
      </w:r>
      <w:r w:rsidR="00807992">
        <w:rPr>
          <w:spacing w:val="6"/>
          <w:sz w:val="26"/>
          <w:szCs w:val="26"/>
          <w:lang w:val="es-ES" w:eastAsia="es-ES"/>
        </w:rPr>
        <w:t xml:space="preserve"> las transferencias corrientes, l</w:t>
      </w:r>
      <w:r w:rsidR="00807992" w:rsidRPr="00165EEC">
        <w:rPr>
          <w:spacing w:val="6"/>
          <w:sz w:val="26"/>
          <w:szCs w:val="26"/>
          <w:lang w:val="es-ES" w:eastAsia="es-ES"/>
        </w:rPr>
        <w:t xml:space="preserve">as variaciones más significativas se han producido en: </w:t>
      </w:r>
    </w:p>
    <w:tbl>
      <w:tblPr>
        <w:tblW w:w="8789" w:type="dxa"/>
        <w:tblCellMar>
          <w:left w:w="70" w:type="dxa"/>
          <w:right w:w="70" w:type="dxa"/>
        </w:tblCellMar>
        <w:tblLook w:val="04A0" w:firstRow="1" w:lastRow="0" w:firstColumn="1" w:lastColumn="0" w:noHBand="0" w:noVBand="1"/>
      </w:tblPr>
      <w:tblGrid>
        <w:gridCol w:w="4060"/>
        <w:gridCol w:w="1894"/>
        <w:gridCol w:w="986"/>
        <w:gridCol w:w="1140"/>
        <w:gridCol w:w="709"/>
      </w:tblGrid>
      <w:tr w:rsidR="00807992" w:rsidRPr="00165EEC" w14:paraId="1EA7EC62" w14:textId="77777777" w:rsidTr="006C15C7">
        <w:trPr>
          <w:trHeight w:val="255"/>
        </w:trPr>
        <w:tc>
          <w:tcPr>
            <w:tcW w:w="4060" w:type="dxa"/>
            <w:tcBorders>
              <w:top w:val="single" w:sz="4" w:space="0" w:color="auto"/>
              <w:left w:val="nil"/>
              <w:bottom w:val="single" w:sz="4" w:space="0" w:color="auto"/>
              <w:right w:val="nil"/>
            </w:tcBorders>
            <w:shd w:val="clear" w:color="000000" w:fill="FABF8F"/>
            <w:noWrap/>
            <w:vAlign w:val="center"/>
            <w:hideMark/>
          </w:tcPr>
          <w:p w14:paraId="1510D247" w14:textId="77777777" w:rsidR="00807992" w:rsidRPr="00165EEC" w:rsidRDefault="00807992" w:rsidP="00807992">
            <w:pPr>
              <w:spacing w:after="0"/>
              <w:ind w:firstLine="0"/>
              <w:rPr>
                <w:rFonts w:ascii="Arial" w:hAnsi="Arial" w:cs="Arial"/>
                <w:color w:val="000000"/>
                <w:sz w:val="18"/>
                <w:szCs w:val="18"/>
                <w:lang w:val="es-ES" w:eastAsia="es-ES"/>
              </w:rPr>
            </w:pPr>
            <w:r w:rsidRPr="00165EEC">
              <w:rPr>
                <w:rFonts w:ascii="Arial" w:hAnsi="Arial" w:cs="Arial"/>
                <w:color w:val="000000"/>
                <w:sz w:val="18"/>
                <w:szCs w:val="18"/>
                <w:lang w:val="es-ES" w:eastAsia="es-ES"/>
              </w:rPr>
              <w:t>Partida</w:t>
            </w:r>
          </w:p>
        </w:tc>
        <w:tc>
          <w:tcPr>
            <w:tcW w:w="1894" w:type="dxa"/>
            <w:tcBorders>
              <w:top w:val="single" w:sz="4" w:space="0" w:color="auto"/>
              <w:left w:val="nil"/>
              <w:bottom w:val="single" w:sz="4" w:space="0" w:color="auto"/>
              <w:right w:val="nil"/>
            </w:tcBorders>
            <w:shd w:val="clear" w:color="000000" w:fill="FABF8F"/>
            <w:noWrap/>
            <w:vAlign w:val="center"/>
            <w:hideMark/>
          </w:tcPr>
          <w:p w14:paraId="415FAC82" w14:textId="77777777" w:rsidR="00807992" w:rsidRPr="00165EEC" w:rsidRDefault="00807992" w:rsidP="00807992">
            <w:pPr>
              <w:spacing w:after="0"/>
              <w:ind w:firstLine="0"/>
              <w:jc w:val="right"/>
              <w:rPr>
                <w:rFonts w:ascii="Arial" w:hAnsi="Arial" w:cs="Arial"/>
                <w:color w:val="000000"/>
                <w:sz w:val="18"/>
                <w:szCs w:val="18"/>
                <w:lang w:val="es-ES" w:eastAsia="es-ES"/>
              </w:rPr>
            </w:pPr>
            <w:r w:rsidRPr="00165EEC">
              <w:rPr>
                <w:rFonts w:ascii="Arial" w:hAnsi="Arial" w:cs="Arial"/>
                <w:color w:val="000000"/>
                <w:sz w:val="18"/>
                <w:szCs w:val="18"/>
                <w:lang w:val="es-ES" w:eastAsia="es-ES"/>
              </w:rPr>
              <w:t>2020</w:t>
            </w:r>
          </w:p>
        </w:tc>
        <w:tc>
          <w:tcPr>
            <w:tcW w:w="986" w:type="dxa"/>
            <w:tcBorders>
              <w:top w:val="single" w:sz="4" w:space="0" w:color="auto"/>
              <w:left w:val="nil"/>
              <w:bottom w:val="single" w:sz="4" w:space="0" w:color="auto"/>
              <w:right w:val="nil"/>
            </w:tcBorders>
            <w:shd w:val="clear" w:color="000000" w:fill="FABF8F"/>
            <w:noWrap/>
            <w:vAlign w:val="center"/>
            <w:hideMark/>
          </w:tcPr>
          <w:p w14:paraId="0E69D258" w14:textId="77777777" w:rsidR="00807992" w:rsidRPr="00165EEC" w:rsidRDefault="00807992" w:rsidP="00807992">
            <w:pPr>
              <w:spacing w:after="0"/>
              <w:ind w:firstLine="0"/>
              <w:jc w:val="right"/>
              <w:rPr>
                <w:rFonts w:ascii="Arial" w:hAnsi="Arial" w:cs="Arial"/>
                <w:color w:val="000000"/>
                <w:sz w:val="18"/>
                <w:szCs w:val="18"/>
                <w:lang w:val="es-ES" w:eastAsia="es-ES"/>
              </w:rPr>
            </w:pPr>
            <w:r w:rsidRPr="00165EEC">
              <w:rPr>
                <w:rFonts w:ascii="Arial" w:hAnsi="Arial" w:cs="Arial"/>
                <w:color w:val="000000"/>
                <w:sz w:val="18"/>
                <w:szCs w:val="18"/>
                <w:lang w:val="es-ES" w:eastAsia="es-ES"/>
              </w:rPr>
              <w:t>2021</w:t>
            </w:r>
          </w:p>
        </w:tc>
        <w:tc>
          <w:tcPr>
            <w:tcW w:w="1140" w:type="dxa"/>
            <w:tcBorders>
              <w:top w:val="single" w:sz="4" w:space="0" w:color="auto"/>
              <w:left w:val="nil"/>
              <w:bottom w:val="single" w:sz="4" w:space="0" w:color="auto"/>
              <w:right w:val="nil"/>
            </w:tcBorders>
            <w:shd w:val="clear" w:color="000000" w:fill="FABF8F"/>
            <w:vAlign w:val="center"/>
          </w:tcPr>
          <w:p w14:paraId="0CB728A7" w14:textId="77777777" w:rsidR="00807992" w:rsidRPr="00165EEC" w:rsidRDefault="00807992" w:rsidP="00807992">
            <w:pPr>
              <w:spacing w:after="0"/>
              <w:ind w:firstLine="0"/>
              <w:jc w:val="right"/>
              <w:rPr>
                <w:rFonts w:ascii="Arial" w:hAnsi="Arial" w:cs="Arial"/>
                <w:color w:val="000000"/>
                <w:sz w:val="18"/>
                <w:szCs w:val="18"/>
                <w:lang w:val="es-ES" w:eastAsia="es-ES"/>
              </w:rPr>
            </w:pPr>
            <w:r w:rsidRPr="00165EEC">
              <w:rPr>
                <w:rFonts w:ascii="Arial" w:hAnsi="Arial" w:cs="Arial"/>
                <w:color w:val="000000"/>
                <w:sz w:val="18"/>
                <w:szCs w:val="18"/>
                <w:lang w:val="es-ES" w:eastAsia="es-ES"/>
              </w:rPr>
              <w:t>Variación</w:t>
            </w:r>
          </w:p>
        </w:tc>
        <w:tc>
          <w:tcPr>
            <w:tcW w:w="709" w:type="dxa"/>
            <w:tcBorders>
              <w:top w:val="single" w:sz="4" w:space="0" w:color="auto"/>
              <w:left w:val="nil"/>
              <w:bottom w:val="single" w:sz="4" w:space="0" w:color="auto"/>
              <w:right w:val="nil"/>
            </w:tcBorders>
            <w:shd w:val="clear" w:color="000000" w:fill="FABF8F"/>
            <w:noWrap/>
            <w:vAlign w:val="center"/>
            <w:hideMark/>
          </w:tcPr>
          <w:p w14:paraId="699F485C" w14:textId="77777777" w:rsidR="00807992" w:rsidRPr="00165EEC" w:rsidRDefault="00807992" w:rsidP="00807992">
            <w:pPr>
              <w:spacing w:after="0"/>
              <w:ind w:firstLine="0"/>
              <w:jc w:val="right"/>
              <w:rPr>
                <w:rFonts w:ascii="Arial" w:hAnsi="Arial" w:cs="Arial"/>
                <w:color w:val="000000"/>
                <w:sz w:val="18"/>
                <w:szCs w:val="18"/>
                <w:lang w:val="es-ES" w:eastAsia="es-ES"/>
              </w:rPr>
            </w:pPr>
            <w:r w:rsidRPr="00165EEC">
              <w:rPr>
                <w:rFonts w:ascii="Arial" w:hAnsi="Arial" w:cs="Arial"/>
                <w:color w:val="000000"/>
                <w:sz w:val="18"/>
                <w:szCs w:val="18"/>
                <w:lang w:val="es-ES" w:eastAsia="es-ES"/>
              </w:rPr>
              <w:t>%</w:t>
            </w:r>
          </w:p>
        </w:tc>
      </w:tr>
      <w:tr w:rsidR="00807992" w:rsidRPr="00165EEC" w14:paraId="7EFF160E" w14:textId="77777777" w:rsidTr="006C15C7">
        <w:trPr>
          <w:trHeight w:val="198"/>
        </w:trPr>
        <w:tc>
          <w:tcPr>
            <w:tcW w:w="4060" w:type="dxa"/>
            <w:tcBorders>
              <w:top w:val="single" w:sz="4" w:space="0" w:color="auto"/>
              <w:left w:val="nil"/>
              <w:bottom w:val="single" w:sz="2" w:space="0" w:color="auto"/>
              <w:right w:val="nil"/>
            </w:tcBorders>
            <w:shd w:val="clear" w:color="auto" w:fill="auto"/>
            <w:noWrap/>
            <w:vAlign w:val="bottom"/>
            <w:hideMark/>
          </w:tcPr>
          <w:p w14:paraId="2B2421DA" w14:textId="77777777" w:rsidR="00807992" w:rsidRPr="00165EEC" w:rsidRDefault="00807992" w:rsidP="00807992">
            <w:pPr>
              <w:spacing w:after="0"/>
              <w:ind w:firstLine="0"/>
              <w:rPr>
                <w:rFonts w:ascii="Arial Narrow" w:hAnsi="Arial Narrow" w:cs="Calibri"/>
                <w:color w:val="000000"/>
                <w:lang w:val="es-ES" w:eastAsia="es-ES"/>
              </w:rPr>
            </w:pPr>
            <w:r w:rsidRPr="00165EEC">
              <w:rPr>
                <w:rFonts w:ascii="Arial Narrow" w:hAnsi="Arial Narrow" w:cs="Calibri"/>
                <w:color w:val="000000"/>
                <w:lang w:val="es-ES" w:eastAsia="es-ES"/>
              </w:rPr>
              <w:t>Aportación financiación derechos pasivos</w:t>
            </w:r>
          </w:p>
        </w:tc>
        <w:tc>
          <w:tcPr>
            <w:tcW w:w="1894" w:type="dxa"/>
            <w:tcBorders>
              <w:top w:val="single" w:sz="4" w:space="0" w:color="auto"/>
              <w:left w:val="nil"/>
              <w:bottom w:val="single" w:sz="2" w:space="0" w:color="auto"/>
              <w:right w:val="nil"/>
            </w:tcBorders>
            <w:shd w:val="clear" w:color="auto" w:fill="auto"/>
            <w:noWrap/>
            <w:vAlign w:val="bottom"/>
            <w:hideMark/>
          </w:tcPr>
          <w:p w14:paraId="24336F28"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10.729.162</w:t>
            </w:r>
          </w:p>
        </w:tc>
        <w:tc>
          <w:tcPr>
            <w:tcW w:w="986" w:type="dxa"/>
            <w:tcBorders>
              <w:top w:val="single" w:sz="4" w:space="0" w:color="auto"/>
              <w:left w:val="nil"/>
              <w:bottom w:val="single" w:sz="2" w:space="0" w:color="auto"/>
              <w:right w:val="nil"/>
            </w:tcBorders>
            <w:shd w:val="clear" w:color="auto" w:fill="auto"/>
            <w:noWrap/>
            <w:vAlign w:val="bottom"/>
            <w:hideMark/>
          </w:tcPr>
          <w:p w14:paraId="643C0588"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8.975.752</w:t>
            </w:r>
          </w:p>
        </w:tc>
        <w:tc>
          <w:tcPr>
            <w:tcW w:w="1140" w:type="dxa"/>
            <w:tcBorders>
              <w:top w:val="single" w:sz="4" w:space="0" w:color="auto"/>
              <w:left w:val="nil"/>
              <w:bottom w:val="single" w:sz="2" w:space="0" w:color="auto"/>
              <w:right w:val="nil"/>
            </w:tcBorders>
            <w:vAlign w:val="bottom"/>
          </w:tcPr>
          <w:p w14:paraId="6DAD0E7E"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-1.753.410</w:t>
            </w:r>
          </w:p>
        </w:tc>
        <w:tc>
          <w:tcPr>
            <w:tcW w:w="709" w:type="dxa"/>
            <w:tcBorders>
              <w:top w:val="single" w:sz="4" w:space="0" w:color="auto"/>
              <w:left w:val="nil"/>
              <w:bottom w:val="single" w:sz="2" w:space="0" w:color="auto"/>
              <w:right w:val="nil"/>
            </w:tcBorders>
            <w:shd w:val="clear" w:color="auto" w:fill="auto"/>
            <w:noWrap/>
            <w:vAlign w:val="bottom"/>
            <w:hideMark/>
          </w:tcPr>
          <w:p w14:paraId="2311DAAE"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-16</w:t>
            </w:r>
          </w:p>
        </w:tc>
      </w:tr>
      <w:tr w:rsidR="00807992" w:rsidRPr="00165EEC" w14:paraId="35403CB8" w14:textId="77777777" w:rsidTr="006C15C7">
        <w:trPr>
          <w:trHeight w:val="198"/>
        </w:trPr>
        <w:tc>
          <w:tcPr>
            <w:tcW w:w="4060" w:type="dxa"/>
            <w:tcBorders>
              <w:top w:val="single" w:sz="2" w:space="0" w:color="auto"/>
              <w:left w:val="nil"/>
              <w:bottom w:val="single" w:sz="4" w:space="0" w:color="auto"/>
              <w:right w:val="nil"/>
            </w:tcBorders>
            <w:shd w:val="clear" w:color="auto" w:fill="auto"/>
            <w:noWrap/>
            <w:vAlign w:val="bottom"/>
            <w:hideMark/>
          </w:tcPr>
          <w:p w14:paraId="1AFE16EB" w14:textId="77777777" w:rsidR="00807992" w:rsidRPr="00165EEC" w:rsidRDefault="00807992" w:rsidP="00807992">
            <w:pPr>
              <w:spacing w:after="0"/>
              <w:ind w:firstLine="0"/>
              <w:rPr>
                <w:rFonts w:ascii="Arial Narrow" w:hAnsi="Arial Narrow" w:cs="Calibri"/>
                <w:color w:val="000000"/>
                <w:lang w:val="es-ES" w:eastAsia="es-ES"/>
              </w:rPr>
            </w:pPr>
            <w:r w:rsidRPr="00165EEC">
              <w:rPr>
                <w:rFonts w:ascii="Arial Narrow" w:hAnsi="Arial Narrow" w:cs="Calibri"/>
                <w:color w:val="000000"/>
                <w:lang w:val="es-ES" w:eastAsia="es-ES"/>
              </w:rPr>
              <w:t xml:space="preserve">Subvenciones corrientes </w:t>
            </w:r>
            <w:proofErr w:type="spellStart"/>
            <w:r w:rsidRPr="00165EEC">
              <w:rPr>
                <w:rFonts w:ascii="Arial Narrow" w:hAnsi="Arial Narrow" w:cs="Calibri"/>
                <w:color w:val="000000"/>
                <w:lang w:val="es-ES" w:eastAsia="es-ES"/>
              </w:rPr>
              <w:t>Covid</w:t>
            </w:r>
            <w:proofErr w:type="spellEnd"/>
          </w:p>
        </w:tc>
        <w:tc>
          <w:tcPr>
            <w:tcW w:w="1894" w:type="dxa"/>
            <w:tcBorders>
              <w:top w:val="single" w:sz="2" w:space="0" w:color="auto"/>
              <w:left w:val="nil"/>
              <w:bottom w:val="single" w:sz="4" w:space="0" w:color="auto"/>
              <w:right w:val="nil"/>
            </w:tcBorders>
            <w:shd w:val="clear" w:color="auto" w:fill="auto"/>
            <w:noWrap/>
            <w:vAlign w:val="bottom"/>
            <w:hideMark/>
          </w:tcPr>
          <w:p w14:paraId="20C1E45A"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2.586.930</w:t>
            </w:r>
          </w:p>
        </w:tc>
        <w:tc>
          <w:tcPr>
            <w:tcW w:w="986" w:type="dxa"/>
            <w:tcBorders>
              <w:top w:val="single" w:sz="2" w:space="0" w:color="auto"/>
              <w:left w:val="nil"/>
              <w:bottom w:val="single" w:sz="4" w:space="0" w:color="auto"/>
              <w:right w:val="nil"/>
            </w:tcBorders>
            <w:shd w:val="clear" w:color="auto" w:fill="auto"/>
            <w:noWrap/>
            <w:vAlign w:val="bottom"/>
            <w:hideMark/>
          </w:tcPr>
          <w:p w14:paraId="49622643"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92.693</w:t>
            </w:r>
          </w:p>
        </w:tc>
        <w:tc>
          <w:tcPr>
            <w:tcW w:w="1140" w:type="dxa"/>
            <w:tcBorders>
              <w:top w:val="single" w:sz="2" w:space="0" w:color="auto"/>
              <w:left w:val="nil"/>
              <w:bottom w:val="single" w:sz="4" w:space="0" w:color="auto"/>
              <w:right w:val="nil"/>
            </w:tcBorders>
            <w:vAlign w:val="bottom"/>
          </w:tcPr>
          <w:p w14:paraId="5562C2D0"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-2.494.238</w:t>
            </w:r>
          </w:p>
        </w:tc>
        <w:tc>
          <w:tcPr>
            <w:tcW w:w="709" w:type="dxa"/>
            <w:tcBorders>
              <w:top w:val="single" w:sz="2" w:space="0" w:color="auto"/>
              <w:left w:val="nil"/>
              <w:bottom w:val="single" w:sz="4" w:space="0" w:color="auto"/>
              <w:right w:val="nil"/>
            </w:tcBorders>
            <w:shd w:val="clear" w:color="auto" w:fill="auto"/>
            <w:noWrap/>
            <w:vAlign w:val="bottom"/>
            <w:hideMark/>
          </w:tcPr>
          <w:p w14:paraId="48D883AC"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-96</w:t>
            </w:r>
          </w:p>
        </w:tc>
      </w:tr>
      <w:tr w:rsidR="00807992" w:rsidRPr="00165EEC" w14:paraId="7D96846F" w14:textId="77777777" w:rsidTr="006C15C7">
        <w:trPr>
          <w:trHeight w:val="198"/>
        </w:trPr>
        <w:tc>
          <w:tcPr>
            <w:tcW w:w="4060" w:type="dxa"/>
            <w:tcBorders>
              <w:top w:val="single" w:sz="4" w:space="0" w:color="auto"/>
              <w:left w:val="nil"/>
              <w:bottom w:val="single" w:sz="4" w:space="0" w:color="auto"/>
              <w:right w:val="nil"/>
            </w:tcBorders>
            <w:shd w:val="clear" w:color="auto" w:fill="auto"/>
            <w:noWrap/>
            <w:vAlign w:val="bottom"/>
          </w:tcPr>
          <w:p w14:paraId="7C663382" w14:textId="77777777" w:rsidR="00807992" w:rsidRPr="00165EEC" w:rsidRDefault="00807992" w:rsidP="00807992">
            <w:pPr>
              <w:spacing w:after="0"/>
              <w:ind w:firstLine="0"/>
              <w:rPr>
                <w:rFonts w:ascii="Arial Narrow" w:hAnsi="Arial Narrow" w:cs="Calibri"/>
                <w:color w:val="000000"/>
                <w:lang w:val="es-ES" w:eastAsia="es-ES"/>
              </w:rPr>
            </w:pPr>
            <w:r w:rsidRPr="00165EEC">
              <w:rPr>
                <w:rFonts w:ascii="Arial Narrow" w:hAnsi="Arial Narrow" w:cs="Calibri"/>
                <w:color w:val="000000"/>
                <w:lang w:val="es-ES" w:eastAsia="es-ES"/>
              </w:rPr>
              <w:t>Subvenciones de la Unión Europea</w:t>
            </w:r>
          </w:p>
        </w:tc>
        <w:tc>
          <w:tcPr>
            <w:tcW w:w="1894" w:type="dxa"/>
            <w:tcBorders>
              <w:top w:val="single" w:sz="4" w:space="0" w:color="auto"/>
              <w:left w:val="nil"/>
              <w:bottom w:val="single" w:sz="4" w:space="0" w:color="auto"/>
              <w:right w:val="nil"/>
            </w:tcBorders>
            <w:shd w:val="clear" w:color="auto" w:fill="auto"/>
            <w:noWrap/>
            <w:vAlign w:val="bottom"/>
          </w:tcPr>
          <w:p w14:paraId="77D30C2B"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219.610</w:t>
            </w:r>
          </w:p>
        </w:tc>
        <w:tc>
          <w:tcPr>
            <w:tcW w:w="986" w:type="dxa"/>
            <w:tcBorders>
              <w:top w:val="single" w:sz="4" w:space="0" w:color="auto"/>
              <w:left w:val="nil"/>
              <w:bottom w:val="single" w:sz="4" w:space="0" w:color="auto"/>
              <w:right w:val="nil"/>
            </w:tcBorders>
            <w:shd w:val="clear" w:color="auto" w:fill="auto"/>
            <w:noWrap/>
            <w:vAlign w:val="bottom"/>
          </w:tcPr>
          <w:p w14:paraId="7686B6E4"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972.527</w:t>
            </w:r>
          </w:p>
        </w:tc>
        <w:tc>
          <w:tcPr>
            <w:tcW w:w="1140" w:type="dxa"/>
            <w:tcBorders>
              <w:top w:val="single" w:sz="4" w:space="0" w:color="auto"/>
              <w:left w:val="nil"/>
              <w:bottom w:val="single" w:sz="4" w:space="0" w:color="auto"/>
              <w:right w:val="nil"/>
            </w:tcBorders>
            <w:vAlign w:val="bottom"/>
          </w:tcPr>
          <w:p w14:paraId="292350F9"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752.917</w:t>
            </w:r>
          </w:p>
        </w:tc>
        <w:tc>
          <w:tcPr>
            <w:tcW w:w="709" w:type="dxa"/>
            <w:tcBorders>
              <w:top w:val="single" w:sz="4" w:space="0" w:color="auto"/>
              <w:left w:val="nil"/>
              <w:bottom w:val="single" w:sz="4" w:space="0" w:color="auto"/>
              <w:right w:val="nil"/>
            </w:tcBorders>
            <w:shd w:val="clear" w:color="auto" w:fill="auto"/>
            <w:noWrap/>
            <w:vAlign w:val="bottom"/>
          </w:tcPr>
          <w:p w14:paraId="4AE63BF2"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343</w:t>
            </w:r>
          </w:p>
        </w:tc>
      </w:tr>
    </w:tbl>
    <w:p w14:paraId="12638825" w14:textId="77777777" w:rsidR="006435CB" w:rsidRDefault="006435CB" w:rsidP="00807992">
      <w:pPr>
        <w:tabs>
          <w:tab w:val="left" w:pos="142"/>
          <w:tab w:val="center" w:pos="2835"/>
          <w:tab w:val="center" w:pos="3969"/>
          <w:tab w:val="center" w:pos="5103"/>
          <w:tab w:val="center" w:pos="6237"/>
          <w:tab w:val="center" w:pos="7371"/>
        </w:tabs>
        <w:spacing w:before="120" w:after="240"/>
        <w:ind w:firstLine="284"/>
        <w:rPr>
          <w:spacing w:val="6"/>
          <w:sz w:val="26"/>
          <w:szCs w:val="26"/>
          <w:lang w:val="es-ES" w:eastAsia="es-ES"/>
        </w:rPr>
      </w:pPr>
    </w:p>
    <w:p w14:paraId="0F6AA3A0" w14:textId="77777777" w:rsidR="006435CB" w:rsidRDefault="006435CB">
      <w:pPr>
        <w:spacing w:after="0"/>
        <w:ind w:firstLine="0"/>
        <w:jc w:val="left"/>
        <w:rPr>
          <w:spacing w:val="6"/>
          <w:sz w:val="26"/>
          <w:szCs w:val="26"/>
          <w:lang w:val="es-ES" w:eastAsia="es-ES"/>
        </w:rPr>
      </w:pPr>
      <w:r>
        <w:rPr>
          <w:spacing w:val="6"/>
          <w:sz w:val="26"/>
          <w:szCs w:val="26"/>
          <w:lang w:val="es-ES" w:eastAsia="es-ES"/>
        </w:rPr>
        <w:br w:type="page"/>
      </w:r>
    </w:p>
    <w:p w14:paraId="0913DCBD" w14:textId="77777777" w:rsidR="00807992" w:rsidRPr="00165EEC" w:rsidRDefault="00807992" w:rsidP="00807992">
      <w:pPr>
        <w:tabs>
          <w:tab w:val="left" w:pos="142"/>
          <w:tab w:val="center" w:pos="2835"/>
          <w:tab w:val="center" w:pos="3969"/>
          <w:tab w:val="center" w:pos="5103"/>
          <w:tab w:val="center" w:pos="6237"/>
          <w:tab w:val="center" w:pos="7371"/>
        </w:tabs>
        <w:spacing w:before="120" w:after="240"/>
        <w:ind w:firstLine="284"/>
        <w:rPr>
          <w:spacing w:val="6"/>
          <w:sz w:val="26"/>
          <w:szCs w:val="26"/>
          <w:lang w:val="es-ES" w:eastAsia="es-ES"/>
        </w:rPr>
      </w:pPr>
      <w:r w:rsidRPr="00165EEC">
        <w:rPr>
          <w:spacing w:val="6"/>
          <w:sz w:val="26"/>
          <w:szCs w:val="26"/>
          <w:lang w:val="es-ES" w:eastAsia="es-ES"/>
        </w:rPr>
        <w:lastRenderedPageBreak/>
        <w:t>E</w:t>
      </w:r>
      <w:r w:rsidR="00CF62A2">
        <w:rPr>
          <w:spacing w:val="6"/>
          <w:sz w:val="26"/>
          <w:szCs w:val="26"/>
          <w:lang w:val="es-ES" w:eastAsia="es-ES"/>
        </w:rPr>
        <w:t>n relación con</w:t>
      </w:r>
      <w:r>
        <w:rPr>
          <w:spacing w:val="6"/>
          <w:sz w:val="26"/>
          <w:szCs w:val="26"/>
          <w:lang w:val="es-ES" w:eastAsia="es-ES"/>
        </w:rPr>
        <w:t xml:space="preserve"> las transferencias de capital, si bien el aumento es de un 23 por ciento, </w:t>
      </w:r>
      <w:r w:rsidRPr="00165EEC">
        <w:rPr>
          <w:spacing w:val="6"/>
          <w:sz w:val="26"/>
          <w:szCs w:val="26"/>
          <w:lang w:val="es-ES" w:eastAsia="es-ES"/>
        </w:rPr>
        <w:t xml:space="preserve">en términos absolutos </w:t>
      </w:r>
      <w:r>
        <w:rPr>
          <w:spacing w:val="6"/>
          <w:sz w:val="26"/>
          <w:szCs w:val="26"/>
          <w:lang w:val="es-ES" w:eastAsia="es-ES"/>
        </w:rPr>
        <w:t xml:space="preserve">ha supuesto </w:t>
      </w:r>
      <w:r w:rsidRPr="00165EEC">
        <w:rPr>
          <w:spacing w:val="6"/>
          <w:sz w:val="26"/>
          <w:szCs w:val="26"/>
          <w:lang w:val="es-ES" w:eastAsia="es-ES"/>
        </w:rPr>
        <w:t>0,4 millones. La composición y evolución de este capítulo de ingresos se refleja en el siguiente cuadro:</w:t>
      </w:r>
    </w:p>
    <w:tbl>
      <w:tblPr>
        <w:tblW w:w="8789" w:type="dxa"/>
        <w:tblCellMar>
          <w:left w:w="70" w:type="dxa"/>
          <w:right w:w="70" w:type="dxa"/>
        </w:tblCellMar>
        <w:tblLook w:val="04A0" w:firstRow="1" w:lastRow="0" w:firstColumn="1" w:lastColumn="0" w:noHBand="0" w:noVBand="1"/>
      </w:tblPr>
      <w:tblGrid>
        <w:gridCol w:w="5103"/>
        <w:gridCol w:w="1174"/>
        <w:gridCol w:w="953"/>
        <w:gridCol w:w="992"/>
        <w:gridCol w:w="567"/>
      </w:tblGrid>
      <w:tr w:rsidR="00807992" w:rsidRPr="00165EEC" w14:paraId="274714F6" w14:textId="77777777" w:rsidTr="00317422">
        <w:trPr>
          <w:trHeight w:val="255"/>
        </w:trPr>
        <w:tc>
          <w:tcPr>
            <w:tcW w:w="5103" w:type="dxa"/>
            <w:tcBorders>
              <w:top w:val="single" w:sz="4" w:space="0" w:color="auto"/>
              <w:left w:val="nil"/>
              <w:bottom w:val="single" w:sz="4" w:space="0" w:color="auto"/>
              <w:right w:val="nil"/>
            </w:tcBorders>
            <w:shd w:val="clear" w:color="000000" w:fill="FABF8F"/>
            <w:noWrap/>
            <w:vAlign w:val="center"/>
            <w:hideMark/>
          </w:tcPr>
          <w:p w14:paraId="5A07E732" w14:textId="77777777" w:rsidR="00807992" w:rsidRPr="00165EEC" w:rsidRDefault="00807992" w:rsidP="00807992">
            <w:pPr>
              <w:spacing w:after="0"/>
              <w:ind w:firstLine="0"/>
              <w:rPr>
                <w:rFonts w:ascii="Arial" w:hAnsi="Arial" w:cs="Arial"/>
                <w:color w:val="000000"/>
                <w:sz w:val="18"/>
                <w:szCs w:val="18"/>
                <w:lang w:val="es-ES" w:eastAsia="es-ES"/>
              </w:rPr>
            </w:pPr>
            <w:r w:rsidRPr="00165EEC">
              <w:rPr>
                <w:rFonts w:ascii="Arial" w:hAnsi="Arial" w:cs="Arial"/>
                <w:color w:val="000000"/>
                <w:sz w:val="18"/>
                <w:szCs w:val="18"/>
                <w:lang w:val="es-ES" w:eastAsia="es-ES"/>
              </w:rPr>
              <w:t>Partida</w:t>
            </w:r>
          </w:p>
        </w:tc>
        <w:tc>
          <w:tcPr>
            <w:tcW w:w="1174" w:type="dxa"/>
            <w:tcBorders>
              <w:top w:val="single" w:sz="4" w:space="0" w:color="auto"/>
              <w:left w:val="nil"/>
              <w:bottom w:val="single" w:sz="4" w:space="0" w:color="auto"/>
              <w:right w:val="nil"/>
            </w:tcBorders>
            <w:shd w:val="clear" w:color="000000" w:fill="FABF8F"/>
            <w:noWrap/>
            <w:vAlign w:val="center"/>
            <w:hideMark/>
          </w:tcPr>
          <w:p w14:paraId="7C3D4D44" w14:textId="77777777" w:rsidR="00807992" w:rsidRPr="00165EEC" w:rsidRDefault="00807992" w:rsidP="00BF76EE">
            <w:pPr>
              <w:spacing w:after="0"/>
              <w:ind w:firstLine="0"/>
              <w:jc w:val="right"/>
              <w:rPr>
                <w:rFonts w:ascii="Arial" w:hAnsi="Arial" w:cs="Arial"/>
                <w:color w:val="000000"/>
                <w:sz w:val="18"/>
                <w:szCs w:val="18"/>
                <w:lang w:val="es-ES" w:eastAsia="es-ES"/>
              </w:rPr>
            </w:pPr>
            <w:r w:rsidRPr="00165EEC">
              <w:rPr>
                <w:rFonts w:ascii="Arial" w:hAnsi="Arial" w:cs="Arial"/>
                <w:color w:val="000000"/>
                <w:sz w:val="18"/>
                <w:szCs w:val="18"/>
                <w:lang w:val="es-ES" w:eastAsia="es-ES"/>
              </w:rPr>
              <w:t>2020</w:t>
            </w:r>
          </w:p>
        </w:tc>
        <w:tc>
          <w:tcPr>
            <w:tcW w:w="953" w:type="dxa"/>
            <w:tcBorders>
              <w:top w:val="single" w:sz="4" w:space="0" w:color="auto"/>
              <w:left w:val="nil"/>
              <w:bottom w:val="single" w:sz="4" w:space="0" w:color="auto"/>
              <w:right w:val="nil"/>
            </w:tcBorders>
            <w:shd w:val="clear" w:color="000000" w:fill="FABF8F"/>
            <w:noWrap/>
            <w:vAlign w:val="center"/>
            <w:hideMark/>
          </w:tcPr>
          <w:p w14:paraId="56CA1D51" w14:textId="77777777" w:rsidR="00807992" w:rsidRPr="00165EEC" w:rsidRDefault="00807992" w:rsidP="00BF76EE">
            <w:pPr>
              <w:spacing w:after="0"/>
              <w:ind w:firstLine="0"/>
              <w:jc w:val="right"/>
              <w:rPr>
                <w:rFonts w:ascii="Arial" w:hAnsi="Arial" w:cs="Arial"/>
                <w:color w:val="000000"/>
                <w:sz w:val="18"/>
                <w:szCs w:val="18"/>
                <w:lang w:val="es-ES" w:eastAsia="es-ES"/>
              </w:rPr>
            </w:pPr>
            <w:r w:rsidRPr="00165EEC">
              <w:rPr>
                <w:rFonts w:ascii="Arial" w:hAnsi="Arial" w:cs="Arial"/>
                <w:color w:val="000000"/>
                <w:sz w:val="18"/>
                <w:szCs w:val="18"/>
                <w:lang w:val="es-ES" w:eastAsia="es-ES"/>
              </w:rPr>
              <w:t>2021</w:t>
            </w:r>
          </w:p>
        </w:tc>
        <w:tc>
          <w:tcPr>
            <w:tcW w:w="992" w:type="dxa"/>
            <w:tcBorders>
              <w:top w:val="single" w:sz="4" w:space="0" w:color="auto"/>
              <w:left w:val="nil"/>
              <w:bottom w:val="single" w:sz="4" w:space="0" w:color="auto"/>
              <w:right w:val="nil"/>
            </w:tcBorders>
            <w:shd w:val="clear" w:color="000000" w:fill="FABF8F"/>
            <w:vAlign w:val="center"/>
          </w:tcPr>
          <w:p w14:paraId="22D390C2" w14:textId="77777777" w:rsidR="00807992" w:rsidRPr="00165EEC" w:rsidRDefault="00807992" w:rsidP="00BF76EE">
            <w:pPr>
              <w:spacing w:after="0"/>
              <w:ind w:firstLine="0"/>
              <w:jc w:val="right"/>
              <w:rPr>
                <w:rFonts w:ascii="Arial" w:hAnsi="Arial" w:cs="Arial"/>
                <w:color w:val="000000"/>
                <w:sz w:val="18"/>
                <w:szCs w:val="18"/>
                <w:lang w:val="es-ES" w:eastAsia="es-ES"/>
              </w:rPr>
            </w:pPr>
            <w:r w:rsidRPr="00165EEC">
              <w:rPr>
                <w:rFonts w:ascii="Arial" w:hAnsi="Arial" w:cs="Arial"/>
                <w:color w:val="000000"/>
                <w:sz w:val="18"/>
                <w:szCs w:val="18"/>
                <w:lang w:val="es-ES" w:eastAsia="es-ES"/>
              </w:rPr>
              <w:t>Variación</w:t>
            </w:r>
          </w:p>
        </w:tc>
        <w:tc>
          <w:tcPr>
            <w:tcW w:w="567" w:type="dxa"/>
            <w:tcBorders>
              <w:top w:val="single" w:sz="4" w:space="0" w:color="auto"/>
              <w:left w:val="nil"/>
              <w:bottom w:val="single" w:sz="4" w:space="0" w:color="auto"/>
              <w:right w:val="nil"/>
            </w:tcBorders>
            <w:shd w:val="clear" w:color="000000" w:fill="FABF8F"/>
            <w:noWrap/>
            <w:vAlign w:val="center"/>
            <w:hideMark/>
          </w:tcPr>
          <w:p w14:paraId="29651E45" w14:textId="77777777" w:rsidR="00807992" w:rsidRPr="00165EEC" w:rsidRDefault="00807992" w:rsidP="00BF76EE">
            <w:pPr>
              <w:spacing w:after="0"/>
              <w:ind w:firstLine="0"/>
              <w:jc w:val="right"/>
              <w:rPr>
                <w:rFonts w:ascii="Arial" w:hAnsi="Arial" w:cs="Arial"/>
                <w:color w:val="000000"/>
                <w:sz w:val="18"/>
                <w:szCs w:val="18"/>
                <w:lang w:val="es-ES" w:eastAsia="es-ES"/>
              </w:rPr>
            </w:pPr>
            <w:r w:rsidRPr="00165EEC">
              <w:rPr>
                <w:rFonts w:ascii="Arial" w:hAnsi="Arial" w:cs="Arial"/>
                <w:color w:val="000000"/>
                <w:sz w:val="18"/>
                <w:szCs w:val="18"/>
                <w:lang w:val="es-ES" w:eastAsia="es-ES"/>
              </w:rPr>
              <w:t>%</w:t>
            </w:r>
          </w:p>
        </w:tc>
      </w:tr>
      <w:tr w:rsidR="00807992" w:rsidRPr="00165EEC" w14:paraId="0E199118" w14:textId="77777777" w:rsidTr="00317422">
        <w:trPr>
          <w:trHeight w:val="198"/>
        </w:trPr>
        <w:tc>
          <w:tcPr>
            <w:tcW w:w="5103" w:type="dxa"/>
            <w:tcBorders>
              <w:top w:val="single" w:sz="4" w:space="0" w:color="auto"/>
              <w:left w:val="nil"/>
              <w:bottom w:val="single" w:sz="2" w:space="0" w:color="auto"/>
              <w:right w:val="nil"/>
            </w:tcBorders>
            <w:shd w:val="clear" w:color="auto" w:fill="auto"/>
            <w:noWrap/>
            <w:vAlign w:val="bottom"/>
            <w:hideMark/>
          </w:tcPr>
          <w:p w14:paraId="6CFBD750" w14:textId="77777777" w:rsidR="00807992" w:rsidRPr="00165EEC" w:rsidRDefault="00807992" w:rsidP="00807992">
            <w:pPr>
              <w:spacing w:after="0"/>
              <w:ind w:firstLine="0"/>
              <w:rPr>
                <w:rFonts w:ascii="Arial Narrow" w:hAnsi="Arial Narrow" w:cs="Calibri"/>
                <w:color w:val="000000"/>
                <w:lang w:val="es-ES" w:eastAsia="es-ES"/>
              </w:rPr>
            </w:pPr>
            <w:r w:rsidRPr="00165EEC">
              <w:rPr>
                <w:rFonts w:ascii="Arial Narrow" w:hAnsi="Arial Narrow" w:cs="Calibri"/>
                <w:color w:val="000000"/>
                <w:lang w:val="es-ES" w:eastAsia="es-ES"/>
              </w:rPr>
              <w:t>Subvenciones Estado</w:t>
            </w:r>
          </w:p>
        </w:tc>
        <w:tc>
          <w:tcPr>
            <w:tcW w:w="1174" w:type="dxa"/>
            <w:tcBorders>
              <w:top w:val="single" w:sz="4" w:space="0" w:color="auto"/>
              <w:left w:val="nil"/>
              <w:bottom w:val="single" w:sz="2" w:space="0" w:color="auto"/>
              <w:right w:val="nil"/>
            </w:tcBorders>
            <w:shd w:val="clear" w:color="auto" w:fill="auto"/>
            <w:noWrap/>
            <w:vAlign w:val="bottom"/>
            <w:hideMark/>
          </w:tcPr>
          <w:p w14:paraId="14800FE0"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 </w:t>
            </w:r>
          </w:p>
        </w:tc>
        <w:tc>
          <w:tcPr>
            <w:tcW w:w="953" w:type="dxa"/>
            <w:tcBorders>
              <w:top w:val="single" w:sz="4" w:space="0" w:color="auto"/>
              <w:left w:val="nil"/>
              <w:bottom w:val="single" w:sz="2" w:space="0" w:color="auto"/>
              <w:right w:val="nil"/>
            </w:tcBorders>
            <w:shd w:val="clear" w:color="auto" w:fill="auto"/>
            <w:noWrap/>
            <w:vAlign w:val="bottom"/>
            <w:hideMark/>
          </w:tcPr>
          <w:p w14:paraId="0FEDC8F0"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646.375</w:t>
            </w:r>
          </w:p>
        </w:tc>
        <w:tc>
          <w:tcPr>
            <w:tcW w:w="992" w:type="dxa"/>
            <w:tcBorders>
              <w:top w:val="single" w:sz="4" w:space="0" w:color="auto"/>
              <w:left w:val="nil"/>
              <w:bottom w:val="single" w:sz="2" w:space="0" w:color="auto"/>
              <w:right w:val="nil"/>
            </w:tcBorders>
            <w:vAlign w:val="bottom"/>
          </w:tcPr>
          <w:p w14:paraId="30425A62"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646.375</w:t>
            </w:r>
          </w:p>
        </w:tc>
        <w:tc>
          <w:tcPr>
            <w:tcW w:w="567" w:type="dxa"/>
            <w:tcBorders>
              <w:top w:val="single" w:sz="4" w:space="0" w:color="auto"/>
              <w:left w:val="nil"/>
              <w:bottom w:val="single" w:sz="2" w:space="0" w:color="auto"/>
              <w:right w:val="nil"/>
            </w:tcBorders>
            <w:shd w:val="clear" w:color="auto" w:fill="auto"/>
            <w:noWrap/>
            <w:vAlign w:val="bottom"/>
            <w:hideMark/>
          </w:tcPr>
          <w:p w14:paraId="7C92281B" w14:textId="77777777" w:rsidR="00807992" w:rsidRPr="00165EEC" w:rsidRDefault="00807992" w:rsidP="00807992">
            <w:pPr>
              <w:spacing w:after="0"/>
              <w:ind w:firstLine="0"/>
              <w:jc w:val="center"/>
              <w:rPr>
                <w:rFonts w:ascii="Arial Narrow" w:hAnsi="Arial Narrow" w:cs="Calibri"/>
                <w:color w:val="000000"/>
                <w:lang w:val="es-ES" w:eastAsia="es-ES"/>
              </w:rPr>
            </w:pPr>
          </w:p>
        </w:tc>
      </w:tr>
      <w:tr w:rsidR="00807992" w:rsidRPr="00165EEC" w14:paraId="4C411068" w14:textId="77777777" w:rsidTr="00317422">
        <w:trPr>
          <w:trHeight w:val="198"/>
        </w:trPr>
        <w:tc>
          <w:tcPr>
            <w:tcW w:w="5103" w:type="dxa"/>
            <w:tcBorders>
              <w:top w:val="single" w:sz="2" w:space="0" w:color="auto"/>
              <w:left w:val="nil"/>
              <w:bottom w:val="single" w:sz="2" w:space="0" w:color="auto"/>
              <w:right w:val="nil"/>
            </w:tcBorders>
            <w:shd w:val="clear" w:color="auto" w:fill="auto"/>
            <w:noWrap/>
            <w:vAlign w:val="bottom"/>
            <w:hideMark/>
          </w:tcPr>
          <w:p w14:paraId="05DFEDCF" w14:textId="77777777" w:rsidR="00807992" w:rsidRPr="00165EEC" w:rsidRDefault="00807992" w:rsidP="00807992">
            <w:pPr>
              <w:spacing w:after="0"/>
              <w:ind w:firstLine="0"/>
              <w:rPr>
                <w:rFonts w:ascii="Arial Narrow" w:hAnsi="Arial Narrow" w:cs="Calibri"/>
                <w:color w:val="000000"/>
                <w:lang w:val="es-ES" w:eastAsia="es-ES"/>
              </w:rPr>
            </w:pPr>
            <w:r w:rsidRPr="00165EEC">
              <w:rPr>
                <w:rFonts w:ascii="Arial Narrow" w:hAnsi="Arial Narrow" w:cs="Calibri"/>
                <w:color w:val="000000"/>
                <w:lang w:val="es-ES" w:eastAsia="es-ES"/>
              </w:rPr>
              <w:t>Subvención Gobierno de Navarra</w:t>
            </w:r>
          </w:p>
        </w:tc>
        <w:tc>
          <w:tcPr>
            <w:tcW w:w="1174" w:type="dxa"/>
            <w:tcBorders>
              <w:top w:val="single" w:sz="2" w:space="0" w:color="auto"/>
              <w:left w:val="nil"/>
              <w:bottom w:val="single" w:sz="2" w:space="0" w:color="auto"/>
              <w:right w:val="nil"/>
            </w:tcBorders>
            <w:shd w:val="clear" w:color="auto" w:fill="auto"/>
            <w:noWrap/>
            <w:vAlign w:val="bottom"/>
            <w:hideMark/>
          </w:tcPr>
          <w:p w14:paraId="7AB2D87D"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732.940</w:t>
            </w:r>
          </w:p>
        </w:tc>
        <w:tc>
          <w:tcPr>
            <w:tcW w:w="953" w:type="dxa"/>
            <w:tcBorders>
              <w:top w:val="single" w:sz="2" w:space="0" w:color="auto"/>
              <w:left w:val="nil"/>
              <w:bottom w:val="single" w:sz="2" w:space="0" w:color="auto"/>
              <w:right w:val="nil"/>
            </w:tcBorders>
            <w:shd w:val="clear" w:color="auto" w:fill="auto"/>
            <w:noWrap/>
            <w:vAlign w:val="bottom"/>
            <w:hideMark/>
          </w:tcPr>
          <w:p w14:paraId="3A283FC0"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1.196.035</w:t>
            </w:r>
          </w:p>
        </w:tc>
        <w:tc>
          <w:tcPr>
            <w:tcW w:w="992" w:type="dxa"/>
            <w:tcBorders>
              <w:top w:val="single" w:sz="2" w:space="0" w:color="auto"/>
              <w:left w:val="nil"/>
              <w:bottom w:val="single" w:sz="2" w:space="0" w:color="auto"/>
              <w:right w:val="nil"/>
            </w:tcBorders>
            <w:vAlign w:val="bottom"/>
          </w:tcPr>
          <w:p w14:paraId="35228AD5"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463.096</w:t>
            </w:r>
          </w:p>
        </w:tc>
        <w:tc>
          <w:tcPr>
            <w:tcW w:w="567" w:type="dxa"/>
            <w:tcBorders>
              <w:top w:val="single" w:sz="2" w:space="0" w:color="auto"/>
              <w:left w:val="nil"/>
              <w:bottom w:val="single" w:sz="2" w:space="0" w:color="auto"/>
              <w:right w:val="nil"/>
            </w:tcBorders>
            <w:shd w:val="clear" w:color="auto" w:fill="auto"/>
            <w:noWrap/>
            <w:vAlign w:val="bottom"/>
            <w:hideMark/>
          </w:tcPr>
          <w:p w14:paraId="0934DE4E" w14:textId="77777777" w:rsidR="00807992" w:rsidRPr="00165EEC" w:rsidRDefault="00807992" w:rsidP="00BF76EE">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63</w:t>
            </w:r>
          </w:p>
        </w:tc>
      </w:tr>
      <w:tr w:rsidR="00807992" w:rsidRPr="00165EEC" w14:paraId="21A45B6E" w14:textId="77777777" w:rsidTr="00317422">
        <w:trPr>
          <w:trHeight w:val="198"/>
        </w:trPr>
        <w:tc>
          <w:tcPr>
            <w:tcW w:w="5103" w:type="dxa"/>
            <w:tcBorders>
              <w:top w:val="single" w:sz="2" w:space="0" w:color="auto"/>
              <w:left w:val="nil"/>
              <w:bottom w:val="single" w:sz="2" w:space="0" w:color="auto"/>
              <w:right w:val="nil"/>
            </w:tcBorders>
            <w:shd w:val="clear" w:color="auto" w:fill="auto"/>
            <w:noWrap/>
            <w:vAlign w:val="bottom"/>
            <w:hideMark/>
          </w:tcPr>
          <w:p w14:paraId="771F36DA" w14:textId="77777777" w:rsidR="00807992" w:rsidRPr="00165EEC" w:rsidRDefault="00807992" w:rsidP="00807992">
            <w:pPr>
              <w:spacing w:after="0"/>
              <w:ind w:firstLine="0"/>
              <w:rPr>
                <w:rFonts w:ascii="Arial Narrow" w:hAnsi="Arial Narrow" w:cs="Calibri"/>
                <w:color w:val="000000"/>
                <w:lang w:val="es-ES" w:eastAsia="es-ES"/>
              </w:rPr>
            </w:pPr>
            <w:r w:rsidRPr="00165EEC">
              <w:rPr>
                <w:rFonts w:ascii="Arial Narrow" w:hAnsi="Arial Narrow" w:cs="Calibri"/>
                <w:color w:val="000000"/>
                <w:lang w:val="es-ES" w:eastAsia="es-ES"/>
              </w:rPr>
              <w:t xml:space="preserve">Fondo extraordinario </w:t>
            </w:r>
            <w:proofErr w:type="spellStart"/>
            <w:r w:rsidRPr="00165EEC">
              <w:rPr>
                <w:rFonts w:ascii="Arial Narrow" w:hAnsi="Arial Narrow" w:cs="Calibri"/>
                <w:color w:val="000000"/>
                <w:lang w:val="es-ES" w:eastAsia="es-ES"/>
              </w:rPr>
              <w:t>Covid</w:t>
            </w:r>
            <w:proofErr w:type="spellEnd"/>
          </w:p>
        </w:tc>
        <w:tc>
          <w:tcPr>
            <w:tcW w:w="1174" w:type="dxa"/>
            <w:tcBorders>
              <w:top w:val="single" w:sz="2" w:space="0" w:color="auto"/>
              <w:left w:val="nil"/>
              <w:bottom w:val="single" w:sz="2" w:space="0" w:color="auto"/>
              <w:right w:val="nil"/>
            </w:tcBorders>
            <w:shd w:val="clear" w:color="auto" w:fill="auto"/>
            <w:noWrap/>
            <w:vAlign w:val="bottom"/>
            <w:hideMark/>
          </w:tcPr>
          <w:p w14:paraId="03883792"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400.000</w:t>
            </w:r>
          </w:p>
        </w:tc>
        <w:tc>
          <w:tcPr>
            <w:tcW w:w="953" w:type="dxa"/>
            <w:tcBorders>
              <w:top w:val="single" w:sz="2" w:space="0" w:color="auto"/>
              <w:left w:val="nil"/>
              <w:bottom w:val="single" w:sz="2" w:space="0" w:color="auto"/>
              <w:right w:val="nil"/>
            </w:tcBorders>
            <w:shd w:val="clear" w:color="auto" w:fill="auto"/>
            <w:noWrap/>
            <w:vAlign w:val="bottom"/>
            <w:hideMark/>
          </w:tcPr>
          <w:p w14:paraId="1BC87E95"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 </w:t>
            </w:r>
          </w:p>
        </w:tc>
        <w:tc>
          <w:tcPr>
            <w:tcW w:w="992" w:type="dxa"/>
            <w:tcBorders>
              <w:top w:val="single" w:sz="2" w:space="0" w:color="auto"/>
              <w:left w:val="nil"/>
              <w:bottom w:val="single" w:sz="2" w:space="0" w:color="auto"/>
              <w:right w:val="nil"/>
            </w:tcBorders>
            <w:vAlign w:val="bottom"/>
          </w:tcPr>
          <w:p w14:paraId="75ACE9DA" w14:textId="77777777" w:rsidR="00807992" w:rsidRPr="00165EEC" w:rsidRDefault="00807992" w:rsidP="00807992">
            <w:pPr>
              <w:spacing w:after="0"/>
              <w:ind w:firstLine="0"/>
              <w:jc w:val="right"/>
              <w:rPr>
                <w:rFonts w:ascii="Arial Narrow" w:hAnsi="Arial Narrow" w:cs="Calibri"/>
                <w:lang w:val="es-ES" w:eastAsia="es-ES"/>
              </w:rPr>
            </w:pPr>
            <w:r w:rsidRPr="00165EEC">
              <w:rPr>
                <w:rFonts w:ascii="Arial Narrow" w:hAnsi="Arial Narrow" w:cs="Calibri"/>
                <w:lang w:val="es-ES" w:eastAsia="es-ES"/>
              </w:rPr>
              <w:t>-400.000</w:t>
            </w:r>
          </w:p>
        </w:tc>
        <w:tc>
          <w:tcPr>
            <w:tcW w:w="567" w:type="dxa"/>
            <w:tcBorders>
              <w:top w:val="single" w:sz="2" w:space="0" w:color="auto"/>
              <w:left w:val="nil"/>
              <w:bottom w:val="single" w:sz="2" w:space="0" w:color="auto"/>
              <w:right w:val="nil"/>
            </w:tcBorders>
            <w:shd w:val="clear" w:color="auto" w:fill="auto"/>
            <w:noWrap/>
            <w:vAlign w:val="bottom"/>
            <w:hideMark/>
          </w:tcPr>
          <w:p w14:paraId="0594343A" w14:textId="77777777" w:rsidR="00807992" w:rsidRPr="00165EEC" w:rsidRDefault="00807992" w:rsidP="00317422">
            <w:pPr>
              <w:spacing w:after="0"/>
              <w:ind w:hanging="75"/>
              <w:jc w:val="right"/>
              <w:rPr>
                <w:rFonts w:ascii="Arial Narrow" w:hAnsi="Arial Narrow" w:cs="Calibri"/>
                <w:color w:val="000000"/>
                <w:lang w:val="es-ES" w:eastAsia="es-ES"/>
              </w:rPr>
            </w:pPr>
            <w:r w:rsidRPr="00165EEC">
              <w:rPr>
                <w:rFonts w:ascii="Arial Narrow" w:hAnsi="Arial Narrow" w:cs="Calibri"/>
                <w:color w:val="000000"/>
                <w:lang w:val="es-ES" w:eastAsia="es-ES"/>
              </w:rPr>
              <w:t>-100</w:t>
            </w:r>
          </w:p>
        </w:tc>
      </w:tr>
      <w:tr w:rsidR="00807992" w:rsidRPr="00165EEC" w14:paraId="478BCB1D" w14:textId="77777777" w:rsidTr="00317422">
        <w:trPr>
          <w:trHeight w:val="198"/>
        </w:trPr>
        <w:tc>
          <w:tcPr>
            <w:tcW w:w="6277" w:type="dxa"/>
            <w:gridSpan w:val="2"/>
            <w:tcBorders>
              <w:top w:val="single" w:sz="2" w:space="0" w:color="auto"/>
              <w:left w:val="nil"/>
              <w:bottom w:val="single" w:sz="2" w:space="0" w:color="auto"/>
              <w:right w:val="nil"/>
            </w:tcBorders>
            <w:shd w:val="clear" w:color="auto" w:fill="auto"/>
            <w:noWrap/>
            <w:vAlign w:val="bottom"/>
            <w:hideMark/>
          </w:tcPr>
          <w:p w14:paraId="395453F1" w14:textId="77777777" w:rsidR="00807992" w:rsidRPr="00165EEC" w:rsidRDefault="00807992" w:rsidP="00807992">
            <w:pPr>
              <w:spacing w:after="0"/>
              <w:ind w:firstLine="0"/>
              <w:rPr>
                <w:rFonts w:ascii="Arial Narrow" w:hAnsi="Arial Narrow" w:cs="Calibri"/>
                <w:color w:val="000000"/>
                <w:lang w:val="es-ES" w:eastAsia="es-ES"/>
              </w:rPr>
            </w:pPr>
            <w:r w:rsidRPr="00165EEC">
              <w:rPr>
                <w:rFonts w:ascii="Arial Narrow" w:hAnsi="Arial Narrow" w:cs="Calibri"/>
                <w:color w:val="000000"/>
                <w:lang w:val="es-ES" w:eastAsia="es-ES"/>
              </w:rPr>
              <w:t>Sustitución aprovechamiento urbanístico en metálico</w:t>
            </w:r>
          </w:p>
        </w:tc>
        <w:tc>
          <w:tcPr>
            <w:tcW w:w="953" w:type="dxa"/>
            <w:tcBorders>
              <w:top w:val="single" w:sz="2" w:space="0" w:color="auto"/>
              <w:left w:val="nil"/>
              <w:bottom w:val="single" w:sz="2" w:space="0" w:color="auto"/>
              <w:right w:val="nil"/>
            </w:tcBorders>
            <w:shd w:val="clear" w:color="auto" w:fill="auto"/>
            <w:noWrap/>
            <w:vAlign w:val="bottom"/>
            <w:hideMark/>
          </w:tcPr>
          <w:p w14:paraId="73251B3D"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216.503</w:t>
            </w:r>
          </w:p>
        </w:tc>
        <w:tc>
          <w:tcPr>
            <w:tcW w:w="992" w:type="dxa"/>
            <w:tcBorders>
              <w:top w:val="single" w:sz="2" w:space="0" w:color="auto"/>
              <w:left w:val="nil"/>
              <w:bottom w:val="single" w:sz="2" w:space="0" w:color="auto"/>
              <w:right w:val="nil"/>
            </w:tcBorders>
            <w:shd w:val="clear" w:color="auto" w:fill="auto"/>
            <w:noWrap/>
            <w:vAlign w:val="bottom"/>
            <w:hideMark/>
          </w:tcPr>
          <w:p w14:paraId="7192F96E" w14:textId="77777777" w:rsidR="00807992" w:rsidRPr="00165EEC" w:rsidRDefault="00807992" w:rsidP="00807992">
            <w:pPr>
              <w:spacing w:after="0"/>
              <w:ind w:firstLine="0"/>
              <w:jc w:val="right"/>
              <w:rPr>
                <w:rFonts w:ascii="Arial Narrow" w:hAnsi="Arial Narrow" w:cs="Calibri"/>
                <w:lang w:val="es-ES" w:eastAsia="es-ES"/>
              </w:rPr>
            </w:pPr>
            <w:r w:rsidRPr="00165EEC">
              <w:rPr>
                <w:rFonts w:ascii="Arial Narrow" w:hAnsi="Arial Narrow" w:cs="Calibri"/>
                <w:lang w:val="es-ES" w:eastAsia="es-ES"/>
              </w:rPr>
              <w:t>216.503</w:t>
            </w:r>
          </w:p>
        </w:tc>
        <w:tc>
          <w:tcPr>
            <w:tcW w:w="567" w:type="dxa"/>
            <w:tcBorders>
              <w:top w:val="single" w:sz="2" w:space="0" w:color="auto"/>
              <w:left w:val="nil"/>
              <w:bottom w:val="single" w:sz="2" w:space="0" w:color="auto"/>
              <w:right w:val="nil"/>
            </w:tcBorders>
            <w:vAlign w:val="bottom"/>
          </w:tcPr>
          <w:p w14:paraId="2E77DDFC" w14:textId="77777777" w:rsidR="00807992" w:rsidRPr="00165EEC" w:rsidRDefault="00807992" w:rsidP="00BF76EE">
            <w:pPr>
              <w:spacing w:after="0"/>
              <w:ind w:firstLine="0"/>
              <w:jc w:val="right"/>
              <w:rPr>
                <w:rFonts w:ascii="Arial Narrow" w:hAnsi="Arial Narrow" w:cs="Calibri"/>
                <w:lang w:val="es-ES" w:eastAsia="es-ES"/>
              </w:rPr>
            </w:pPr>
          </w:p>
        </w:tc>
      </w:tr>
      <w:tr w:rsidR="00807992" w:rsidRPr="00165EEC" w14:paraId="679ABFB0" w14:textId="77777777" w:rsidTr="00317422">
        <w:trPr>
          <w:trHeight w:val="198"/>
        </w:trPr>
        <w:tc>
          <w:tcPr>
            <w:tcW w:w="5103" w:type="dxa"/>
            <w:tcBorders>
              <w:top w:val="single" w:sz="2" w:space="0" w:color="auto"/>
              <w:left w:val="nil"/>
              <w:bottom w:val="single" w:sz="2" w:space="0" w:color="auto"/>
              <w:right w:val="nil"/>
            </w:tcBorders>
            <w:shd w:val="clear" w:color="auto" w:fill="auto"/>
            <w:noWrap/>
            <w:vAlign w:val="bottom"/>
            <w:hideMark/>
          </w:tcPr>
          <w:p w14:paraId="58FBE4B6" w14:textId="77777777" w:rsidR="00807992" w:rsidRPr="00165EEC" w:rsidRDefault="00807992" w:rsidP="00807992">
            <w:pPr>
              <w:spacing w:after="0"/>
              <w:ind w:firstLine="0"/>
              <w:rPr>
                <w:rFonts w:ascii="Arial Narrow" w:hAnsi="Arial Narrow" w:cs="Calibri"/>
                <w:color w:val="000000"/>
                <w:lang w:val="es-ES" w:eastAsia="es-ES"/>
              </w:rPr>
            </w:pPr>
            <w:r w:rsidRPr="00165EEC">
              <w:rPr>
                <w:rFonts w:ascii="Arial Narrow" w:hAnsi="Arial Narrow" w:cs="Calibri"/>
                <w:color w:val="000000"/>
                <w:lang w:val="es-ES" w:eastAsia="es-ES"/>
              </w:rPr>
              <w:t>Otros aprovechamientos por actuaciones urbanísticas</w:t>
            </w:r>
          </w:p>
        </w:tc>
        <w:tc>
          <w:tcPr>
            <w:tcW w:w="1174" w:type="dxa"/>
            <w:tcBorders>
              <w:top w:val="single" w:sz="2" w:space="0" w:color="auto"/>
              <w:left w:val="nil"/>
              <w:bottom w:val="single" w:sz="2" w:space="0" w:color="auto"/>
              <w:right w:val="nil"/>
            </w:tcBorders>
            <w:shd w:val="clear" w:color="auto" w:fill="auto"/>
            <w:noWrap/>
            <w:vAlign w:val="bottom"/>
            <w:hideMark/>
          </w:tcPr>
          <w:p w14:paraId="5281F767"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0</w:t>
            </w:r>
          </w:p>
        </w:tc>
        <w:tc>
          <w:tcPr>
            <w:tcW w:w="953" w:type="dxa"/>
            <w:tcBorders>
              <w:top w:val="single" w:sz="2" w:space="0" w:color="auto"/>
              <w:left w:val="nil"/>
              <w:bottom w:val="single" w:sz="2" w:space="0" w:color="auto"/>
              <w:right w:val="nil"/>
            </w:tcBorders>
            <w:shd w:val="clear" w:color="auto" w:fill="auto"/>
            <w:noWrap/>
            <w:vAlign w:val="bottom"/>
            <w:hideMark/>
          </w:tcPr>
          <w:p w14:paraId="5EFD09BA"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15.241</w:t>
            </w:r>
          </w:p>
        </w:tc>
        <w:tc>
          <w:tcPr>
            <w:tcW w:w="992" w:type="dxa"/>
            <w:tcBorders>
              <w:top w:val="single" w:sz="2" w:space="0" w:color="auto"/>
              <w:left w:val="nil"/>
              <w:bottom w:val="single" w:sz="2" w:space="0" w:color="auto"/>
              <w:right w:val="nil"/>
            </w:tcBorders>
            <w:vAlign w:val="bottom"/>
          </w:tcPr>
          <w:p w14:paraId="2C6B0036" w14:textId="77777777" w:rsidR="00807992" w:rsidRPr="00165EEC" w:rsidRDefault="00807992" w:rsidP="00807992">
            <w:pPr>
              <w:spacing w:after="0"/>
              <w:ind w:firstLine="0"/>
              <w:jc w:val="right"/>
              <w:rPr>
                <w:rFonts w:ascii="Arial Narrow" w:hAnsi="Arial Narrow" w:cs="Calibri"/>
                <w:lang w:val="es-ES" w:eastAsia="es-ES"/>
              </w:rPr>
            </w:pPr>
            <w:r w:rsidRPr="00165EEC">
              <w:rPr>
                <w:rFonts w:ascii="Arial Narrow" w:hAnsi="Arial Narrow" w:cs="Calibri"/>
                <w:lang w:val="es-ES" w:eastAsia="es-ES"/>
              </w:rPr>
              <w:t>15.241</w:t>
            </w:r>
          </w:p>
        </w:tc>
        <w:tc>
          <w:tcPr>
            <w:tcW w:w="567" w:type="dxa"/>
            <w:tcBorders>
              <w:top w:val="single" w:sz="2" w:space="0" w:color="auto"/>
              <w:left w:val="nil"/>
              <w:bottom w:val="single" w:sz="2" w:space="0" w:color="auto"/>
              <w:right w:val="nil"/>
            </w:tcBorders>
            <w:shd w:val="clear" w:color="auto" w:fill="auto"/>
            <w:noWrap/>
            <w:vAlign w:val="bottom"/>
            <w:hideMark/>
          </w:tcPr>
          <w:p w14:paraId="1FF3D0B7" w14:textId="77777777" w:rsidR="00807992" w:rsidRPr="00165EEC" w:rsidRDefault="00807992" w:rsidP="00BF76EE">
            <w:pPr>
              <w:spacing w:after="0"/>
              <w:ind w:firstLine="0"/>
              <w:jc w:val="right"/>
              <w:rPr>
                <w:rFonts w:ascii="Arial Narrow" w:hAnsi="Arial Narrow" w:cs="Calibri"/>
                <w:color w:val="000000"/>
                <w:lang w:val="es-ES" w:eastAsia="es-ES"/>
              </w:rPr>
            </w:pPr>
          </w:p>
        </w:tc>
      </w:tr>
      <w:tr w:rsidR="00807992" w:rsidRPr="00165EEC" w14:paraId="1636C77B" w14:textId="77777777" w:rsidTr="00317422">
        <w:trPr>
          <w:trHeight w:val="198"/>
        </w:trPr>
        <w:tc>
          <w:tcPr>
            <w:tcW w:w="5103" w:type="dxa"/>
            <w:tcBorders>
              <w:top w:val="single" w:sz="2" w:space="0" w:color="auto"/>
              <w:left w:val="nil"/>
              <w:bottom w:val="single" w:sz="4" w:space="0" w:color="auto"/>
              <w:right w:val="nil"/>
            </w:tcBorders>
            <w:shd w:val="clear" w:color="auto" w:fill="auto"/>
            <w:noWrap/>
            <w:vAlign w:val="bottom"/>
            <w:hideMark/>
          </w:tcPr>
          <w:p w14:paraId="36B8C085" w14:textId="77777777" w:rsidR="00807992" w:rsidRPr="00165EEC" w:rsidRDefault="00807992" w:rsidP="00807992">
            <w:pPr>
              <w:spacing w:after="0"/>
              <w:ind w:firstLine="0"/>
              <w:rPr>
                <w:rFonts w:ascii="Arial Narrow" w:hAnsi="Arial Narrow" w:cs="Calibri"/>
                <w:color w:val="000000"/>
                <w:lang w:val="es-ES" w:eastAsia="es-ES"/>
              </w:rPr>
            </w:pPr>
            <w:r w:rsidRPr="00165EEC">
              <w:rPr>
                <w:rFonts w:ascii="Arial Narrow" w:hAnsi="Arial Narrow" w:cs="Calibri"/>
                <w:color w:val="000000"/>
                <w:lang w:val="es-ES" w:eastAsia="es-ES"/>
              </w:rPr>
              <w:t>Subvención de la Unión Europea</w:t>
            </w:r>
          </w:p>
        </w:tc>
        <w:tc>
          <w:tcPr>
            <w:tcW w:w="1174" w:type="dxa"/>
            <w:tcBorders>
              <w:top w:val="single" w:sz="2" w:space="0" w:color="auto"/>
              <w:left w:val="nil"/>
              <w:bottom w:val="single" w:sz="4" w:space="0" w:color="auto"/>
              <w:right w:val="nil"/>
            </w:tcBorders>
            <w:shd w:val="clear" w:color="auto" w:fill="auto"/>
            <w:noWrap/>
            <w:vAlign w:val="bottom"/>
            <w:hideMark/>
          </w:tcPr>
          <w:p w14:paraId="68BE7246"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623.706</w:t>
            </w:r>
          </w:p>
        </w:tc>
        <w:tc>
          <w:tcPr>
            <w:tcW w:w="953" w:type="dxa"/>
            <w:tcBorders>
              <w:top w:val="single" w:sz="2" w:space="0" w:color="auto"/>
              <w:left w:val="nil"/>
              <w:bottom w:val="single" w:sz="4" w:space="0" w:color="auto"/>
              <w:right w:val="nil"/>
            </w:tcBorders>
            <w:shd w:val="clear" w:color="auto" w:fill="auto"/>
            <w:noWrap/>
            <w:vAlign w:val="bottom"/>
            <w:hideMark/>
          </w:tcPr>
          <w:p w14:paraId="6D32DDF7" w14:textId="77777777" w:rsidR="00807992" w:rsidRPr="00165EEC" w:rsidRDefault="00807992" w:rsidP="00807992">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84.324</w:t>
            </w:r>
          </w:p>
        </w:tc>
        <w:tc>
          <w:tcPr>
            <w:tcW w:w="992" w:type="dxa"/>
            <w:tcBorders>
              <w:top w:val="single" w:sz="2" w:space="0" w:color="auto"/>
              <w:left w:val="nil"/>
              <w:bottom w:val="single" w:sz="4" w:space="0" w:color="auto"/>
              <w:right w:val="nil"/>
            </w:tcBorders>
            <w:vAlign w:val="bottom"/>
          </w:tcPr>
          <w:p w14:paraId="537A3435" w14:textId="77777777" w:rsidR="00807992" w:rsidRPr="00165EEC" w:rsidRDefault="00807992" w:rsidP="00807992">
            <w:pPr>
              <w:spacing w:after="0"/>
              <w:ind w:firstLine="0"/>
              <w:jc w:val="right"/>
              <w:rPr>
                <w:rFonts w:ascii="Arial Narrow" w:hAnsi="Arial Narrow" w:cs="Calibri"/>
                <w:lang w:val="es-ES" w:eastAsia="es-ES"/>
              </w:rPr>
            </w:pPr>
            <w:r w:rsidRPr="00165EEC">
              <w:rPr>
                <w:rFonts w:ascii="Arial Narrow" w:hAnsi="Arial Narrow" w:cs="Calibri"/>
                <w:lang w:val="es-ES" w:eastAsia="es-ES"/>
              </w:rPr>
              <w:t>-539.382</w:t>
            </w:r>
          </w:p>
        </w:tc>
        <w:tc>
          <w:tcPr>
            <w:tcW w:w="567" w:type="dxa"/>
            <w:tcBorders>
              <w:top w:val="single" w:sz="2" w:space="0" w:color="auto"/>
              <w:left w:val="nil"/>
              <w:bottom w:val="single" w:sz="4" w:space="0" w:color="auto"/>
              <w:right w:val="nil"/>
            </w:tcBorders>
            <w:shd w:val="clear" w:color="auto" w:fill="auto"/>
            <w:noWrap/>
            <w:vAlign w:val="bottom"/>
            <w:hideMark/>
          </w:tcPr>
          <w:p w14:paraId="1231A940" w14:textId="77777777" w:rsidR="00807992" w:rsidRPr="00165EEC" w:rsidRDefault="00807992" w:rsidP="00BF76EE">
            <w:pPr>
              <w:spacing w:after="0"/>
              <w:ind w:firstLine="0"/>
              <w:jc w:val="right"/>
              <w:rPr>
                <w:rFonts w:ascii="Arial Narrow" w:hAnsi="Arial Narrow" w:cs="Calibri"/>
                <w:color w:val="000000"/>
                <w:lang w:val="es-ES" w:eastAsia="es-ES"/>
              </w:rPr>
            </w:pPr>
            <w:r w:rsidRPr="00165EEC">
              <w:rPr>
                <w:rFonts w:ascii="Arial Narrow" w:hAnsi="Arial Narrow" w:cs="Calibri"/>
                <w:color w:val="000000"/>
                <w:lang w:val="es-ES" w:eastAsia="es-ES"/>
              </w:rPr>
              <w:t>-86</w:t>
            </w:r>
          </w:p>
        </w:tc>
      </w:tr>
      <w:tr w:rsidR="00807992" w:rsidRPr="00FC7613" w14:paraId="208BAC44" w14:textId="77777777" w:rsidTr="00317422">
        <w:trPr>
          <w:trHeight w:val="255"/>
        </w:trPr>
        <w:tc>
          <w:tcPr>
            <w:tcW w:w="5103" w:type="dxa"/>
            <w:tcBorders>
              <w:top w:val="single" w:sz="4" w:space="0" w:color="auto"/>
              <w:left w:val="nil"/>
              <w:bottom w:val="single" w:sz="4" w:space="0" w:color="auto"/>
              <w:right w:val="nil"/>
            </w:tcBorders>
            <w:shd w:val="clear" w:color="auto" w:fill="FABF8F" w:themeFill="accent6" w:themeFillTint="99"/>
            <w:noWrap/>
            <w:vAlign w:val="bottom"/>
            <w:hideMark/>
          </w:tcPr>
          <w:p w14:paraId="4E8F7B3F" w14:textId="77777777" w:rsidR="00807992" w:rsidRPr="00FC7613" w:rsidRDefault="00807992" w:rsidP="00807992">
            <w:pPr>
              <w:spacing w:after="0"/>
              <w:ind w:firstLine="0"/>
              <w:rPr>
                <w:rFonts w:ascii="Arial" w:hAnsi="Arial" w:cs="Arial"/>
                <w:color w:val="000000"/>
                <w:sz w:val="18"/>
                <w:szCs w:val="18"/>
                <w:lang w:val="es-ES" w:eastAsia="es-ES"/>
              </w:rPr>
            </w:pPr>
            <w:r w:rsidRPr="00FC7613">
              <w:rPr>
                <w:rFonts w:ascii="Arial" w:hAnsi="Arial" w:cs="Arial"/>
                <w:color w:val="000000"/>
                <w:sz w:val="18"/>
                <w:szCs w:val="18"/>
                <w:lang w:val="es-ES" w:eastAsia="es-ES"/>
              </w:rPr>
              <w:t>Total</w:t>
            </w:r>
          </w:p>
        </w:tc>
        <w:tc>
          <w:tcPr>
            <w:tcW w:w="1174" w:type="dxa"/>
            <w:tcBorders>
              <w:top w:val="single" w:sz="4" w:space="0" w:color="auto"/>
              <w:left w:val="nil"/>
              <w:bottom w:val="single" w:sz="4" w:space="0" w:color="auto"/>
              <w:right w:val="nil"/>
            </w:tcBorders>
            <w:shd w:val="clear" w:color="auto" w:fill="FABF8F" w:themeFill="accent6" w:themeFillTint="99"/>
            <w:noWrap/>
            <w:vAlign w:val="bottom"/>
            <w:hideMark/>
          </w:tcPr>
          <w:p w14:paraId="7177F740" w14:textId="77777777" w:rsidR="00807992" w:rsidRPr="00FC7613" w:rsidRDefault="00807992" w:rsidP="00807992">
            <w:pPr>
              <w:spacing w:after="0"/>
              <w:ind w:firstLine="0"/>
              <w:jc w:val="right"/>
              <w:rPr>
                <w:rFonts w:ascii="Arial" w:hAnsi="Arial" w:cs="Arial"/>
                <w:color w:val="000000"/>
                <w:sz w:val="18"/>
                <w:szCs w:val="18"/>
                <w:lang w:val="es-ES" w:eastAsia="es-ES"/>
              </w:rPr>
            </w:pPr>
            <w:r w:rsidRPr="00FC7613">
              <w:rPr>
                <w:rFonts w:ascii="Arial" w:hAnsi="Arial" w:cs="Arial"/>
                <w:color w:val="000000"/>
                <w:sz w:val="18"/>
                <w:szCs w:val="18"/>
                <w:lang w:val="es-ES" w:eastAsia="es-ES"/>
              </w:rPr>
              <w:t>1.756.645</w:t>
            </w:r>
          </w:p>
        </w:tc>
        <w:tc>
          <w:tcPr>
            <w:tcW w:w="953" w:type="dxa"/>
            <w:tcBorders>
              <w:top w:val="single" w:sz="4" w:space="0" w:color="auto"/>
              <w:left w:val="nil"/>
              <w:bottom w:val="single" w:sz="4" w:space="0" w:color="auto"/>
              <w:right w:val="nil"/>
            </w:tcBorders>
            <w:shd w:val="clear" w:color="auto" w:fill="FABF8F" w:themeFill="accent6" w:themeFillTint="99"/>
            <w:noWrap/>
            <w:vAlign w:val="bottom"/>
            <w:hideMark/>
          </w:tcPr>
          <w:p w14:paraId="22554A83" w14:textId="77777777" w:rsidR="00807992" w:rsidRPr="00FC7613" w:rsidRDefault="00807992" w:rsidP="00807992">
            <w:pPr>
              <w:spacing w:after="0"/>
              <w:ind w:firstLine="0"/>
              <w:jc w:val="right"/>
              <w:rPr>
                <w:rFonts w:ascii="Arial" w:hAnsi="Arial" w:cs="Arial"/>
                <w:color w:val="000000"/>
                <w:sz w:val="18"/>
                <w:szCs w:val="18"/>
                <w:lang w:val="es-ES" w:eastAsia="es-ES"/>
              </w:rPr>
            </w:pPr>
            <w:r w:rsidRPr="00FC7613">
              <w:rPr>
                <w:rFonts w:ascii="Arial" w:hAnsi="Arial" w:cs="Arial"/>
                <w:color w:val="000000"/>
                <w:sz w:val="18"/>
                <w:szCs w:val="18"/>
                <w:lang w:val="es-ES" w:eastAsia="es-ES"/>
              </w:rPr>
              <w:t>2.158.478</w:t>
            </w:r>
          </w:p>
        </w:tc>
        <w:tc>
          <w:tcPr>
            <w:tcW w:w="992" w:type="dxa"/>
            <w:tcBorders>
              <w:top w:val="single" w:sz="4" w:space="0" w:color="auto"/>
              <w:left w:val="nil"/>
              <w:bottom w:val="single" w:sz="4" w:space="0" w:color="auto"/>
              <w:right w:val="nil"/>
            </w:tcBorders>
            <w:shd w:val="clear" w:color="auto" w:fill="FABF8F" w:themeFill="accent6" w:themeFillTint="99"/>
            <w:vAlign w:val="bottom"/>
          </w:tcPr>
          <w:p w14:paraId="3D184B99" w14:textId="77777777" w:rsidR="00807992" w:rsidRPr="00FC7613" w:rsidRDefault="00807992" w:rsidP="00807992">
            <w:pPr>
              <w:spacing w:after="0"/>
              <w:ind w:firstLine="0"/>
              <w:jc w:val="right"/>
              <w:rPr>
                <w:rFonts w:ascii="Arial" w:hAnsi="Arial" w:cs="Arial"/>
                <w:sz w:val="18"/>
                <w:szCs w:val="18"/>
                <w:lang w:val="es-ES" w:eastAsia="es-ES"/>
              </w:rPr>
            </w:pPr>
            <w:r w:rsidRPr="00FC7613">
              <w:rPr>
                <w:rFonts w:ascii="Arial" w:hAnsi="Arial" w:cs="Arial"/>
                <w:sz w:val="18"/>
                <w:szCs w:val="18"/>
                <w:lang w:val="es-ES" w:eastAsia="es-ES"/>
              </w:rPr>
              <w:t>401.833</w:t>
            </w:r>
          </w:p>
        </w:tc>
        <w:tc>
          <w:tcPr>
            <w:tcW w:w="567" w:type="dxa"/>
            <w:tcBorders>
              <w:top w:val="single" w:sz="4" w:space="0" w:color="auto"/>
              <w:left w:val="nil"/>
              <w:bottom w:val="single" w:sz="4" w:space="0" w:color="auto"/>
              <w:right w:val="nil"/>
            </w:tcBorders>
            <w:shd w:val="clear" w:color="auto" w:fill="FABF8F" w:themeFill="accent6" w:themeFillTint="99"/>
            <w:noWrap/>
            <w:vAlign w:val="bottom"/>
            <w:hideMark/>
          </w:tcPr>
          <w:p w14:paraId="6818F569" w14:textId="77777777" w:rsidR="00807992" w:rsidRPr="00FC7613" w:rsidRDefault="00807992" w:rsidP="00BF76EE">
            <w:pPr>
              <w:spacing w:after="0"/>
              <w:ind w:firstLine="0"/>
              <w:jc w:val="right"/>
              <w:rPr>
                <w:rFonts w:ascii="Arial" w:hAnsi="Arial" w:cs="Arial"/>
                <w:color w:val="000000"/>
                <w:sz w:val="18"/>
                <w:szCs w:val="18"/>
                <w:lang w:val="es-ES" w:eastAsia="es-ES"/>
              </w:rPr>
            </w:pPr>
            <w:r w:rsidRPr="00FC7613">
              <w:rPr>
                <w:rFonts w:ascii="Arial" w:hAnsi="Arial" w:cs="Arial"/>
                <w:color w:val="000000"/>
                <w:sz w:val="18"/>
                <w:szCs w:val="18"/>
                <w:lang w:val="es-ES" w:eastAsia="es-ES"/>
              </w:rPr>
              <w:t>23</w:t>
            </w:r>
          </w:p>
        </w:tc>
      </w:tr>
    </w:tbl>
    <w:p w14:paraId="295C6E7E" w14:textId="77777777" w:rsidR="00807992" w:rsidRPr="00667DFF" w:rsidRDefault="00807992" w:rsidP="00807992">
      <w:pPr>
        <w:spacing w:before="240" w:after="220"/>
        <w:ind w:firstLine="284"/>
        <w:rPr>
          <w:spacing w:val="6"/>
          <w:sz w:val="26"/>
          <w:szCs w:val="24"/>
        </w:rPr>
      </w:pPr>
      <w:r w:rsidRPr="00667DFF">
        <w:rPr>
          <w:spacing w:val="6"/>
          <w:sz w:val="26"/>
          <w:szCs w:val="24"/>
        </w:rPr>
        <w:t>Hemos revisado la siguiente muestr</w:t>
      </w:r>
      <w:r>
        <w:rPr>
          <w:spacing w:val="6"/>
          <w:sz w:val="26"/>
          <w:szCs w:val="24"/>
        </w:rPr>
        <w:t xml:space="preserve">a de partidas de </w:t>
      </w:r>
      <w:r w:rsidRPr="00667DFF">
        <w:rPr>
          <w:spacing w:val="6"/>
          <w:sz w:val="26"/>
          <w:szCs w:val="24"/>
        </w:rPr>
        <w:t>subvenciones:</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305"/>
        <w:gridCol w:w="2484"/>
      </w:tblGrid>
      <w:tr w:rsidR="00807992" w:rsidRPr="00667DFF" w14:paraId="33F8E33A" w14:textId="77777777" w:rsidTr="007E5CC4">
        <w:trPr>
          <w:trHeight w:val="255"/>
        </w:trPr>
        <w:tc>
          <w:tcPr>
            <w:tcW w:w="3587" w:type="pct"/>
            <w:tcBorders>
              <w:bottom w:val="single" w:sz="4" w:space="0" w:color="auto"/>
            </w:tcBorders>
            <w:shd w:val="clear" w:color="000000" w:fill="FABF8F"/>
            <w:vAlign w:val="center"/>
            <w:hideMark/>
          </w:tcPr>
          <w:p w14:paraId="5A079DAE" w14:textId="77777777" w:rsidR="00807992" w:rsidRPr="00667DFF" w:rsidRDefault="00807992" w:rsidP="00807992">
            <w:pPr>
              <w:tabs>
                <w:tab w:val="left" w:pos="142"/>
              </w:tabs>
              <w:spacing w:after="0"/>
              <w:ind w:firstLine="0"/>
              <w:jc w:val="left"/>
              <w:rPr>
                <w:rFonts w:ascii="Arial" w:hAnsi="Arial" w:cs="Arial"/>
                <w:color w:val="000000"/>
                <w:sz w:val="18"/>
                <w:szCs w:val="18"/>
                <w:lang w:val="es-ES"/>
              </w:rPr>
            </w:pPr>
            <w:r w:rsidRPr="00667DFF">
              <w:rPr>
                <w:rFonts w:ascii="Arial" w:hAnsi="Arial" w:cs="Arial"/>
                <w:color w:val="000000"/>
                <w:sz w:val="18"/>
                <w:szCs w:val="18"/>
                <w:lang w:val="es-ES"/>
              </w:rPr>
              <w:t>Concepto</w:t>
            </w:r>
          </w:p>
        </w:tc>
        <w:tc>
          <w:tcPr>
            <w:tcW w:w="1413" w:type="pct"/>
            <w:tcBorders>
              <w:bottom w:val="single" w:sz="4" w:space="0" w:color="auto"/>
            </w:tcBorders>
            <w:shd w:val="clear" w:color="000000" w:fill="FABF8F"/>
            <w:vAlign w:val="center"/>
            <w:hideMark/>
          </w:tcPr>
          <w:p w14:paraId="7139081B" w14:textId="77777777" w:rsidR="00807992" w:rsidRPr="00667DFF" w:rsidRDefault="00807992" w:rsidP="00807992">
            <w:pPr>
              <w:tabs>
                <w:tab w:val="left" w:pos="142"/>
              </w:tabs>
              <w:spacing w:after="0"/>
              <w:ind w:firstLine="0"/>
              <w:jc w:val="right"/>
              <w:rPr>
                <w:rFonts w:ascii="Arial" w:hAnsi="Arial" w:cs="Arial"/>
                <w:color w:val="000000"/>
                <w:sz w:val="18"/>
                <w:szCs w:val="18"/>
                <w:lang w:val="es-ES"/>
              </w:rPr>
            </w:pPr>
            <w:r w:rsidRPr="00667DFF">
              <w:rPr>
                <w:rFonts w:ascii="Arial" w:hAnsi="Arial" w:cs="Arial"/>
                <w:color w:val="000000"/>
                <w:sz w:val="18"/>
                <w:szCs w:val="18"/>
                <w:lang w:val="es-ES"/>
              </w:rPr>
              <w:t xml:space="preserve">DRN </w:t>
            </w:r>
            <w:r>
              <w:rPr>
                <w:rFonts w:ascii="Arial" w:hAnsi="Arial" w:cs="Arial"/>
                <w:color w:val="000000"/>
                <w:sz w:val="18"/>
                <w:szCs w:val="18"/>
                <w:lang w:val="es-ES"/>
              </w:rPr>
              <w:t>2021</w:t>
            </w:r>
          </w:p>
        </w:tc>
      </w:tr>
      <w:tr w:rsidR="00807992" w:rsidRPr="00667DFF" w14:paraId="26A59448" w14:textId="77777777" w:rsidTr="007E5CC4">
        <w:trPr>
          <w:trHeight w:val="198"/>
        </w:trPr>
        <w:tc>
          <w:tcPr>
            <w:tcW w:w="3587" w:type="pct"/>
            <w:tcBorders>
              <w:top w:val="single" w:sz="4" w:space="0" w:color="auto"/>
              <w:bottom w:val="single" w:sz="2" w:space="0" w:color="auto"/>
            </w:tcBorders>
            <w:shd w:val="clear" w:color="auto" w:fill="auto"/>
            <w:vAlign w:val="center"/>
          </w:tcPr>
          <w:p w14:paraId="6E3205CE" w14:textId="77777777" w:rsidR="00807992" w:rsidRPr="00667DFF" w:rsidRDefault="00807992" w:rsidP="00807992">
            <w:pPr>
              <w:tabs>
                <w:tab w:val="left" w:pos="142"/>
              </w:tabs>
              <w:spacing w:after="0"/>
              <w:ind w:firstLine="0"/>
              <w:jc w:val="left"/>
              <w:rPr>
                <w:rFonts w:ascii="Arial Narrow" w:hAnsi="Arial Narrow"/>
                <w:color w:val="000000"/>
                <w:lang w:val="es-ES"/>
              </w:rPr>
            </w:pPr>
            <w:r w:rsidRPr="00165EEC">
              <w:rPr>
                <w:rFonts w:ascii="Arial Narrow" w:hAnsi="Arial Narrow" w:cs="Calibri"/>
                <w:color w:val="000000"/>
                <w:lang w:val="es-ES" w:eastAsia="es-ES"/>
              </w:rPr>
              <w:t>Subvenciones de la Unión Europea</w:t>
            </w:r>
          </w:p>
        </w:tc>
        <w:tc>
          <w:tcPr>
            <w:tcW w:w="1413" w:type="pct"/>
            <w:tcBorders>
              <w:top w:val="single" w:sz="4" w:space="0" w:color="auto"/>
              <w:bottom w:val="single" w:sz="2" w:space="0" w:color="auto"/>
            </w:tcBorders>
            <w:shd w:val="clear" w:color="auto" w:fill="auto"/>
            <w:vAlign w:val="center"/>
          </w:tcPr>
          <w:p w14:paraId="10159298" w14:textId="77777777" w:rsidR="00807992" w:rsidRPr="00667DFF" w:rsidRDefault="00807992" w:rsidP="00807992">
            <w:pPr>
              <w:tabs>
                <w:tab w:val="left" w:pos="142"/>
              </w:tabs>
              <w:spacing w:after="0"/>
              <w:ind w:firstLine="0"/>
              <w:jc w:val="right"/>
              <w:rPr>
                <w:rFonts w:ascii="Arial Narrow" w:hAnsi="Arial Narrow"/>
                <w:color w:val="000000"/>
                <w:lang w:val="es-ES"/>
              </w:rPr>
            </w:pPr>
            <w:r>
              <w:rPr>
                <w:rFonts w:ascii="Arial Narrow" w:hAnsi="Arial Narrow"/>
                <w:color w:val="000000"/>
                <w:lang w:val="es-ES"/>
              </w:rPr>
              <w:t>972.527</w:t>
            </w:r>
          </w:p>
        </w:tc>
      </w:tr>
      <w:tr w:rsidR="00807992" w:rsidRPr="00F757E5" w14:paraId="4BCB0D40" w14:textId="77777777" w:rsidTr="006C15C7">
        <w:trPr>
          <w:trHeight w:val="198"/>
        </w:trPr>
        <w:tc>
          <w:tcPr>
            <w:tcW w:w="3587" w:type="pct"/>
            <w:tcBorders>
              <w:top w:val="single" w:sz="2" w:space="0" w:color="auto"/>
              <w:bottom w:val="single" w:sz="4" w:space="0" w:color="auto"/>
              <w:right w:val="nil"/>
            </w:tcBorders>
            <w:shd w:val="clear" w:color="auto" w:fill="auto"/>
            <w:vAlign w:val="center"/>
          </w:tcPr>
          <w:p w14:paraId="39365770" w14:textId="77777777" w:rsidR="00807992" w:rsidRPr="00165EEC" w:rsidRDefault="00807992" w:rsidP="00807992">
            <w:pPr>
              <w:tabs>
                <w:tab w:val="left" w:pos="142"/>
              </w:tabs>
              <w:spacing w:after="0"/>
              <w:ind w:firstLine="0"/>
              <w:jc w:val="left"/>
              <w:rPr>
                <w:rFonts w:ascii="Arial Narrow" w:hAnsi="Arial Narrow"/>
                <w:color w:val="000000"/>
                <w:lang w:val="es-ES"/>
              </w:rPr>
            </w:pPr>
            <w:r w:rsidRPr="00165EEC">
              <w:rPr>
                <w:rFonts w:ascii="Arial Narrow" w:hAnsi="Arial Narrow"/>
                <w:color w:val="000000"/>
                <w:lang w:val="es-ES"/>
              </w:rPr>
              <w:t>Subvenciones del Estado</w:t>
            </w:r>
          </w:p>
        </w:tc>
        <w:tc>
          <w:tcPr>
            <w:tcW w:w="1413" w:type="pct"/>
            <w:tcBorders>
              <w:top w:val="single" w:sz="2" w:space="0" w:color="auto"/>
              <w:left w:val="nil"/>
              <w:bottom w:val="single" w:sz="4" w:space="0" w:color="auto"/>
            </w:tcBorders>
            <w:shd w:val="clear" w:color="auto" w:fill="auto"/>
            <w:vAlign w:val="center"/>
          </w:tcPr>
          <w:p w14:paraId="74C52FE3" w14:textId="77777777" w:rsidR="00807992" w:rsidRPr="00165EEC" w:rsidRDefault="00807992" w:rsidP="00807992">
            <w:pPr>
              <w:tabs>
                <w:tab w:val="left" w:pos="142"/>
              </w:tabs>
              <w:spacing w:after="0"/>
              <w:ind w:firstLine="0"/>
              <w:jc w:val="right"/>
              <w:rPr>
                <w:rFonts w:ascii="Arial Narrow" w:hAnsi="Arial Narrow"/>
                <w:color w:val="000000"/>
                <w:lang w:val="es-ES"/>
              </w:rPr>
            </w:pPr>
            <w:r w:rsidRPr="00165EEC">
              <w:rPr>
                <w:rFonts w:ascii="Arial Narrow" w:hAnsi="Arial Narrow"/>
                <w:color w:val="000000"/>
                <w:lang w:val="es-ES"/>
              </w:rPr>
              <w:t>646.375</w:t>
            </w:r>
          </w:p>
        </w:tc>
      </w:tr>
      <w:tr w:rsidR="00807992" w:rsidRPr="00F757E5" w14:paraId="3723BDC2" w14:textId="77777777" w:rsidTr="006C15C7">
        <w:trPr>
          <w:trHeight w:val="198"/>
        </w:trPr>
        <w:tc>
          <w:tcPr>
            <w:tcW w:w="3587" w:type="pct"/>
            <w:tcBorders>
              <w:top w:val="single" w:sz="4" w:space="0" w:color="auto"/>
              <w:bottom w:val="single" w:sz="4" w:space="0" w:color="auto"/>
              <w:right w:val="nil"/>
            </w:tcBorders>
            <w:shd w:val="clear" w:color="auto" w:fill="auto"/>
            <w:vAlign w:val="center"/>
          </w:tcPr>
          <w:p w14:paraId="47C83EC5" w14:textId="77777777" w:rsidR="00807992" w:rsidRPr="00165EEC" w:rsidRDefault="00807992" w:rsidP="00807992">
            <w:pPr>
              <w:tabs>
                <w:tab w:val="left" w:pos="142"/>
              </w:tabs>
              <w:spacing w:after="0"/>
              <w:ind w:firstLine="0"/>
              <w:jc w:val="left"/>
              <w:rPr>
                <w:rFonts w:ascii="Arial Narrow" w:hAnsi="Arial Narrow"/>
                <w:color w:val="000000"/>
                <w:lang w:val="es-ES"/>
              </w:rPr>
            </w:pPr>
            <w:r w:rsidRPr="00165EEC">
              <w:rPr>
                <w:rFonts w:ascii="Arial Narrow" w:hAnsi="Arial Narrow"/>
                <w:color w:val="000000"/>
                <w:lang w:val="es-ES"/>
              </w:rPr>
              <w:t>Subvención Gobierno de Navarra</w:t>
            </w:r>
          </w:p>
        </w:tc>
        <w:tc>
          <w:tcPr>
            <w:tcW w:w="1413" w:type="pct"/>
            <w:tcBorders>
              <w:top w:val="single" w:sz="4" w:space="0" w:color="auto"/>
              <w:left w:val="nil"/>
              <w:bottom w:val="single" w:sz="4" w:space="0" w:color="auto"/>
            </w:tcBorders>
            <w:shd w:val="clear" w:color="auto" w:fill="auto"/>
            <w:vAlign w:val="center"/>
          </w:tcPr>
          <w:p w14:paraId="681CE255" w14:textId="77777777" w:rsidR="00807992" w:rsidRPr="00165EEC" w:rsidRDefault="00807992" w:rsidP="00807992">
            <w:pPr>
              <w:tabs>
                <w:tab w:val="left" w:pos="142"/>
              </w:tabs>
              <w:spacing w:after="0"/>
              <w:ind w:firstLine="0"/>
              <w:jc w:val="right"/>
              <w:rPr>
                <w:rFonts w:ascii="Arial Narrow" w:hAnsi="Arial Narrow"/>
                <w:color w:val="000000"/>
                <w:lang w:val="es-ES"/>
              </w:rPr>
            </w:pPr>
            <w:r w:rsidRPr="00165EEC">
              <w:rPr>
                <w:rFonts w:ascii="Arial Narrow" w:hAnsi="Arial Narrow"/>
                <w:color w:val="000000"/>
                <w:lang w:val="es-ES"/>
              </w:rPr>
              <w:t>1.196.035</w:t>
            </w:r>
          </w:p>
        </w:tc>
      </w:tr>
    </w:tbl>
    <w:p w14:paraId="71337E03" w14:textId="77777777" w:rsidR="00807992" w:rsidRDefault="00807992" w:rsidP="00BE1093">
      <w:pPr>
        <w:spacing w:before="220" w:after="240"/>
        <w:ind w:firstLine="284"/>
        <w:rPr>
          <w:spacing w:val="6"/>
          <w:sz w:val="26"/>
          <w:szCs w:val="24"/>
        </w:rPr>
      </w:pPr>
      <w:r w:rsidRPr="00667DFF">
        <w:rPr>
          <w:spacing w:val="6"/>
          <w:sz w:val="26"/>
          <w:szCs w:val="24"/>
        </w:rPr>
        <w:t xml:space="preserve">Del trabajo realizado, concluimos que en general </w:t>
      </w:r>
      <w:r w:rsidR="0055223F">
        <w:rPr>
          <w:spacing w:val="6"/>
          <w:sz w:val="26"/>
          <w:szCs w:val="24"/>
        </w:rPr>
        <w:t xml:space="preserve">el reconocimiento de </w:t>
      </w:r>
      <w:r w:rsidRPr="00667DFF">
        <w:rPr>
          <w:spacing w:val="6"/>
          <w:sz w:val="26"/>
          <w:szCs w:val="24"/>
        </w:rPr>
        <w:t>derechos está justificad</w:t>
      </w:r>
      <w:r w:rsidR="0055223F">
        <w:rPr>
          <w:spacing w:val="6"/>
          <w:sz w:val="26"/>
          <w:szCs w:val="24"/>
        </w:rPr>
        <w:t>o</w:t>
      </w:r>
      <w:r w:rsidRPr="00667DFF">
        <w:rPr>
          <w:spacing w:val="6"/>
          <w:sz w:val="26"/>
          <w:szCs w:val="24"/>
        </w:rPr>
        <w:t xml:space="preserve"> de conformidad con la normativa a</w:t>
      </w:r>
      <w:r>
        <w:rPr>
          <w:spacing w:val="6"/>
          <w:sz w:val="26"/>
          <w:szCs w:val="24"/>
        </w:rPr>
        <w:t>plicable.</w:t>
      </w:r>
    </w:p>
    <w:p w14:paraId="5F761E51" w14:textId="77777777" w:rsidR="00807992" w:rsidRPr="00A54D1E" w:rsidRDefault="00807992" w:rsidP="00FC7613">
      <w:pPr>
        <w:pStyle w:val="texto"/>
      </w:pPr>
      <w:bookmarkStart w:id="158" w:name="_Toc118266038"/>
      <w:r w:rsidRPr="00A54D1E">
        <w:t>5.</w:t>
      </w:r>
      <w:r>
        <w:t>4</w:t>
      </w:r>
      <w:r w:rsidRPr="00A54D1E">
        <w:t>.</w:t>
      </w:r>
      <w:r w:rsidR="00C1204F">
        <w:t>8</w:t>
      </w:r>
      <w:r>
        <w:t>. Enajenación de inversiones reales</w:t>
      </w:r>
      <w:bookmarkEnd w:id="158"/>
    </w:p>
    <w:p w14:paraId="5175F28D" w14:textId="77777777" w:rsidR="00807992" w:rsidRPr="00E070D2" w:rsidRDefault="00807992" w:rsidP="00807992">
      <w:pPr>
        <w:spacing w:after="120"/>
        <w:ind w:firstLine="284"/>
        <w:rPr>
          <w:spacing w:val="6"/>
          <w:sz w:val="26"/>
          <w:szCs w:val="24"/>
        </w:rPr>
      </w:pPr>
      <w:r w:rsidRPr="00667DFF">
        <w:rPr>
          <w:spacing w:val="6"/>
          <w:sz w:val="26"/>
          <w:szCs w:val="24"/>
        </w:rPr>
        <w:t xml:space="preserve">Los ingresos municipales en </w:t>
      </w:r>
      <w:r>
        <w:rPr>
          <w:spacing w:val="6"/>
          <w:sz w:val="26"/>
          <w:szCs w:val="24"/>
        </w:rPr>
        <w:t>2021</w:t>
      </w:r>
      <w:r w:rsidRPr="00667DFF">
        <w:rPr>
          <w:spacing w:val="6"/>
          <w:sz w:val="26"/>
          <w:szCs w:val="24"/>
        </w:rPr>
        <w:t xml:space="preserve"> por enajenación de inversiones ascendieron </w:t>
      </w:r>
      <w:r>
        <w:rPr>
          <w:spacing w:val="6"/>
          <w:sz w:val="26"/>
          <w:szCs w:val="24"/>
        </w:rPr>
        <w:t xml:space="preserve">a 5,82 </w:t>
      </w:r>
      <w:r w:rsidRPr="00E070D2">
        <w:rPr>
          <w:spacing w:val="6"/>
          <w:sz w:val="26"/>
          <w:szCs w:val="24"/>
        </w:rPr>
        <w:t xml:space="preserve">millones, un </w:t>
      </w:r>
      <w:r>
        <w:rPr>
          <w:spacing w:val="6"/>
          <w:sz w:val="26"/>
          <w:szCs w:val="24"/>
        </w:rPr>
        <w:t>108 por ciento más</w:t>
      </w:r>
      <w:r w:rsidRPr="00E070D2">
        <w:rPr>
          <w:spacing w:val="6"/>
          <w:sz w:val="26"/>
          <w:szCs w:val="24"/>
        </w:rPr>
        <w:t xml:space="preserve"> que el ejercicio precedente. </w:t>
      </w:r>
    </w:p>
    <w:p w14:paraId="34E6DEFE" w14:textId="77777777" w:rsidR="00EB3CE2" w:rsidRPr="00EB3CE2" w:rsidRDefault="00EB3CE2" w:rsidP="00A41BD9">
      <w:pPr>
        <w:spacing w:after="240"/>
        <w:ind w:firstLine="284"/>
        <w:rPr>
          <w:spacing w:val="6"/>
          <w:sz w:val="26"/>
          <w:szCs w:val="24"/>
        </w:rPr>
      </w:pPr>
      <w:r w:rsidRPr="00EB3CE2">
        <w:rPr>
          <w:spacing w:val="6"/>
          <w:sz w:val="26"/>
          <w:szCs w:val="24"/>
        </w:rPr>
        <w:t>Hemos revisado la siguiente muestra</w:t>
      </w:r>
      <w:r>
        <w:rPr>
          <w:spacing w:val="6"/>
          <w:sz w:val="26"/>
          <w:szCs w:val="24"/>
        </w:rPr>
        <w:t>:</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112"/>
        <w:gridCol w:w="3118"/>
        <w:gridCol w:w="1559"/>
      </w:tblGrid>
      <w:tr w:rsidR="00EB3CE2" w:rsidRPr="00EB3CE2" w14:paraId="481A9BDF" w14:textId="77777777" w:rsidTr="006C15C7">
        <w:trPr>
          <w:trHeight w:val="255"/>
        </w:trPr>
        <w:tc>
          <w:tcPr>
            <w:tcW w:w="2339" w:type="pct"/>
            <w:tcBorders>
              <w:bottom w:val="single" w:sz="4" w:space="0" w:color="auto"/>
            </w:tcBorders>
            <w:shd w:val="clear" w:color="000000" w:fill="FABF8F"/>
            <w:vAlign w:val="center"/>
            <w:hideMark/>
          </w:tcPr>
          <w:p w14:paraId="180592F6" w14:textId="77777777" w:rsidR="00EB3CE2" w:rsidRPr="00EB3CE2" w:rsidRDefault="00EB3CE2" w:rsidP="00EB3CE2">
            <w:pPr>
              <w:tabs>
                <w:tab w:val="left" w:pos="142"/>
              </w:tabs>
              <w:spacing w:after="0"/>
              <w:ind w:firstLine="0"/>
              <w:jc w:val="left"/>
              <w:rPr>
                <w:rFonts w:ascii="Arial" w:hAnsi="Arial" w:cs="Arial"/>
                <w:sz w:val="18"/>
                <w:szCs w:val="18"/>
                <w:lang w:val="es-ES"/>
              </w:rPr>
            </w:pPr>
            <w:r w:rsidRPr="00EB3CE2">
              <w:rPr>
                <w:rFonts w:ascii="Arial" w:hAnsi="Arial" w:cs="Arial"/>
                <w:sz w:val="18"/>
                <w:szCs w:val="18"/>
                <w:lang w:val="es-ES"/>
              </w:rPr>
              <w:t>Parcelas</w:t>
            </w:r>
          </w:p>
        </w:tc>
        <w:tc>
          <w:tcPr>
            <w:tcW w:w="1774" w:type="pct"/>
            <w:tcBorders>
              <w:bottom w:val="single" w:sz="4" w:space="0" w:color="auto"/>
            </w:tcBorders>
            <w:shd w:val="clear" w:color="000000" w:fill="FABF8F"/>
            <w:vAlign w:val="center"/>
            <w:hideMark/>
          </w:tcPr>
          <w:p w14:paraId="28E3B54B" w14:textId="77777777" w:rsidR="00EB3CE2" w:rsidRPr="00EB3CE2" w:rsidRDefault="00EB3CE2" w:rsidP="00EB3CE2">
            <w:pPr>
              <w:tabs>
                <w:tab w:val="left" w:pos="142"/>
              </w:tabs>
              <w:spacing w:after="0"/>
              <w:ind w:firstLine="0"/>
              <w:jc w:val="center"/>
              <w:rPr>
                <w:rFonts w:ascii="Arial" w:hAnsi="Arial" w:cs="Arial"/>
                <w:sz w:val="18"/>
                <w:szCs w:val="18"/>
                <w:lang w:val="es-ES"/>
              </w:rPr>
            </w:pPr>
            <w:r w:rsidRPr="00EB3CE2">
              <w:rPr>
                <w:rFonts w:ascii="Arial" w:hAnsi="Arial" w:cs="Arial"/>
                <w:sz w:val="18"/>
                <w:szCs w:val="18"/>
                <w:lang w:val="es-ES"/>
              </w:rPr>
              <w:t>Procedimiento</w:t>
            </w:r>
          </w:p>
        </w:tc>
        <w:tc>
          <w:tcPr>
            <w:tcW w:w="887" w:type="pct"/>
            <w:tcBorders>
              <w:bottom w:val="single" w:sz="4" w:space="0" w:color="auto"/>
            </w:tcBorders>
            <w:shd w:val="clear" w:color="000000" w:fill="FABF8F"/>
            <w:vAlign w:val="center"/>
          </w:tcPr>
          <w:p w14:paraId="42AED47D" w14:textId="77777777" w:rsidR="00EB3CE2" w:rsidRPr="00EB3CE2" w:rsidRDefault="00EB3CE2" w:rsidP="00EB3CE2">
            <w:pPr>
              <w:tabs>
                <w:tab w:val="left" w:pos="142"/>
              </w:tabs>
              <w:spacing w:after="0"/>
              <w:ind w:firstLine="0"/>
              <w:jc w:val="right"/>
              <w:rPr>
                <w:rFonts w:ascii="Arial" w:hAnsi="Arial" w:cs="Arial"/>
                <w:sz w:val="18"/>
                <w:szCs w:val="18"/>
                <w:lang w:val="es-ES"/>
              </w:rPr>
            </w:pPr>
            <w:r w:rsidRPr="00EB3CE2">
              <w:rPr>
                <w:rFonts w:ascii="Arial" w:hAnsi="Arial" w:cs="Arial"/>
                <w:sz w:val="18"/>
                <w:szCs w:val="18"/>
                <w:lang w:val="es-ES"/>
              </w:rPr>
              <w:t>DRN 2021</w:t>
            </w:r>
          </w:p>
        </w:tc>
      </w:tr>
      <w:tr w:rsidR="00EB3CE2" w:rsidRPr="00EB3CE2" w14:paraId="61B19DDC" w14:textId="77777777" w:rsidTr="006C15C7">
        <w:trPr>
          <w:trHeight w:val="198"/>
        </w:trPr>
        <w:tc>
          <w:tcPr>
            <w:tcW w:w="2339" w:type="pct"/>
            <w:tcBorders>
              <w:top w:val="single" w:sz="4" w:space="0" w:color="auto"/>
              <w:bottom w:val="single" w:sz="2" w:space="0" w:color="auto"/>
            </w:tcBorders>
            <w:shd w:val="clear" w:color="auto" w:fill="auto"/>
            <w:vAlign w:val="center"/>
          </w:tcPr>
          <w:p w14:paraId="3FDA9965" w14:textId="77777777" w:rsidR="00EB3CE2" w:rsidRPr="00EB3CE2" w:rsidRDefault="00EB3CE2" w:rsidP="00EB3CE2">
            <w:pPr>
              <w:tabs>
                <w:tab w:val="left" w:pos="142"/>
              </w:tabs>
              <w:spacing w:after="0"/>
              <w:ind w:firstLine="0"/>
              <w:jc w:val="left"/>
              <w:rPr>
                <w:rFonts w:ascii="Arial Narrow" w:hAnsi="Arial Narrow"/>
                <w:lang w:val="es-ES"/>
              </w:rPr>
            </w:pPr>
            <w:proofErr w:type="spellStart"/>
            <w:proofErr w:type="gramStart"/>
            <w:r w:rsidRPr="00EB3CE2">
              <w:rPr>
                <w:rFonts w:ascii="Arial Narrow" w:hAnsi="Arial Narrow"/>
                <w:lang w:val="es-ES"/>
              </w:rPr>
              <w:t>Echavacoiz</w:t>
            </w:r>
            <w:proofErr w:type="spellEnd"/>
            <w:r w:rsidRPr="00EB3CE2">
              <w:rPr>
                <w:rFonts w:ascii="Arial Narrow" w:hAnsi="Arial Narrow"/>
                <w:lang w:val="es-ES"/>
              </w:rPr>
              <w:t xml:space="preserve">  (</w:t>
            </w:r>
            <w:proofErr w:type="gramEnd"/>
            <w:r>
              <w:rPr>
                <w:rFonts w:ascii="Arial Narrow" w:hAnsi="Arial Narrow"/>
                <w:lang w:val="es-ES"/>
              </w:rPr>
              <w:t>100% de B-5)</w:t>
            </w:r>
          </w:p>
        </w:tc>
        <w:tc>
          <w:tcPr>
            <w:tcW w:w="1774" w:type="pct"/>
            <w:tcBorders>
              <w:top w:val="single" w:sz="4" w:space="0" w:color="auto"/>
              <w:bottom w:val="single" w:sz="2" w:space="0" w:color="auto"/>
            </w:tcBorders>
            <w:shd w:val="clear" w:color="auto" w:fill="auto"/>
            <w:vAlign w:val="center"/>
          </w:tcPr>
          <w:p w14:paraId="403B9A4C" w14:textId="77777777" w:rsidR="00EB3CE2" w:rsidRPr="00EB3CE2" w:rsidRDefault="00EB3CE2" w:rsidP="00EB3CE2">
            <w:pPr>
              <w:tabs>
                <w:tab w:val="left" w:pos="142"/>
              </w:tabs>
              <w:spacing w:after="0"/>
              <w:ind w:firstLine="0"/>
              <w:jc w:val="center"/>
              <w:rPr>
                <w:rFonts w:ascii="Arial Narrow" w:hAnsi="Arial Narrow"/>
                <w:lang w:val="es-ES"/>
              </w:rPr>
            </w:pPr>
            <w:r w:rsidRPr="00EB3CE2">
              <w:rPr>
                <w:rFonts w:ascii="Arial Narrow" w:hAnsi="Arial Narrow"/>
                <w:lang w:val="es-ES"/>
              </w:rPr>
              <w:t>Subasta</w:t>
            </w:r>
          </w:p>
        </w:tc>
        <w:tc>
          <w:tcPr>
            <w:tcW w:w="887" w:type="pct"/>
            <w:tcBorders>
              <w:top w:val="single" w:sz="4" w:space="0" w:color="auto"/>
              <w:bottom w:val="single" w:sz="2" w:space="0" w:color="auto"/>
            </w:tcBorders>
            <w:vAlign w:val="center"/>
          </w:tcPr>
          <w:p w14:paraId="499B30F2" w14:textId="77777777" w:rsidR="00EB3CE2" w:rsidRPr="00EB3CE2" w:rsidRDefault="00EB3CE2" w:rsidP="00EB3CE2">
            <w:pPr>
              <w:tabs>
                <w:tab w:val="left" w:pos="142"/>
              </w:tabs>
              <w:spacing w:after="0"/>
              <w:ind w:firstLine="0"/>
              <w:jc w:val="right"/>
              <w:rPr>
                <w:rFonts w:ascii="Arial Narrow" w:hAnsi="Arial Narrow"/>
                <w:lang w:val="es-ES"/>
              </w:rPr>
            </w:pPr>
            <w:r w:rsidRPr="00EB3CE2">
              <w:rPr>
                <w:rFonts w:ascii="Arial Narrow" w:hAnsi="Arial Narrow"/>
                <w:lang w:val="es-ES"/>
              </w:rPr>
              <w:t>1.906.000</w:t>
            </w:r>
          </w:p>
        </w:tc>
      </w:tr>
      <w:tr w:rsidR="00EB3CE2" w:rsidRPr="00EB3CE2" w14:paraId="1406909A" w14:textId="77777777" w:rsidTr="00310EA7">
        <w:trPr>
          <w:trHeight w:val="198"/>
        </w:trPr>
        <w:tc>
          <w:tcPr>
            <w:tcW w:w="2339" w:type="pct"/>
            <w:tcBorders>
              <w:top w:val="single" w:sz="2" w:space="0" w:color="auto"/>
              <w:bottom w:val="single" w:sz="4" w:space="0" w:color="auto"/>
              <w:right w:val="nil"/>
            </w:tcBorders>
            <w:shd w:val="clear" w:color="auto" w:fill="auto"/>
            <w:vAlign w:val="center"/>
          </w:tcPr>
          <w:p w14:paraId="7601FAFA" w14:textId="77777777" w:rsidR="00EB3CE2" w:rsidRPr="00EB3CE2" w:rsidRDefault="00EB3CE2" w:rsidP="00EB3CE2">
            <w:pPr>
              <w:tabs>
                <w:tab w:val="left" w:pos="142"/>
              </w:tabs>
              <w:spacing w:after="0"/>
              <w:ind w:firstLine="0"/>
              <w:jc w:val="left"/>
              <w:rPr>
                <w:rFonts w:ascii="Arial Narrow" w:hAnsi="Arial Narrow"/>
                <w:lang w:val="es-ES"/>
              </w:rPr>
            </w:pPr>
            <w:proofErr w:type="spellStart"/>
            <w:r w:rsidRPr="00EB3CE2">
              <w:rPr>
                <w:rFonts w:ascii="Arial Narrow" w:hAnsi="Arial Narrow"/>
                <w:lang w:val="es-ES"/>
              </w:rPr>
              <w:t>Lezkairu</w:t>
            </w:r>
            <w:proofErr w:type="spellEnd"/>
            <w:r w:rsidRPr="00EB3CE2">
              <w:rPr>
                <w:rFonts w:ascii="Arial Narrow" w:hAnsi="Arial Narrow"/>
                <w:lang w:val="es-ES"/>
              </w:rPr>
              <w:t xml:space="preserve"> (</w:t>
            </w:r>
            <w:r>
              <w:rPr>
                <w:rFonts w:ascii="Arial Narrow" w:hAnsi="Arial Narrow"/>
                <w:lang w:val="es-ES"/>
              </w:rPr>
              <w:t>100% de L.3.4.7)</w:t>
            </w:r>
          </w:p>
        </w:tc>
        <w:tc>
          <w:tcPr>
            <w:tcW w:w="1774" w:type="pct"/>
            <w:tcBorders>
              <w:top w:val="single" w:sz="2" w:space="0" w:color="auto"/>
              <w:left w:val="nil"/>
              <w:bottom w:val="single" w:sz="4" w:space="0" w:color="auto"/>
            </w:tcBorders>
            <w:shd w:val="clear" w:color="auto" w:fill="auto"/>
            <w:vAlign w:val="center"/>
          </w:tcPr>
          <w:p w14:paraId="450644E7" w14:textId="77777777" w:rsidR="00EB3CE2" w:rsidRPr="00EB3CE2" w:rsidRDefault="00EB3CE2" w:rsidP="00EB3CE2">
            <w:pPr>
              <w:tabs>
                <w:tab w:val="left" w:pos="142"/>
              </w:tabs>
              <w:spacing w:after="0"/>
              <w:ind w:firstLine="0"/>
              <w:jc w:val="center"/>
              <w:rPr>
                <w:rFonts w:ascii="Arial Narrow" w:hAnsi="Arial Narrow"/>
                <w:lang w:val="es-ES"/>
              </w:rPr>
            </w:pPr>
            <w:r w:rsidRPr="00EB3CE2">
              <w:rPr>
                <w:rFonts w:ascii="Arial Narrow" w:hAnsi="Arial Narrow"/>
                <w:lang w:val="es-ES"/>
              </w:rPr>
              <w:t>Subasta</w:t>
            </w:r>
          </w:p>
        </w:tc>
        <w:tc>
          <w:tcPr>
            <w:tcW w:w="887" w:type="pct"/>
            <w:tcBorders>
              <w:top w:val="single" w:sz="2" w:space="0" w:color="auto"/>
              <w:left w:val="nil"/>
              <w:bottom w:val="single" w:sz="4" w:space="0" w:color="auto"/>
            </w:tcBorders>
            <w:vAlign w:val="center"/>
          </w:tcPr>
          <w:p w14:paraId="1C8E23F8" w14:textId="77777777" w:rsidR="00EB3CE2" w:rsidRPr="00EB3CE2" w:rsidRDefault="00EB3CE2" w:rsidP="00EB3CE2">
            <w:pPr>
              <w:tabs>
                <w:tab w:val="left" w:pos="142"/>
              </w:tabs>
              <w:spacing w:after="0"/>
              <w:ind w:firstLine="0"/>
              <w:jc w:val="right"/>
              <w:rPr>
                <w:rFonts w:ascii="Arial Narrow" w:hAnsi="Arial Narrow"/>
                <w:lang w:val="es-ES"/>
              </w:rPr>
            </w:pPr>
            <w:r w:rsidRPr="00EB3CE2">
              <w:rPr>
                <w:rFonts w:ascii="Arial Narrow" w:hAnsi="Arial Narrow"/>
                <w:lang w:val="es-ES"/>
              </w:rPr>
              <w:t>2.061.302</w:t>
            </w:r>
          </w:p>
        </w:tc>
      </w:tr>
      <w:tr w:rsidR="00EB3CE2" w:rsidRPr="00EB3CE2" w14:paraId="4B6DC156" w14:textId="77777777" w:rsidTr="00310EA7">
        <w:trPr>
          <w:trHeight w:val="255"/>
        </w:trPr>
        <w:tc>
          <w:tcPr>
            <w:tcW w:w="2339" w:type="pct"/>
            <w:tcBorders>
              <w:top w:val="single" w:sz="4" w:space="0" w:color="auto"/>
              <w:bottom w:val="single" w:sz="4" w:space="0" w:color="auto"/>
            </w:tcBorders>
            <w:shd w:val="clear" w:color="000000" w:fill="FABF8F"/>
            <w:vAlign w:val="center"/>
            <w:hideMark/>
          </w:tcPr>
          <w:p w14:paraId="5AE61D90" w14:textId="77777777" w:rsidR="00EB3CE2" w:rsidRPr="00EB3CE2" w:rsidRDefault="00EB3CE2" w:rsidP="006639E5">
            <w:pPr>
              <w:tabs>
                <w:tab w:val="left" w:pos="142"/>
              </w:tabs>
              <w:spacing w:after="0"/>
              <w:ind w:firstLine="0"/>
              <w:jc w:val="left"/>
              <w:rPr>
                <w:rFonts w:ascii="Arial" w:hAnsi="Arial" w:cs="Arial"/>
                <w:sz w:val="18"/>
                <w:szCs w:val="18"/>
                <w:lang w:val="es-ES"/>
              </w:rPr>
            </w:pPr>
            <w:r w:rsidRPr="00EB3CE2">
              <w:rPr>
                <w:rFonts w:ascii="Arial" w:hAnsi="Arial" w:cs="Arial"/>
                <w:sz w:val="18"/>
                <w:szCs w:val="18"/>
                <w:lang w:val="es-ES"/>
              </w:rPr>
              <w:t>Total</w:t>
            </w:r>
          </w:p>
        </w:tc>
        <w:tc>
          <w:tcPr>
            <w:tcW w:w="1774" w:type="pct"/>
            <w:tcBorders>
              <w:top w:val="single" w:sz="4" w:space="0" w:color="auto"/>
              <w:bottom w:val="single" w:sz="4" w:space="0" w:color="auto"/>
            </w:tcBorders>
            <w:shd w:val="clear" w:color="000000" w:fill="FABF8F"/>
            <w:vAlign w:val="center"/>
            <w:hideMark/>
          </w:tcPr>
          <w:p w14:paraId="4909114D" w14:textId="77777777" w:rsidR="00EB3CE2" w:rsidRPr="00EB3CE2" w:rsidRDefault="00EB3CE2" w:rsidP="006639E5">
            <w:pPr>
              <w:tabs>
                <w:tab w:val="left" w:pos="142"/>
              </w:tabs>
              <w:spacing w:after="0"/>
              <w:ind w:firstLine="0"/>
              <w:jc w:val="center"/>
              <w:rPr>
                <w:rFonts w:ascii="Arial" w:hAnsi="Arial" w:cs="Arial"/>
                <w:sz w:val="18"/>
                <w:szCs w:val="18"/>
                <w:lang w:val="es-ES"/>
              </w:rPr>
            </w:pPr>
          </w:p>
        </w:tc>
        <w:tc>
          <w:tcPr>
            <w:tcW w:w="887" w:type="pct"/>
            <w:tcBorders>
              <w:top w:val="single" w:sz="4" w:space="0" w:color="auto"/>
              <w:bottom w:val="single" w:sz="4" w:space="0" w:color="auto"/>
            </w:tcBorders>
            <w:shd w:val="clear" w:color="000000" w:fill="FABF8F"/>
            <w:vAlign w:val="center"/>
          </w:tcPr>
          <w:p w14:paraId="7BE997B4" w14:textId="77777777" w:rsidR="00EB3CE2" w:rsidRPr="00EB3CE2" w:rsidRDefault="00EB3CE2" w:rsidP="006639E5">
            <w:pPr>
              <w:tabs>
                <w:tab w:val="left" w:pos="142"/>
              </w:tabs>
              <w:spacing w:after="0"/>
              <w:ind w:firstLine="0"/>
              <w:jc w:val="right"/>
              <w:rPr>
                <w:rFonts w:ascii="Arial" w:hAnsi="Arial" w:cs="Arial"/>
                <w:sz w:val="18"/>
                <w:szCs w:val="18"/>
                <w:lang w:val="es-ES"/>
              </w:rPr>
            </w:pPr>
            <w:r w:rsidRPr="00EB3CE2">
              <w:rPr>
                <w:rFonts w:ascii="Arial" w:hAnsi="Arial" w:cs="Arial"/>
                <w:sz w:val="18"/>
                <w:szCs w:val="18"/>
                <w:lang w:val="es-ES"/>
              </w:rPr>
              <w:t>3.967.302</w:t>
            </w:r>
          </w:p>
        </w:tc>
      </w:tr>
    </w:tbl>
    <w:p w14:paraId="4C9EDE47" w14:textId="77777777" w:rsidR="006435CB" w:rsidRDefault="00807992" w:rsidP="00EB3CE2">
      <w:pPr>
        <w:tabs>
          <w:tab w:val="left" w:pos="142"/>
          <w:tab w:val="center" w:pos="2835"/>
          <w:tab w:val="center" w:pos="3969"/>
          <w:tab w:val="center" w:pos="5103"/>
          <w:tab w:val="center" w:pos="6237"/>
          <w:tab w:val="center" w:pos="7371"/>
        </w:tabs>
        <w:spacing w:before="120" w:after="240"/>
        <w:ind w:firstLine="284"/>
        <w:rPr>
          <w:spacing w:val="6"/>
          <w:sz w:val="26"/>
          <w:szCs w:val="26"/>
          <w:lang w:val="es-ES" w:eastAsia="es-ES"/>
        </w:rPr>
      </w:pPr>
      <w:r w:rsidRPr="00EB3CE2">
        <w:rPr>
          <w:spacing w:val="6"/>
          <w:sz w:val="26"/>
          <w:szCs w:val="26"/>
          <w:lang w:val="es-ES" w:eastAsia="es-ES"/>
        </w:rPr>
        <w:t xml:space="preserve">De la revisión efectuada se constata que los expedientes se han tramitado </w:t>
      </w:r>
      <w:proofErr w:type="gramStart"/>
      <w:r w:rsidRPr="00EB3CE2">
        <w:rPr>
          <w:spacing w:val="6"/>
          <w:sz w:val="26"/>
          <w:szCs w:val="26"/>
          <w:lang w:val="es-ES" w:eastAsia="es-ES"/>
        </w:rPr>
        <w:t>de acuerdo al</w:t>
      </w:r>
      <w:proofErr w:type="gramEnd"/>
      <w:r w:rsidRPr="00EB3CE2">
        <w:rPr>
          <w:spacing w:val="6"/>
          <w:sz w:val="26"/>
          <w:szCs w:val="26"/>
          <w:lang w:val="es-ES" w:eastAsia="es-ES"/>
        </w:rPr>
        <w:t xml:space="preserve"> régimen patrimonial previsto en el marco local. Asimismo, el importe de las citadas operaciones se ha incluido como recurso afecto en el estado del remanente de tesorería y se ha procedido a la baja en el inventario municipal.</w:t>
      </w:r>
    </w:p>
    <w:p w14:paraId="05C22210" w14:textId="77777777" w:rsidR="006435CB" w:rsidRDefault="006435CB">
      <w:pPr>
        <w:spacing w:after="0"/>
        <w:ind w:firstLine="0"/>
        <w:jc w:val="left"/>
        <w:rPr>
          <w:spacing w:val="6"/>
          <w:sz w:val="26"/>
          <w:szCs w:val="26"/>
          <w:lang w:val="es-ES" w:eastAsia="es-ES"/>
        </w:rPr>
      </w:pPr>
      <w:r>
        <w:rPr>
          <w:spacing w:val="6"/>
          <w:sz w:val="26"/>
          <w:szCs w:val="26"/>
          <w:lang w:val="es-ES" w:eastAsia="es-ES"/>
        </w:rPr>
        <w:br w:type="page"/>
      </w:r>
    </w:p>
    <w:p w14:paraId="03A1723E" w14:textId="77777777" w:rsidR="00807992" w:rsidRPr="00FC7613" w:rsidRDefault="00807992" w:rsidP="00FC7613">
      <w:pPr>
        <w:pStyle w:val="atitulo2"/>
      </w:pPr>
      <w:bookmarkStart w:id="159" w:name="_Toc118266039"/>
      <w:bookmarkStart w:id="160" w:name="_Toc129243492"/>
      <w:r w:rsidRPr="00FC7613">
        <w:lastRenderedPageBreak/>
        <w:t>5.5. Organismos autónomos</w:t>
      </w:r>
      <w:bookmarkEnd w:id="159"/>
      <w:bookmarkEnd w:id="160"/>
    </w:p>
    <w:p w14:paraId="63A8715D" w14:textId="77777777" w:rsidR="003D644A" w:rsidRDefault="003D644A" w:rsidP="00FC7613">
      <w:pPr>
        <w:pStyle w:val="texto"/>
      </w:pPr>
      <w:bookmarkStart w:id="161" w:name="_Toc118266040"/>
      <w:r>
        <w:t xml:space="preserve">Dado que las cuentas de los organismos autónomos están auditadas, nuestro trabajo se ha centrado en la revisión de las plantillas orgánicas y en la OPE de 2021, así como en un contrato en la Gerencia de Urbanismo. </w:t>
      </w:r>
    </w:p>
    <w:p w14:paraId="5011E981" w14:textId="77777777" w:rsidR="00807992" w:rsidRPr="00B8008C" w:rsidRDefault="00807992" w:rsidP="00FC7613">
      <w:pPr>
        <w:pStyle w:val="texto"/>
      </w:pPr>
      <w:r w:rsidRPr="00B8008C">
        <w:t>5.5.1. Escuelas Infantiles</w:t>
      </w:r>
      <w:bookmarkEnd w:id="161"/>
    </w:p>
    <w:p w14:paraId="5A37E935" w14:textId="77777777" w:rsidR="00807992" w:rsidRDefault="00807992" w:rsidP="00807992">
      <w:pPr>
        <w:spacing w:after="120"/>
        <w:ind w:firstLine="284"/>
        <w:rPr>
          <w:spacing w:val="6"/>
          <w:sz w:val="26"/>
          <w:szCs w:val="24"/>
        </w:rPr>
      </w:pPr>
      <w:r>
        <w:rPr>
          <w:i/>
          <w:spacing w:val="6"/>
          <w:sz w:val="26"/>
          <w:szCs w:val="24"/>
        </w:rPr>
        <w:t>Plantilla orgánica</w:t>
      </w:r>
    </w:p>
    <w:p w14:paraId="2DFA6CF3" w14:textId="77777777" w:rsidR="00807992" w:rsidRPr="00667DFF" w:rsidRDefault="00807992" w:rsidP="00807992">
      <w:pPr>
        <w:spacing w:after="120"/>
        <w:ind w:firstLine="284"/>
        <w:rPr>
          <w:spacing w:val="6"/>
          <w:sz w:val="26"/>
          <w:szCs w:val="24"/>
        </w:rPr>
      </w:pPr>
      <w:r w:rsidRPr="00667DFF">
        <w:rPr>
          <w:spacing w:val="6"/>
          <w:sz w:val="26"/>
          <w:szCs w:val="24"/>
        </w:rPr>
        <w:t xml:space="preserve">La aprobación definitiva de la plantilla orgánica del organismo autónomo fue publicada en </w:t>
      </w:r>
      <w:r w:rsidRPr="00831910">
        <w:rPr>
          <w:spacing w:val="6"/>
          <w:sz w:val="26"/>
          <w:szCs w:val="24"/>
        </w:rPr>
        <w:t xml:space="preserve">el </w:t>
      </w:r>
      <w:r>
        <w:rPr>
          <w:spacing w:val="6"/>
          <w:sz w:val="26"/>
          <w:szCs w:val="24"/>
        </w:rPr>
        <w:t>BON el 10</w:t>
      </w:r>
      <w:r w:rsidRPr="00831910">
        <w:rPr>
          <w:spacing w:val="6"/>
          <w:sz w:val="26"/>
          <w:szCs w:val="24"/>
        </w:rPr>
        <w:t xml:space="preserve"> de mayo de 2021</w:t>
      </w:r>
      <w:r w:rsidRPr="00667DFF">
        <w:rPr>
          <w:spacing w:val="6"/>
          <w:sz w:val="26"/>
          <w:szCs w:val="24"/>
        </w:rPr>
        <w:t xml:space="preserve">. </w:t>
      </w:r>
    </w:p>
    <w:p w14:paraId="7B325FD2" w14:textId="77777777" w:rsidR="00807992" w:rsidRPr="00667DFF" w:rsidRDefault="00807992" w:rsidP="00807992">
      <w:pPr>
        <w:spacing w:after="240"/>
        <w:ind w:firstLine="284"/>
        <w:rPr>
          <w:spacing w:val="6"/>
          <w:sz w:val="26"/>
          <w:szCs w:val="24"/>
        </w:rPr>
      </w:pPr>
      <w:r w:rsidRPr="00667DFF">
        <w:rPr>
          <w:spacing w:val="6"/>
          <w:sz w:val="26"/>
          <w:szCs w:val="24"/>
        </w:rPr>
        <w:t>Los puestos incluidos en la misma, atendiendo al régimen jurídico, fueron los siguientes:</w:t>
      </w:r>
    </w:p>
    <w:tbl>
      <w:tblPr>
        <w:tblW w:w="8789" w:type="dxa"/>
        <w:jc w:val="center"/>
        <w:tblCellMar>
          <w:left w:w="70" w:type="dxa"/>
          <w:right w:w="70" w:type="dxa"/>
        </w:tblCellMar>
        <w:tblLook w:val="04A0" w:firstRow="1" w:lastRow="0" w:firstColumn="1" w:lastColumn="0" w:noHBand="0" w:noVBand="1"/>
      </w:tblPr>
      <w:tblGrid>
        <w:gridCol w:w="4961"/>
        <w:gridCol w:w="1276"/>
        <w:gridCol w:w="1418"/>
        <w:gridCol w:w="1134"/>
      </w:tblGrid>
      <w:tr w:rsidR="00807992" w:rsidRPr="00667DFF" w14:paraId="52B8444E" w14:textId="77777777" w:rsidTr="00310EA7">
        <w:trPr>
          <w:trHeight w:val="255"/>
          <w:jc w:val="center"/>
        </w:trPr>
        <w:tc>
          <w:tcPr>
            <w:tcW w:w="4961" w:type="dxa"/>
            <w:tcBorders>
              <w:top w:val="single" w:sz="4" w:space="0" w:color="auto"/>
              <w:left w:val="nil"/>
              <w:bottom w:val="single" w:sz="2" w:space="0" w:color="auto"/>
              <w:right w:val="nil"/>
            </w:tcBorders>
            <w:shd w:val="clear" w:color="000000" w:fill="FABF8F" w:themeFill="accent6" w:themeFillTint="99"/>
            <w:noWrap/>
            <w:vAlign w:val="center"/>
            <w:hideMark/>
          </w:tcPr>
          <w:p w14:paraId="5692E84F" w14:textId="77777777" w:rsidR="00807992" w:rsidRPr="00667DFF" w:rsidRDefault="00807992" w:rsidP="00807992">
            <w:pPr>
              <w:tabs>
                <w:tab w:val="left" w:pos="142"/>
              </w:tabs>
              <w:spacing w:after="0"/>
              <w:ind w:firstLine="0"/>
              <w:jc w:val="left"/>
              <w:rPr>
                <w:rFonts w:ascii="Arial" w:hAnsi="Arial" w:cs="Arial"/>
                <w:bCs/>
                <w:color w:val="000000"/>
                <w:sz w:val="18"/>
                <w:szCs w:val="18"/>
                <w:lang w:val="es-ES" w:eastAsia="es-ES"/>
              </w:rPr>
            </w:pPr>
            <w:r w:rsidRPr="00667DFF">
              <w:rPr>
                <w:rFonts w:ascii="Arial" w:hAnsi="Arial" w:cs="Arial"/>
                <w:bCs/>
                <w:color w:val="000000"/>
                <w:sz w:val="18"/>
                <w:szCs w:val="18"/>
                <w:lang w:val="es-ES" w:eastAsia="es-ES"/>
              </w:rPr>
              <w:t>Régimen</w:t>
            </w:r>
          </w:p>
        </w:tc>
        <w:tc>
          <w:tcPr>
            <w:tcW w:w="1276" w:type="dxa"/>
            <w:tcBorders>
              <w:top w:val="single" w:sz="4" w:space="0" w:color="auto"/>
              <w:left w:val="nil"/>
              <w:bottom w:val="single" w:sz="2" w:space="0" w:color="auto"/>
              <w:right w:val="nil"/>
            </w:tcBorders>
            <w:shd w:val="clear" w:color="000000" w:fill="FABF8F" w:themeFill="accent6" w:themeFillTint="99"/>
            <w:vAlign w:val="center"/>
          </w:tcPr>
          <w:p w14:paraId="5CE703A0" w14:textId="77777777" w:rsidR="00807992" w:rsidRPr="00667DFF" w:rsidRDefault="00807992" w:rsidP="00310EA7">
            <w:pPr>
              <w:tabs>
                <w:tab w:val="left" w:pos="142"/>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2020</w:t>
            </w:r>
          </w:p>
        </w:tc>
        <w:tc>
          <w:tcPr>
            <w:tcW w:w="1418" w:type="dxa"/>
            <w:tcBorders>
              <w:top w:val="single" w:sz="4" w:space="0" w:color="auto"/>
              <w:left w:val="nil"/>
              <w:bottom w:val="single" w:sz="2" w:space="0" w:color="auto"/>
              <w:right w:val="nil"/>
            </w:tcBorders>
            <w:shd w:val="clear" w:color="000000" w:fill="FABF8F" w:themeFill="accent6" w:themeFillTint="99"/>
            <w:vAlign w:val="center"/>
          </w:tcPr>
          <w:p w14:paraId="258304AB" w14:textId="77777777" w:rsidR="00807992" w:rsidRPr="00667DFF" w:rsidRDefault="00807992" w:rsidP="00310EA7">
            <w:pPr>
              <w:tabs>
                <w:tab w:val="left" w:pos="142"/>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2021</w:t>
            </w:r>
          </w:p>
        </w:tc>
        <w:tc>
          <w:tcPr>
            <w:tcW w:w="1134" w:type="dxa"/>
            <w:tcBorders>
              <w:top w:val="single" w:sz="4" w:space="0" w:color="auto"/>
              <w:left w:val="nil"/>
              <w:bottom w:val="single" w:sz="2" w:space="0" w:color="auto"/>
              <w:right w:val="nil"/>
            </w:tcBorders>
            <w:shd w:val="clear" w:color="000000" w:fill="FABF8F" w:themeFill="accent6" w:themeFillTint="99"/>
            <w:noWrap/>
            <w:vAlign w:val="center"/>
          </w:tcPr>
          <w:p w14:paraId="2E56CB0C" w14:textId="77777777" w:rsidR="00807992" w:rsidRPr="00667DFF" w:rsidRDefault="00807992" w:rsidP="00310EA7">
            <w:pPr>
              <w:tabs>
                <w:tab w:val="left" w:pos="142"/>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Diferencia</w:t>
            </w:r>
          </w:p>
        </w:tc>
      </w:tr>
      <w:tr w:rsidR="00807992" w:rsidRPr="00667DFF" w14:paraId="7422D596" w14:textId="77777777" w:rsidTr="00310EA7">
        <w:trPr>
          <w:trHeight w:val="198"/>
          <w:jc w:val="center"/>
        </w:trPr>
        <w:tc>
          <w:tcPr>
            <w:tcW w:w="4961" w:type="dxa"/>
            <w:tcBorders>
              <w:top w:val="single" w:sz="2" w:space="0" w:color="auto"/>
              <w:left w:val="nil"/>
              <w:bottom w:val="single" w:sz="2" w:space="0" w:color="auto"/>
              <w:right w:val="nil"/>
            </w:tcBorders>
            <w:shd w:val="clear" w:color="000000" w:fill="FFFFFF"/>
            <w:noWrap/>
            <w:vAlign w:val="center"/>
          </w:tcPr>
          <w:p w14:paraId="02213FFA"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Pr>
                <w:rFonts w:ascii="Arial Narrow" w:hAnsi="Arial Narrow"/>
                <w:color w:val="000000"/>
                <w:lang w:val="es-ES" w:eastAsia="es-ES"/>
              </w:rPr>
              <w:t>Eventual</w:t>
            </w:r>
          </w:p>
        </w:tc>
        <w:tc>
          <w:tcPr>
            <w:tcW w:w="1276" w:type="dxa"/>
            <w:tcBorders>
              <w:top w:val="single" w:sz="2" w:space="0" w:color="auto"/>
              <w:left w:val="nil"/>
              <w:bottom w:val="single" w:sz="2" w:space="0" w:color="auto"/>
              <w:right w:val="nil"/>
            </w:tcBorders>
            <w:shd w:val="clear" w:color="000000" w:fill="FFFFFF"/>
            <w:vAlign w:val="center"/>
          </w:tcPr>
          <w:p w14:paraId="50A012EA"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c>
          <w:tcPr>
            <w:tcW w:w="1418" w:type="dxa"/>
            <w:tcBorders>
              <w:top w:val="single" w:sz="2" w:space="0" w:color="auto"/>
              <w:left w:val="nil"/>
              <w:bottom w:val="single" w:sz="2" w:space="0" w:color="auto"/>
              <w:right w:val="nil"/>
            </w:tcBorders>
            <w:shd w:val="clear" w:color="000000" w:fill="FFFFFF"/>
            <w:vAlign w:val="center"/>
          </w:tcPr>
          <w:p w14:paraId="28028496"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c>
          <w:tcPr>
            <w:tcW w:w="1134" w:type="dxa"/>
            <w:tcBorders>
              <w:top w:val="single" w:sz="2" w:space="0" w:color="auto"/>
              <w:left w:val="nil"/>
              <w:bottom w:val="single" w:sz="2" w:space="0" w:color="auto"/>
              <w:right w:val="nil"/>
            </w:tcBorders>
            <w:shd w:val="clear" w:color="000000" w:fill="FFFFFF"/>
            <w:noWrap/>
            <w:vAlign w:val="center"/>
          </w:tcPr>
          <w:p w14:paraId="03A5365A"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p>
        </w:tc>
      </w:tr>
      <w:tr w:rsidR="00807992" w:rsidRPr="00667DFF" w14:paraId="3003BD92" w14:textId="77777777" w:rsidTr="00310EA7">
        <w:trPr>
          <w:trHeight w:val="198"/>
          <w:jc w:val="center"/>
        </w:trPr>
        <w:tc>
          <w:tcPr>
            <w:tcW w:w="4961" w:type="dxa"/>
            <w:tcBorders>
              <w:top w:val="single" w:sz="2" w:space="0" w:color="auto"/>
              <w:left w:val="nil"/>
              <w:bottom w:val="single" w:sz="2" w:space="0" w:color="auto"/>
              <w:right w:val="nil"/>
            </w:tcBorders>
            <w:shd w:val="clear" w:color="000000" w:fill="FFFFFF"/>
            <w:noWrap/>
            <w:vAlign w:val="center"/>
            <w:hideMark/>
          </w:tcPr>
          <w:p w14:paraId="7768D2DA"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sidRPr="00667DFF">
              <w:rPr>
                <w:rFonts w:ascii="Arial Narrow" w:hAnsi="Arial Narrow"/>
                <w:color w:val="000000"/>
                <w:lang w:val="es-ES" w:eastAsia="es-ES"/>
              </w:rPr>
              <w:t xml:space="preserve">Funcionarial                                  </w:t>
            </w:r>
          </w:p>
        </w:tc>
        <w:tc>
          <w:tcPr>
            <w:tcW w:w="1276" w:type="dxa"/>
            <w:tcBorders>
              <w:top w:val="single" w:sz="2" w:space="0" w:color="auto"/>
              <w:left w:val="nil"/>
              <w:bottom w:val="single" w:sz="2" w:space="0" w:color="auto"/>
              <w:right w:val="nil"/>
            </w:tcBorders>
            <w:shd w:val="clear" w:color="000000" w:fill="FFFFFF"/>
            <w:vAlign w:val="center"/>
          </w:tcPr>
          <w:p w14:paraId="0B6DDCAD"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149</w:t>
            </w:r>
          </w:p>
        </w:tc>
        <w:tc>
          <w:tcPr>
            <w:tcW w:w="1418" w:type="dxa"/>
            <w:tcBorders>
              <w:top w:val="single" w:sz="2" w:space="0" w:color="auto"/>
              <w:left w:val="nil"/>
              <w:bottom w:val="single" w:sz="2" w:space="0" w:color="auto"/>
              <w:right w:val="nil"/>
            </w:tcBorders>
            <w:shd w:val="clear" w:color="000000" w:fill="FFFFFF"/>
            <w:vAlign w:val="center"/>
          </w:tcPr>
          <w:p w14:paraId="10B7867B"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117</w:t>
            </w:r>
          </w:p>
        </w:tc>
        <w:tc>
          <w:tcPr>
            <w:tcW w:w="1134" w:type="dxa"/>
            <w:tcBorders>
              <w:top w:val="single" w:sz="2" w:space="0" w:color="auto"/>
              <w:left w:val="nil"/>
              <w:bottom w:val="single" w:sz="2" w:space="0" w:color="auto"/>
              <w:right w:val="nil"/>
            </w:tcBorders>
            <w:shd w:val="clear" w:color="000000" w:fill="FFFFFF"/>
            <w:noWrap/>
            <w:vAlign w:val="center"/>
          </w:tcPr>
          <w:p w14:paraId="6BAEE7E9"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-32</w:t>
            </w:r>
          </w:p>
        </w:tc>
      </w:tr>
      <w:tr w:rsidR="00807992" w:rsidRPr="00667DFF" w14:paraId="79A67494" w14:textId="77777777" w:rsidTr="00310EA7">
        <w:trPr>
          <w:trHeight w:val="198"/>
          <w:jc w:val="center"/>
        </w:trPr>
        <w:tc>
          <w:tcPr>
            <w:tcW w:w="4961" w:type="dxa"/>
            <w:tcBorders>
              <w:top w:val="single" w:sz="2" w:space="0" w:color="auto"/>
              <w:left w:val="nil"/>
              <w:bottom w:val="single" w:sz="2" w:space="0" w:color="auto"/>
              <w:right w:val="nil"/>
            </w:tcBorders>
            <w:shd w:val="clear" w:color="auto" w:fill="auto"/>
            <w:noWrap/>
            <w:vAlign w:val="center"/>
            <w:hideMark/>
          </w:tcPr>
          <w:p w14:paraId="1A8C617C"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sidRPr="00667DFF">
              <w:rPr>
                <w:rFonts w:ascii="Arial Narrow" w:hAnsi="Arial Narrow"/>
                <w:color w:val="000000"/>
                <w:lang w:val="es-ES" w:eastAsia="es-ES"/>
              </w:rPr>
              <w:t>Laboral indefinido no fijo</w:t>
            </w:r>
          </w:p>
        </w:tc>
        <w:tc>
          <w:tcPr>
            <w:tcW w:w="1276" w:type="dxa"/>
            <w:tcBorders>
              <w:top w:val="single" w:sz="2" w:space="0" w:color="auto"/>
              <w:left w:val="nil"/>
              <w:bottom w:val="single" w:sz="2" w:space="0" w:color="auto"/>
              <w:right w:val="nil"/>
            </w:tcBorders>
            <w:vAlign w:val="center"/>
          </w:tcPr>
          <w:p w14:paraId="1684848D"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12</w:t>
            </w:r>
          </w:p>
        </w:tc>
        <w:tc>
          <w:tcPr>
            <w:tcW w:w="1418" w:type="dxa"/>
            <w:tcBorders>
              <w:top w:val="single" w:sz="2" w:space="0" w:color="auto"/>
              <w:left w:val="nil"/>
              <w:bottom w:val="single" w:sz="2" w:space="0" w:color="auto"/>
              <w:right w:val="nil"/>
            </w:tcBorders>
            <w:vAlign w:val="center"/>
          </w:tcPr>
          <w:p w14:paraId="74DDD908"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35</w:t>
            </w:r>
          </w:p>
        </w:tc>
        <w:tc>
          <w:tcPr>
            <w:tcW w:w="1134" w:type="dxa"/>
            <w:tcBorders>
              <w:top w:val="single" w:sz="2" w:space="0" w:color="auto"/>
              <w:left w:val="nil"/>
              <w:bottom w:val="single" w:sz="2" w:space="0" w:color="auto"/>
              <w:right w:val="nil"/>
            </w:tcBorders>
            <w:shd w:val="clear" w:color="auto" w:fill="auto"/>
            <w:noWrap/>
            <w:vAlign w:val="center"/>
          </w:tcPr>
          <w:p w14:paraId="7DDBF081"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23</w:t>
            </w:r>
          </w:p>
        </w:tc>
      </w:tr>
      <w:tr w:rsidR="00807992" w:rsidRPr="00667DFF" w14:paraId="5E49C231" w14:textId="77777777" w:rsidTr="00310EA7">
        <w:trPr>
          <w:trHeight w:val="198"/>
          <w:jc w:val="center"/>
        </w:trPr>
        <w:tc>
          <w:tcPr>
            <w:tcW w:w="4961" w:type="dxa"/>
            <w:tcBorders>
              <w:top w:val="single" w:sz="2" w:space="0" w:color="auto"/>
              <w:left w:val="nil"/>
              <w:bottom w:val="single" w:sz="4" w:space="0" w:color="auto"/>
              <w:right w:val="nil"/>
            </w:tcBorders>
            <w:shd w:val="clear" w:color="auto" w:fill="auto"/>
            <w:noWrap/>
            <w:vAlign w:val="center"/>
            <w:hideMark/>
          </w:tcPr>
          <w:p w14:paraId="01D34B61"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sidRPr="00667DFF">
              <w:rPr>
                <w:rFonts w:ascii="Arial Narrow" w:hAnsi="Arial Narrow"/>
                <w:color w:val="000000"/>
                <w:lang w:val="es-ES" w:eastAsia="es-ES"/>
              </w:rPr>
              <w:t>Laboral a tiempo parcial</w:t>
            </w:r>
          </w:p>
        </w:tc>
        <w:tc>
          <w:tcPr>
            <w:tcW w:w="1276" w:type="dxa"/>
            <w:tcBorders>
              <w:top w:val="single" w:sz="2" w:space="0" w:color="auto"/>
              <w:left w:val="nil"/>
              <w:bottom w:val="single" w:sz="4" w:space="0" w:color="auto"/>
              <w:right w:val="nil"/>
            </w:tcBorders>
            <w:vAlign w:val="center"/>
          </w:tcPr>
          <w:p w14:paraId="21FF7439"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70</w:t>
            </w:r>
          </w:p>
        </w:tc>
        <w:tc>
          <w:tcPr>
            <w:tcW w:w="1418" w:type="dxa"/>
            <w:tcBorders>
              <w:top w:val="single" w:sz="2" w:space="0" w:color="auto"/>
              <w:left w:val="nil"/>
              <w:bottom w:val="single" w:sz="4" w:space="0" w:color="auto"/>
              <w:right w:val="nil"/>
            </w:tcBorders>
            <w:vAlign w:val="center"/>
          </w:tcPr>
          <w:p w14:paraId="601A7A16"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 xml:space="preserve">                      70</w:t>
            </w:r>
          </w:p>
        </w:tc>
        <w:tc>
          <w:tcPr>
            <w:tcW w:w="1134" w:type="dxa"/>
            <w:tcBorders>
              <w:top w:val="single" w:sz="2" w:space="0" w:color="auto"/>
              <w:left w:val="nil"/>
              <w:bottom w:val="single" w:sz="4" w:space="0" w:color="auto"/>
              <w:right w:val="nil"/>
            </w:tcBorders>
            <w:shd w:val="clear" w:color="auto" w:fill="auto"/>
            <w:noWrap/>
            <w:vAlign w:val="center"/>
          </w:tcPr>
          <w:p w14:paraId="72CA847E"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p>
        </w:tc>
      </w:tr>
      <w:tr w:rsidR="00807992" w:rsidRPr="00820B96" w14:paraId="27F27D85" w14:textId="77777777" w:rsidTr="00310EA7">
        <w:trPr>
          <w:trHeight w:val="255"/>
          <w:jc w:val="center"/>
        </w:trPr>
        <w:tc>
          <w:tcPr>
            <w:tcW w:w="4961" w:type="dxa"/>
            <w:tcBorders>
              <w:top w:val="single" w:sz="4" w:space="0" w:color="auto"/>
              <w:left w:val="nil"/>
              <w:bottom w:val="single" w:sz="4" w:space="0" w:color="auto"/>
              <w:right w:val="nil"/>
            </w:tcBorders>
            <w:shd w:val="clear" w:color="auto" w:fill="FABF8F" w:themeFill="accent6" w:themeFillTint="99"/>
            <w:noWrap/>
            <w:vAlign w:val="center"/>
            <w:hideMark/>
          </w:tcPr>
          <w:p w14:paraId="4EABCBB5" w14:textId="77777777" w:rsidR="00807992" w:rsidRPr="00820B96" w:rsidRDefault="00807992" w:rsidP="00FC7613">
            <w:pPr>
              <w:tabs>
                <w:tab w:val="left" w:pos="142"/>
              </w:tabs>
              <w:spacing w:after="0"/>
              <w:ind w:firstLine="0"/>
              <w:jc w:val="left"/>
              <w:rPr>
                <w:rFonts w:ascii="Arial" w:hAnsi="Arial" w:cs="Arial"/>
                <w:bCs/>
                <w:color w:val="000000"/>
                <w:sz w:val="18"/>
                <w:szCs w:val="18"/>
                <w:lang w:val="es-ES" w:eastAsia="es-ES"/>
              </w:rPr>
            </w:pPr>
            <w:r w:rsidRPr="00820B96">
              <w:rPr>
                <w:rFonts w:ascii="Arial" w:hAnsi="Arial" w:cs="Arial"/>
                <w:bCs/>
                <w:color w:val="000000"/>
                <w:sz w:val="18"/>
                <w:szCs w:val="18"/>
                <w:lang w:val="es-ES" w:eastAsia="es-ES"/>
              </w:rPr>
              <w:t>Total</w:t>
            </w:r>
          </w:p>
        </w:tc>
        <w:tc>
          <w:tcPr>
            <w:tcW w:w="1276" w:type="dxa"/>
            <w:tcBorders>
              <w:top w:val="single" w:sz="4" w:space="0" w:color="auto"/>
              <w:left w:val="nil"/>
              <w:bottom w:val="single" w:sz="4" w:space="0" w:color="auto"/>
              <w:right w:val="nil"/>
            </w:tcBorders>
            <w:shd w:val="clear" w:color="auto" w:fill="FABF8F" w:themeFill="accent6" w:themeFillTint="99"/>
            <w:vAlign w:val="center"/>
          </w:tcPr>
          <w:p w14:paraId="2FB2CCE6" w14:textId="77777777" w:rsidR="00807992" w:rsidRPr="00820B96" w:rsidRDefault="00807992" w:rsidP="00FC7613">
            <w:pPr>
              <w:tabs>
                <w:tab w:val="left" w:pos="142"/>
              </w:tabs>
              <w:spacing w:after="0"/>
              <w:ind w:firstLine="0"/>
              <w:jc w:val="right"/>
              <w:rPr>
                <w:rFonts w:ascii="Arial" w:hAnsi="Arial" w:cs="Arial"/>
                <w:bCs/>
                <w:color w:val="000000"/>
                <w:sz w:val="18"/>
                <w:szCs w:val="18"/>
                <w:lang w:val="es-ES" w:eastAsia="es-ES"/>
              </w:rPr>
            </w:pPr>
            <w:r w:rsidRPr="00820B96">
              <w:rPr>
                <w:rFonts w:ascii="Arial" w:hAnsi="Arial" w:cs="Arial"/>
                <w:bCs/>
                <w:color w:val="000000"/>
                <w:sz w:val="18"/>
                <w:szCs w:val="18"/>
                <w:lang w:val="es-ES" w:eastAsia="es-ES"/>
              </w:rPr>
              <w:t>233</w:t>
            </w:r>
          </w:p>
        </w:tc>
        <w:tc>
          <w:tcPr>
            <w:tcW w:w="1418" w:type="dxa"/>
            <w:tcBorders>
              <w:top w:val="single" w:sz="4" w:space="0" w:color="auto"/>
              <w:left w:val="nil"/>
              <w:bottom w:val="single" w:sz="4" w:space="0" w:color="auto"/>
              <w:right w:val="nil"/>
            </w:tcBorders>
            <w:shd w:val="clear" w:color="auto" w:fill="FABF8F" w:themeFill="accent6" w:themeFillTint="99"/>
            <w:vAlign w:val="center"/>
          </w:tcPr>
          <w:p w14:paraId="796B6DD7" w14:textId="77777777" w:rsidR="00807992" w:rsidRPr="00820B96" w:rsidRDefault="00807992" w:rsidP="00FC7613">
            <w:pPr>
              <w:tabs>
                <w:tab w:val="left" w:pos="142"/>
              </w:tabs>
              <w:spacing w:after="0"/>
              <w:ind w:firstLine="0"/>
              <w:jc w:val="right"/>
              <w:rPr>
                <w:rFonts w:ascii="Arial" w:hAnsi="Arial" w:cs="Arial"/>
                <w:bCs/>
                <w:color w:val="000000"/>
                <w:sz w:val="18"/>
                <w:szCs w:val="18"/>
                <w:lang w:val="es-ES" w:eastAsia="es-ES"/>
              </w:rPr>
            </w:pPr>
            <w:r w:rsidRPr="00820B96">
              <w:rPr>
                <w:rFonts w:ascii="Arial" w:hAnsi="Arial" w:cs="Arial"/>
                <w:bCs/>
                <w:color w:val="000000"/>
                <w:sz w:val="18"/>
                <w:szCs w:val="18"/>
                <w:lang w:val="es-ES" w:eastAsia="es-ES"/>
              </w:rPr>
              <w:t>224</w:t>
            </w:r>
          </w:p>
        </w:tc>
        <w:tc>
          <w:tcPr>
            <w:tcW w:w="1134" w:type="dxa"/>
            <w:tcBorders>
              <w:top w:val="single" w:sz="4" w:space="0" w:color="auto"/>
              <w:left w:val="nil"/>
              <w:bottom w:val="single" w:sz="4" w:space="0" w:color="auto"/>
              <w:right w:val="nil"/>
            </w:tcBorders>
            <w:shd w:val="clear" w:color="auto" w:fill="FABF8F" w:themeFill="accent6" w:themeFillTint="99"/>
            <w:noWrap/>
            <w:vAlign w:val="center"/>
          </w:tcPr>
          <w:p w14:paraId="2961CC97" w14:textId="77777777" w:rsidR="00807992" w:rsidRPr="00820B96" w:rsidRDefault="00807992" w:rsidP="00FC7613">
            <w:pPr>
              <w:tabs>
                <w:tab w:val="left" w:pos="142"/>
              </w:tabs>
              <w:spacing w:after="0"/>
              <w:ind w:firstLine="0"/>
              <w:jc w:val="right"/>
              <w:rPr>
                <w:rFonts w:ascii="Arial" w:hAnsi="Arial" w:cs="Arial"/>
                <w:bCs/>
                <w:color w:val="000000"/>
                <w:sz w:val="18"/>
                <w:szCs w:val="18"/>
                <w:lang w:val="es-ES" w:eastAsia="es-ES"/>
              </w:rPr>
            </w:pPr>
            <w:r w:rsidRPr="00820B96">
              <w:rPr>
                <w:rFonts w:ascii="Arial" w:hAnsi="Arial" w:cs="Arial"/>
                <w:bCs/>
                <w:color w:val="000000"/>
                <w:sz w:val="18"/>
                <w:szCs w:val="18"/>
                <w:lang w:val="es-ES" w:eastAsia="es-ES"/>
              </w:rPr>
              <w:t>-9</w:t>
            </w:r>
          </w:p>
        </w:tc>
      </w:tr>
    </w:tbl>
    <w:p w14:paraId="1CC627CB" w14:textId="77777777" w:rsidR="0061740E" w:rsidRDefault="0061740E" w:rsidP="00807992">
      <w:pPr>
        <w:spacing w:after="120"/>
        <w:ind w:firstLine="284"/>
        <w:rPr>
          <w:spacing w:val="6"/>
          <w:sz w:val="26"/>
          <w:szCs w:val="24"/>
        </w:rPr>
      </w:pPr>
    </w:p>
    <w:p w14:paraId="78F14D5E" w14:textId="77777777" w:rsidR="00807992" w:rsidRDefault="00012340" w:rsidP="00807992">
      <w:pPr>
        <w:spacing w:after="120"/>
        <w:ind w:firstLine="284"/>
        <w:rPr>
          <w:spacing w:val="6"/>
          <w:sz w:val="26"/>
          <w:szCs w:val="24"/>
        </w:rPr>
      </w:pPr>
      <w:r>
        <w:rPr>
          <w:spacing w:val="6"/>
          <w:sz w:val="26"/>
          <w:szCs w:val="24"/>
        </w:rPr>
        <w:t>De los 224 puestos de plantilla, el 52</w:t>
      </w:r>
      <w:r w:rsidRPr="00012340">
        <w:rPr>
          <w:spacing w:val="6"/>
          <w:sz w:val="26"/>
          <w:szCs w:val="24"/>
        </w:rPr>
        <w:t xml:space="preserve"> por ciento son de régimen funcionarial,</w:t>
      </w:r>
      <w:r>
        <w:rPr>
          <w:spacing w:val="6"/>
          <w:sz w:val="26"/>
          <w:szCs w:val="24"/>
        </w:rPr>
        <w:t xml:space="preserve"> un 47</w:t>
      </w:r>
      <w:r w:rsidRPr="00012340">
        <w:rPr>
          <w:spacing w:val="6"/>
          <w:sz w:val="26"/>
          <w:szCs w:val="24"/>
        </w:rPr>
        <w:t xml:space="preserve"> por ciento de régimen laboral y el rest</w:t>
      </w:r>
      <w:r>
        <w:rPr>
          <w:spacing w:val="6"/>
          <w:sz w:val="26"/>
          <w:szCs w:val="24"/>
        </w:rPr>
        <w:t xml:space="preserve">ante uno por ciento es personal </w:t>
      </w:r>
      <w:r w:rsidRPr="00012340">
        <w:rPr>
          <w:spacing w:val="6"/>
          <w:sz w:val="26"/>
          <w:szCs w:val="24"/>
        </w:rPr>
        <w:t>eventual.</w:t>
      </w:r>
      <w:r>
        <w:rPr>
          <w:spacing w:val="6"/>
          <w:sz w:val="26"/>
          <w:szCs w:val="24"/>
        </w:rPr>
        <w:t xml:space="preserve"> </w:t>
      </w:r>
      <w:r w:rsidR="00CF62A2">
        <w:rPr>
          <w:spacing w:val="6"/>
          <w:sz w:val="26"/>
          <w:szCs w:val="24"/>
        </w:rPr>
        <w:t>En relación con</w:t>
      </w:r>
      <w:r w:rsidR="00807992">
        <w:rPr>
          <w:spacing w:val="6"/>
          <w:sz w:val="26"/>
          <w:szCs w:val="24"/>
        </w:rPr>
        <w:t xml:space="preserve"> </w:t>
      </w:r>
      <w:r>
        <w:rPr>
          <w:spacing w:val="6"/>
          <w:sz w:val="26"/>
          <w:szCs w:val="24"/>
        </w:rPr>
        <w:t xml:space="preserve">las variaciones entre las plantillas orgánicas, </w:t>
      </w:r>
      <w:r w:rsidR="00807992">
        <w:rPr>
          <w:spacing w:val="6"/>
          <w:sz w:val="26"/>
          <w:szCs w:val="24"/>
        </w:rPr>
        <w:t xml:space="preserve">no </w:t>
      </w:r>
      <w:r w:rsidR="003D644A">
        <w:rPr>
          <w:spacing w:val="6"/>
          <w:sz w:val="26"/>
          <w:szCs w:val="24"/>
        </w:rPr>
        <w:t>se justifica e</w:t>
      </w:r>
      <w:r w:rsidR="00807992">
        <w:rPr>
          <w:spacing w:val="6"/>
          <w:sz w:val="26"/>
          <w:szCs w:val="24"/>
        </w:rPr>
        <w:t xml:space="preserve">n el expediente. </w:t>
      </w:r>
    </w:p>
    <w:p w14:paraId="5C31F8F2" w14:textId="77777777" w:rsidR="00807992" w:rsidRDefault="00807992" w:rsidP="00807992">
      <w:pPr>
        <w:spacing w:after="120"/>
        <w:ind w:firstLine="284"/>
        <w:rPr>
          <w:spacing w:val="6"/>
          <w:sz w:val="26"/>
          <w:szCs w:val="24"/>
        </w:rPr>
      </w:pPr>
      <w:r w:rsidRPr="00290862">
        <w:rPr>
          <w:spacing w:val="6"/>
          <w:sz w:val="26"/>
          <w:szCs w:val="24"/>
        </w:rPr>
        <w:t>Según los datos incluidos en la Memoria, a cierre de 2021 el número de empleados de Escue</w:t>
      </w:r>
      <w:r w:rsidR="003D644A">
        <w:rPr>
          <w:spacing w:val="6"/>
          <w:sz w:val="26"/>
          <w:szCs w:val="24"/>
        </w:rPr>
        <w:t>las Infantiles era de 241, de lo</w:t>
      </w:r>
      <w:r w:rsidRPr="00290862">
        <w:rPr>
          <w:spacing w:val="6"/>
          <w:sz w:val="26"/>
          <w:szCs w:val="24"/>
        </w:rPr>
        <w:t>s que 182 se califican como “de plantilla” y 59 co</w:t>
      </w:r>
      <w:r w:rsidR="00012340">
        <w:rPr>
          <w:spacing w:val="6"/>
          <w:sz w:val="26"/>
          <w:szCs w:val="24"/>
        </w:rPr>
        <w:t>mo personal “de sustituciones”.</w:t>
      </w:r>
    </w:p>
    <w:p w14:paraId="0428480A" w14:textId="77777777" w:rsidR="00012340" w:rsidRPr="00012340" w:rsidRDefault="00EB3CE2" w:rsidP="00012340">
      <w:pPr>
        <w:spacing w:after="120"/>
        <w:ind w:firstLine="284"/>
        <w:rPr>
          <w:spacing w:val="6"/>
          <w:sz w:val="26"/>
          <w:szCs w:val="24"/>
        </w:rPr>
      </w:pPr>
      <w:r w:rsidRPr="00012340">
        <w:rPr>
          <w:spacing w:val="6"/>
          <w:sz w:val="26"/>
          <w:szCs w:val="24"/>
        </w:rPr>
        <w:t>El sistema de gestión de personal que el organismo utiliza no proporciona la información necesaria para correlacionar plazas y personas.</w:t>
      </w:r>
      <w:r>
        <w:rPr>
          <w:spacing w:val="6"/>
          <w:sz w:val="26"/>
          <w:szCs w:val="24"/>
        </w:rPr>
        <w:t xml:space="preserve"> </w:t>
      </w:r>
      <w:r w:rsidR="00012340" w:rsidRPr="00012340">
        <w:rPr>
          <w:spacing w:val="6"/>
          <w:sz w:val="26"/>
          <w:szCs w:val="24"/>
        </w:rPr>
        <w:t xml:space="preserve">Al respecto no podemos cuantificar </w:t>
      </w:r>
      <w:r w:rsidR="003D644A">
        <w:rPr>
          <w:spacing w:val="6"/>
          <w:sz w:val="26"/>
          <w:szCs w:val="24"/>
        </w:rPr>
        <w:t xml:space="preserve">el número </w:t>
      </w:r>
      <w:r w:rsidR="00012340" w:rsidRPr="00012340">
        <w:rPr>
          <w:spacing w:val="6"/>
          <w:sz w:val="26"/>
          <w:szCs w:val="24"/>
        </w:rPr>
        <w:t xml:space="preserve">de las vacantes de la plantilla orgánica </w:t>
      </w:r>
      <w:r>
        <w:rPr>
          <w:spacing w:val="6"/>
          <w:sz w:val="26"/>
          <w:szCs w:val="24"/>
        </w:rPr>
        <w:t xml:space="preserve">que </w:t>
      </w:r>
      <w:r w:rsidR="00012340" w:rsidRPr="00012340">
        <w:rPr>
          <w:spacing w:val="6"/>
          <w:sz w:val="26"/>
          <w:szCs w:val="24"/>
        </w:rPr>
        <w:t>están cubiertas debido a que existen puest</w:t>
      </w:r>
      <w:r>
        <w:rPr>
          <w:spacing w:val="6"/>
          <w:sz w:val="26"/>
          <w:szCs w:val="24"/>
        </w:rPr>
        <w:t xml:space="preserve">os y contratos a tiempo parcial, </w:t>
      </w:r>
      <w:r w:rsidR="00012340" w:rsidRPr="00012340">
        <w:rPr>
          <w:spacing w:val="6"/>
          <w:sz w:val="26"/>
          <w:szCs w:val="24"/>
        </w:rPr>
        <w:t>y a que muchos contratos no se asoci</w:t>
      </w:r>
      <w:r w:rsidR="00A017FE">
        <w:rPr>
          <w:spacing w:val="6"/>
          <w:sz w:val="26"/>
          <w:szCs w:val="24"/>
        </w:rPr>
        <w:t>an a plazas vacantes concretas</w:t>
      </w:r>
      <w:r w:rsidR="005C6553">
        <w:rPr>
          <w:spacing w:val="6"/>
          <w:sz w:val="26"/>
          <w:szCs w:val="24"/>
        </w:rPr>
        <w:t xml:space="preserve">. Esto </w:t>
      </w:r>
      <w:r w:rsidR="00A017FE">
        <w:rPr>
          <w:spacing w:val="6"/>
          <w:sz w:val="26"/>
          <w:szCs w:val="24"/>
        </w:rPr>
        <w:t xml:space="preserve">nos impide analizar y reflejar el estado de </w:t>
      </w:r>
      <w:r w:rsidR="00E11313">
        <w:rPr>
          <w:spacing w:val="6"/>
          <w:sz w:val="26"/>
          <w:szCs w:val="24"/>
        </w:rPr>
        <w:t>temporal</w:t>
      </w:r>
      <w:r>
        <w:rPr>
          <w:spacing w:val="6"/>
          <w:sz w:val="26"/>
          <w:szCs w:val="24"/>
        </w:rPr>
        <w:t>idad</w:t>
      </w:r>
      <w:r w:rsidR="00E11313">
        <w:rPr>
          <w:spacing w:val="6"/>
          <w:sz w:val="26"/>
          <w:szCs w:val="24"/>
        </w:rPr>
        <w:t xml:space="preserve"> de </w:t>
      </w:r>
      <w:r w:rsidR="00A017FE">
        <w:rPr>
          <w:spacing w:val="6"/>
          <w:sz w:val="26"/>
          <w:szCs w:val="24"/>
        </w:rPr>
        <w:t xml:space="preserve">la plantilla a diferencia del ayuntamiento y la gerencia de urbanismo. </w:t>
      </w:r>
    </w:p>
    <w:p w14:paraId="18605F3B" w14:textId="77777777" w:rsidR="00807992" w:rsidRPr="00667DFF" w:rsidRDefault="00807992" w:rsidP="00807992">
      <w:pPr>
        <w:spacing w:after="120"/>
        <w:ind w:firstLine="284"/>
        <w:rPr>
          <w:i/>
          <w:spacing w:val="6"/>
          <w:sz w:val="26"/>
          <w:szCs w:val="24"/>
        </w:rPr>
      </w:pPr>
      <w:r w:rsidRPr="00667DFF">
        <w:rPr>
          <w:i/>
          <w:spacing w:val="6"/>
          <w:sz w:val="26"/>
          <w:szCs w:val="24"/>
        </w:rPr>
        <w:t>OPE y tasa de reposición y tasa de estabilización de empleo temporal</w:t>
      </w:r>
    </w:p>
    <w:p w14:paraId="44322BBB" w14:textId="77777777" w:rsidR="00807992" w:rsidRDefault="00807992" w:rsidP="00807992">
      <w:pPr>
        <w:spacing w:after="120"/>
        <w:ind w:firstLine="284"/>
        <w:rPr>
          <w:spacing w:val="6"/>
          <w:sz w:val="26"/>
          <w:szCs w:val="24"/>
        </w:rPr>
      </w:pPr>
      <w:r w:rsidRPr="00667DFF">
        <w:rPr>
          <w:spacing w:val="6"/>
          <w:sz w:val="26"/>
          <w:szCs w:val="24"/>
        </w:rPr>
        <w:t xml:space="preserve">La OPE de </w:t>
      </w:r>
      <w:r>
        <w:rPr>
          <w:spacing w:val="6"/>
          <w:sz w:val="26"/>
          <w:szCs w:val="24"/>
        </w:rPr>
        <w:t>2021 f</w:t>
      </w:r>
      <w:r w:rsidRPr="00667DFF">
        <w:rPr>
          <w:spacing w:val="6"/>
          <w:sz w:val="26"/>
          <w:szCs w:val="24"/>
        </w:rPr>
        <w:t xml:space="preserve">ue aprobada </w:t>
      </w:r>
      <w:r w:rsidR="003D644A">
        <w:rPr>
          <w:spacing w:val="6"/>
          <w:sz w:val="26"/>
          <w:szCs w:val="24"/>
        </w:rPr>
        <w:t>por su Junta de Gobierno el diez</w:t>
      </w:r>
      <w:r>
        <w:rPr>
          <w:spacing w:val="6"/>
          <w:sz w:val="26"/>
          <w:szCs w:val="24"/>
        </w:rPr>
        <w:t xml:space="preserve"> de diciembre de 2021 </w:t>
      </w:r>
      <w:r w:rsidRPr="00667DFF">
        <w:rPr>
          <w:spacing w:val="6"/>
          <w:sz w:val="26"/>
          <w:szCs w:val="24"/>
        </w:rPr>
        <w:t xml:space="preserve">y publicada en el BON de fecha </w:t>
      </w:r>
      <w:r>
        <w:rPr>
          <w:spacing w:val="6"/>
          <w:sz w:val="26"/>
          <w:szCs w:val="24"/>
        </w:rPr>
        <w:t>siete de enero de 2022</w:t>
      </w:r>
      <w:r w:rsidRPr="00667DFF">
        <w:rPr>
          <w:spacing w:val="6"/>
          <w:sz w:val="26"/>
          <w:szCs w:val="24"/>
        </w:rPr>
        <w:t>, incluyendo 5</w:t>
      </w:r>
      <w:r>
        <w:rPr>
          <w:spacing w:val="6"/>
          <w:sz w:val="26"/>
          <w:szCs w:val="24"/>
        </w:rPr>
        <w:t>1</w:t>
      </w:r>
      <w:r w:rsidRPr="00667DFF">
        <w:rPr>
          <w:spacing w:val="6"/>
          <w:sz w:val="26"/>
          <w:szCs w:val="24"/>
        </w:rPr>
        <w:t xml:space="preserve"> plazas, de las que </w:t>
      </w:r>
      <w:r w:rsidR="00012340">
        <w:rPr>
          <w:spacing w:val="6"/>
          <w:sz w:val="26"/>
          <w:szCs w:val="24"/>
        </w:rPr>
        <w:t>cuatro</w:t>
      </w:r>
      <w:r>
        <w:rPr>
          <w:spacing w:val="6"/>
          <w:sz w:val="26"/>
          <w:szCs w:val="24"/>
        </w:rPr>
        <w:t xml:space="preserve"> </w:t>
      </w:r>
      <w:r w:rsidRPr="00667DFF">
        <w:rPr>
          <w:spacing w:val="6"/>
          <w:sz w:val="26"/>
          <w:szCs w:val="24"/>
        </w:rPr>
        <w:t xml:space="preserve">corresponden a tasa de reposición y </w:t>
      </w:r>
      <w:r w:rsidR="00012340">
        <w:rPr>
          <w:spacing w:val="6"/>
          <w:sz w:val="26"/>
          <w:szCs w:val="24"/>
        </w:rPr>
        <w:t xml:space="preserve">47 </w:t>
      </w:r>
      <w:r>
        <w:rPr>
          <w:spacing w:val="6"/>
          <w:sz w:val="26"/>
          <w:szCs w:val="24"/>
        </w:rPr>
        <w:t>a tasa de estabilización</w:t>
      </w:r>
      <w:r w:rsidR="005C6553">
        <w:rPr>
          <w:spacing w:val="6"/>
          <w:sz w:val="26"/>
          <w:szCs w:val="24"/>
        </w:rPr>
        <w:t>.</w:t>
      </w:r>
      <w:r>
        <w:rPr>
          <w:spacing w:val="6"/>
          <w:sz w:val="26"/>
          <w:szCs w:val="24"/>
        </w:rPr>
        <w:t xml:space="preserve"> </w:t>
      </w:r>
      <w:r w:rsidR="005C6553">
        <w:rPr>
          <w:spacing w:val="6"/>
          <w:sz w:val="26"/>
          <w:szCs w:val="24"/>
        </w:rPr>
        <w:t>A l</w:t>
      </w:r>
      <w:r>
        <w:rPr>
          <w:spacing w:val="6"/>
          <w:sz w:val="26"/>
          <w:szCs w:val="24"/>
        </w:rPr>
        <w:t xml:space="preserve">a fecha de </w:t>
      </w:r>
      <w:r w:rsidR="00DF0BDD">
        <w:rPr>
          <w:spacing w:val="6"/>
          <w:sz w:val="26"/>
          <w:szCs w:val="24"/>
        </w:rPr>
        <w:t xml:space="preserve">finalización del trabajo de campo </w:t>
      </w:r>
      <w:r>
        <w:rPr>
          <w:spacing w:val="6"/>
          <w:sz w:val="26"/>
          <w:szCs w:val="24"/>
        </w:rPr>
        <w:t xml:space="preserve">de este informe </w:t>
      </w:r>
      <w:r w:rsidR="005C6553">
        <w:rPr>
          <w:spacing w:val="6"/>
          <w:sz w:val="26"/>
          <w:szCs w:val="24"/>
        </w:rPr>
        <w:t>no se ha</w:t>
      </w:r>
      <w:r>
        <w:rPr>
          <w:spacing w:val="6"/>
          <w:sz w:val="26"/>
          <w:szCs w:val="24"/>
        </w:rPr>
        <w:t xml:space="preserve"> </w:t>
      </w:r>
      <w:r w:rsidR="003D644A">
        <w:rPr>
          <w:spacing w:val="6"/>
          <w:sz w:val="26"/>
          <w:szCs w:val="24"/>
        </w:rPr>
        <w:t>aprobado ninguna c</w:t>
      </w:r>
      <w:r>
        <w:rPr>
          <w:spacing w:val="6"/>
          <w:sz w:val="26"/>
          <w:szCs w:val="24"/>
        </w:rPr>
        <w:t xml:space="preserve">onvocatoria para cubrir las plazas correspondientes. </w:t>
      </w:r>
    </w:p>
    <w:p w14:paraId="53C481D8" w14:textId="77777777" w:rsidR="00807992" w:rsidRPr="00E808CF" w:rsidRDefault="00807992" w:rsidP="00807992">
      <w:pPr>
        <w:spacing w:after="120"/>
        <w:ind w:firstLine="284"/>
        <w:rPr>
          <w:spacing w:val="6"/>
          <w:sz w:val="26"/>
          <w:szCs w:val="24"/>
        </w:rPr>
      </w:pPr>
      <w:r>
        <w:rPr>
          <w:spacing w:val="6"/>
          <w:sz w:val="26"/>
          <w:szCs w:val="24"/>
        </w:rPr>
        <w:lastRenderedPageBreak/>
        <w:t>Hemos verificado si las plazas incluidas</w:t>
      </w:r>
      <w:r w:rsidRPr="00667DFF">
        <w:rPr>
          <w:spacing w:val="6"/>
          <w:sz w:val="26"/>
          <w:szCs w:val="24"/>
        </w:rPr>
        <w:t xml:space="preserve"> </w:t>
      </w:r>
      <w:r>
        <w:rPr>
          <w:spacing w:val="6"/>
          <w:sz w:val="26"/>
          <w:szCs w:val="24"/>
        </w:rPr>
        <w:t xml:space="preserve">en la OPE </w:t>
      </w:r>
      <w:r w:rsidRPr="00667DFF">
        <w:rPr>
          <w:spacing w:val="6"/>
          <w:sz w:val="26"/>
          <w:szCs w:val="24"/>
        </w:rPr>
        <w:t>cumplía</w:t>
      </w:r>
      <w:r>
        <w:rPr>
          <w:spacing w:val="6"/>
          <w:sz w:val="26"/>
          <w:szCs w:val="24"/>
        </w:rPr>
        <w:t>n</w:t>
      </w:r>
      <w:r w:rsidRPr="00667DFF">
        <w:rPr>
          <w:spacing w:val="6"/>
          <w:sz w:val="26"/>
          <w:szCs w:val="24"/>
        </w:rPr>
        <w:t xml:space="preserve"> los req</w:t>
      </w:r>
      <w:r>
        <w:rPr>
          <w:spacing w:val="6"/>
          <w:sz w:val="26"/>
          <w:szCs w:val="24"/>
        </w:rPr>
        <w:t xml:space="preserve">uisitos </w:t>
      </w:r>
      <w:r w:rsidRPr="00E808CF">
        <w:rPr>
          <w:spacing w:val="6"/>
          <w:sz w:val="26"/>
          <w:szCs w:val="24"/>
        </w:rPr>
        <w:t>contemplados en la Ley de Presupuestos Generales del Estado para 2021 y hemos observado lo siguiente:</w:t>
      </w:r>
    </w:p>
    <w:p w14:paraId="34B61E4D" w14:textId="77777777" w:rsidR="00807992" w:rsidRPr="00FC7613" w:rsidRDefault="00807992" w:rsidP="00FC7613">
      <w:pPr>
        <w:numPr>
          <w:ilvl w:val="0"/>
          <w:numId w:val="10"/>
        </w:numPr>
        <w:tabs>
          <w:tab w:val="num" w:pos="284"/>
          <w:tab w:val="num" w:pos="600"/>
          <w:tab w:val="num" w:pos="720"/>
          <w:tab w:val="num" w:pos="1320"/>
        </w:tabs>
        <w:spacing w:before="200" w:after="160"/>
        <w:ind w:firstLine="284"/>
        <w:rPr>
          <w:sz w:val="26"/>
          <w:szCs w:val="26"/>
        </w:rPr>
      </w:pPr>
      <w:r w:rsidRPr="00FC7613">
        <w:rPr>
          <w:sz w:val="26"/>
          <w:szCs w:val="26"/>
        </w:rPr>
        <w:t xml:space="preserve">En relación con las cuatro plazas que se contemplan como tasas de reposición, solamente cumplen los requisitos tres de ellas. </w:t>
      </w:r>
    </w:p>
    <w:p w14:paraId="49B539DA" w14:textId="77777777" w:rsidR="005323AE" w:rsidRDefault="003739CB" w:rsidP="00FC7613">
      <w:pPr>
        <w:numPr>
          <w:ilvl w:val="0"/>
          <w:numId w:val="10"/>
        </w:numPr>
        <w:tabs>
          <w:tab w:val="num" w:pos="284"/>
          <w:tab w:val="num" w:pos="600"/>
          <w:tab w:val="num" w:pos="720"/>
          <w:tab w:val="num" w:pos="1320"/>
        </w:tabs>
        <w:spacing w:before="200" w:after="160"/>
        <w:ind w:firstLine="284"/>
        <w:rPr>
          <w:sz w:val="26"/>
          <w:szCs w:val="26"/>
        </w:rPr>
      </w:pPr>
      <w:r>
        <w:rPr>
          <w:sz w:val="26"/>
          <w:szCs w:val="26"/>
        </w:rPr>
        <w:t xml:space="preserve">Dentro de </w:t>
      </w:r>
      <w:r w:rsidR="00807992" w:rsidRPr="00012340">
        <w:rPr>
          <w:sz w:val="26"/>
          <w:szCs w:val="26"/>
        </w:rPr>
        <w:t xml:space="preserve">las 47 plazas que </w:t>
      </w:r>
      <w:r w:rsidR="006F11C1">
        <w:rPr>
          <w:sz w:val="26"/>
          <w:szCs w:val="26"/>
        </w:rPr>
        <w:t xml:space="preserve">han previsto como </w:t>
      </w:r>
      <w:r w:rsidR="00807992" w:rsidRPr="00012340">
        <w:rPr>
          <w:sz w:val="26"/>
          <w:szCs w:val="26"/>
        </w:rPr>
        <w:t>tasa de estabilización</w:t>
      </w:r>
      <w:r w:rsidR="006F11C1">
        <w:rPr>
          <w:sz w:val="26"/>
          <w:szCs w:val="26"/>
        </w:rPr>
        <w:t xml:space="preserve"> de empleo temporal</w:t>
      </w:r>
      <w:r w:rsidR="00807992" w:rsidRPr="00012340">
        <w:rPr>
          <w:sz w:val="26"/>
          <w:szCs w:val="26"/>
        </w:rPr>
        <w:t>, se han incluido 16 plazas correspondientes a puestos de nueva creación por nuevas necesidades</w:t>
      </w:r>
      <w:r w:rsidR="009302BE">
        <w:rPr>
          <w:rStyle w:val="Refdenotaalpie"/>
          <w:sz w:val="26"/>
          <w:szCs w:val="26"/>
        </w:rPr>
        <w:footnoteReference w:id="9"/>
      </w:r>
      <w:r w:rsidR="00807992" w:rsidRPr="00012340">
        <w:rPr>
          <w:sz w:val="26"/>
          <w:szCs w:val="26"/>
        </w:rPr>
        <w:t xml:space="preserve">. Al respecto indicamos que las plazas de nueva creación no pueden incluirse en OPE de tasas de estabilización de plantillas, sino que debe ser </w:t>
      </w:r>
      <w:r w:rsidR="00012340">
        <w:rPr>
          <w:sz w:val="26"/>
          <w:szCs w:val="26"/>
        </w:rPr>
        <w:t xml:space="preserve">objeto de una OPE </w:t>
      </w:r>
      <w:r w:rsidR="005323AE">
        <w:rPr>
          <w:sz w:val="26"/>
          <w:szCs w:val="26"/>
        </w:rPr>
        <w:t>diferenciada, siempre que estas plazas estén contempladas en la plantilla orgánica y cuenten con dotación presupuestaria. I</w:t>
      </w:r>
      <w:r w:rsidR="00012340">
        <w:rPr>
          <w:sz w:val="26"/>
          <w:szCs w:val="26"/>
        </w:rPr>
        <w:t xml:space="preserve">ndicamos que </w:t>
      </w:r>
      <w:r w:rsidR="005323AE">
        <w:rPr>
          <w:sz w:val="26"/>
          <w:szCs w:val="26"/>
        </w:rPr>
        <w:t>la cobertura presupuestaria y la dotación en la plantilla orgánica se contempla en los presupuestos y plantilla de 2022.</w:t>
      </w:r>
    </w:p>
    <w:p w14:paraId="48793DC8" w14:textId="77777777" w:rsidR="00807992" w:rsidRPr="00012340" w:rsidRDefault="00807992" w:rsidP="00012340">
      <w:pPr>
        <w:spacing w:after="120"/>
        <w:ind w:firstLine="284"/>
        <w:rPr>
          <w:spacing w:val="6"/>
          <w:sz w:val="26"/>
          <w:szCs w:val="24"/>
        </w:rPr>
      </w:pPr>
      <w:r w:rsidRPr="00012340">
        <w:rPr>
          <w:spacing w:val="6"/>
          <w:sz w:val="26"/>
          <w:szCs w:val="24"/>
        </w:rPr>
        <w:t xml:space="preserve">Asimismo, se han </w:t>
      </w:r>
      <w:r w:rsidR="003739CB">
        <w:rPr>
          <w:spacing w:val="6"/>
          <w:sz w:val="26"/>
          <w:szCs w:val="24"/>
        </w:rPr>
        <w:t xml:space="preserve">incluido </w:t>
      </w:r>
      <w:r w:rsidRPr="00012340">
        <w:rPr>
          <w:spacing w:val="6"/>
          <w:sz w:val="26"/>
          <w:szCs w:val="24"/>
        </w:rPr>
        <w:t>27 plazas cad</w:t>
      </w:r>
      <w:r w:rsidR="00012340">
        <w:rPr>
          <w:spacing w:val="6"/>
          <w:sz w:val="26"/>
          <w:szCs w:val="24"/>
        </w:rPr>
        <w:t>ucadas de la OPE 2017 sin que</w:t>
      </w:r>
      <w:r w:rsidRPr="00012340">
        <w:rPr>
          <w:spacing w:val="6"/>
          <w:sz w:val="26"/>
          <w:szCs w:val="24"/>
        </w:rPr>
        <w:t xml:space="preserve"> conste análisis del cumplimiento de antigüedad, por lo que no podemos verificar el cumplimiento de los requisitos exigidos debido a que no están identificadas individualmente y, como se ha señalado anteriormente, los contratos no se vinculan, en muchos casos, con plazas vacantes concretas.</w:t>
      </w:r>
    </w:p>
    <w:p w14:paraId="6E43F679" w14:textId="77777777" w:rsidR="00807992" w:rsidRDefault="00012340" w:rsidP="00012340">
      <w:pPr>
        <w:numPr>
          <w:ilvl w:val="0"/>
          <w:numId w:val="10"/>
        </w:numPr>
        <w:tabs>
          <w:tab w:val="num" w:pos="284"/>
          <w:tab w:val="num" w:pos="600"/>
          <w:tab w:val="num" w:pos="720"/>
          <w:tab w:val="num" w:pos="1320"/>
        </w:tabs>
        <w:spacing w:before="200" w:after="160"/>
        <w:ind w:firstLine="284"/>
        <w:rPr>
          <w:sz w:val="26"/>
          <w:szCs w:val="26"/>
        </w:rPr>
      </w:pPr>
      <w:r>
        <w:rPr>
          <w:sz w:val="26"/>
          <w:szCs w:val="26"/>
        </w:rPr>
        <w:t>En aplicación de l</w:t>
      </w:r>
      <w:r w:rsidR="00807992" w:rsidRPr="00012340">
        <w:rPr>
          <w:sz w:val="26"/>
          <w:szCs w:val="26"/>
        </w:rPr>
        <w:t xml:space="preserve">a Ley 20/2021 anteriormente citada en el apartado 5.4.1 del informe, </w:t>
      </w:r>
      <w:r>
        <w:rPr>
          <w:sz w:val="26"/>
          <w:szCs w:val="26"/>
        </w:rPr>
        <w:t>se ha aproba</w:t>
      </w:r>
      <w:r w:rsidR="00807992" w:rsidRPr="00012340">
        <w:rPr>
          <w:sz w:val="26"/>
          <w:szCs w:val="26"/>
        </w:rPr>
        <w:t xml:space="preserve">do </w:t>
      </w:r>
      <w:r>
        <w:rPr>
          <w:sz w:val="26"/>
          <w:szCs w:val="26"/>
        </w:rPr>
        <w:t xml:space="preserve">por </w:t>
      </w:r>
      <w:r w:rsidR="00807992" w:rsidRPr="00012340">
        <w:rPr>
          <w:sz w:val="26"/>
          <w:szCs w:val="26"/>
        </w:rPr>
        <w:t>la Junta de Gobierno del organismo una OPE el 12 de mayo de 2022 de estabilización extraordinaria en la que se contempla</w:t>
      </w:r>
      <w:r>
        <w:rPr>
          <w:sz w:val="26"/>
          <w:szCs w:val="26"/>
        </w:rPr>
        <w:t xml:space="preserve">n 78 plazas. Este </w:t>
      </w:r>
      <w:r w:rsidR="00807992" w:rsidRPr="00012340">
        <w:rPr>
          <w:sz w:val="26"/>
          <w:szCs w:val="26"/>
        </w:rPr>
        <w:t xml:space="preserve">acuerdo está recurrido. </w:t>
      </w:r>
    </w:p>
    <w:p w14:paraId="40537179" w14:textId="77777777" w:rsidR="00807992" w:rsidRPr="00B8008C" w:rsidRDefault="00807992" w:rsidP="00FC7613">
      <w:pPr>
        <w:pStyle w:val="texto"/>
      </w:pPr>
      <w:bookmarkStart w:id="162" w:name="_Toc118266041"/>
      <w:r w:rsidRPr="00B8008C">
        <w:t>5.5.</w:t>
      </w:r>
      <w:r w:rsidR="005D692D">
        <w:t>2</w:t>
      </w:r>
      <w:r w:rsidRPr="00B8008C">
        <w:t xml:space="preserve">. </w:t>
      </w:r>
      <w:r>
        <w:t>Gerencia de Urbanismo</w:t>
      </w:r>
      <w:bookmarkEnd w:id="162"/>
    </w:p>
    <w:p w14:paraId="5C350FFD" w14:textId="77777777" w:rsidR="00807992" w:rsidRDefault="00807992" w:rsidP="00807992">
      <w:pPr>
        <w:spacing w:after="120"/>
        <w:ind w:firstLine="284"/>
        <w:rPr>
          <w:spacing w:val="6"/>
          <w:sz w:val="26"/>
          <w:szCs w:val="24"/>
        </w:rPr>
      </w:pPr>
      <w:r>
        <w:rPr>
          <w:i/>
          <w:spacing w:val="6"/>
          <w:sz w:val="26"/>
          <w:szCs w:val="24"/>
        </w:rPr>
        <w:t>Plantilla orgánica</w:t>
      </w:r>
    </w:p>
    <w:p w14:paraId="7AB33F5D" w14:textId="77777777" w:rsidR="00807992" w:rsidRPr="00667DFF" w:rsidRDefault="00807992" w:rsidP="00807992">
      <w:pPr>
        <w:tabs>
          <w:tab w:val="left" w:pos="284"/>
          <w:tab w:val="num" w:pos="4046"/>
        </w:tabs>
        <w:spacing w:after="180"/>
        <w:ind w:firstLine="284"/>
        <w:rPr>
          <w:rFonts w:cs="Arial"/>
          <w:spacing w:val="6"/>
          <w:sz w:val="26"/>
          <w:szCs w:val="24"/>
        </w:rPr>
      </w:pPr>
      <w:r w:rsidRPr="00667DFF">
        <w:rPr>
          <w:rFonts w:cs="Arial"/>
          <w:spacing w:val="6"/>
          <w:sz w:val="26"/>
          <w:szCs w:val="24"/>
        </w:rPr>
        <w:t xml:space="preserve">La plantilla orgánica del organismo autónomo Gerencia de Urbanismo fue aprobada definitivamente y publicada en </w:t>
      </w:r>
      <w:r w:rsidRPr="00433929">
        <w:rPr>
          <w:rFonts w:cs="Arial"/>
          <w:spacing w:val="6"/>
          <w:sz w:val="26"/>
          <w:szCs w:val="24"/>
        </w:rPr>
        <w:t xml:space="preserve">el BON de 13 de abril de </w:t>
      </w:r>
      <w:r>
        <w:rPr>
          <w:rFonts w:cs="Arial"/>
          <w:spacing w:val="6"/>
          <w:sz w:val="26"/>
          <w:szCs w:val="24"/>
        </w:rPr>
        <w:t xml:space="preserve">2021, habiéndose publicado en 10 de abril de 2021 una corrección de errores. </w:t>
      </w:r>
    </w:p>
    <w:p w14:paraId="4992C68D" w14:textId="77777777" w:rsidR="00807992" w:rsidRDefault="00807992" w:rsidP="00807992">
      <w:pPr>
        <w:spacing w:after="120"/>
        <w:ind w:firstLine="284"/>
        <w:rPr>
          <w:spacing w:val="6"/>
          <w:sz w:val="26"/>
          <w:szCs w:val="24"/>
        </w:rPr>
      </w:pPr>
      <w:r w:rsidRPr="00667DFF">
        <w:rPr>
          <w:spacing w:val="6"/>
          <w:sz w:val="26"/>
          <w:szCs w:val="24"/>
        </w:rPr>
        <w:t>Atendiendo al régimen jurídico, los puestos inclu</w:t>
      </w:r>
      <w:r>
        <w:rPr>
          <w:spacing w:val="6"/>
          <w:sz w:val="26"/>
          <w:szCs w:val="24"/>
        </w:rPr>
        <w:t>i</w:t>
      </w:r>
      <w:r w:rsidRPr="00667DFF">
        <w:rPr>
          <w:spacing w:val="6"/>
          <w:sz w:val="26"/>
          <w:szCs w:val="24"/>
        </w:rPr>
        <w:t>dos en la misma fueron los siguientes:</w:t>
      </w:r>
    </w:p>
    <w:tbl>
      <w:tblPr>
        <w:tblW w:w="8789" w:type="dxa"/>
        <w:tblCellMar>
          <w:left w:w="70" w:type="dxa"/>
          <w:right w:w="70" w:type="dxa"/>
        </w:tblCellMar>
        <w:tblLook w:val="04A0" w:firstRow="1" w:lastRow="0" w:firstColumn="1" w:lastColumn="0" w:noHBand="0" w:noVBand="1"/>
      </w:tblPr>
      <w:tblGrid>
        <w:gridCol w:w="5670"/>
        <w:gridCol w:w="993"/>
        <w:gridCol w:w="992"/>
        <w:gridCol w:w="1134"/>
      </w:tblGrid>
      <w:tr w:rsidR="006F11C1" w:rsidRPr="006F11C1" w14:paraId="06828A22" w14:textId="77777777" w:rsidTr="00310EA7">
        <w:trPr>
          <w:trHeight w:val="255"/>
        </w:trPr>
        <w:tc>
          <w:tcPr>
            <w:tcW w:w="5670" w:type="dxa"/>
            <w:tcBorders>
              <w:top w:val="single" w:sz="4" w:space="0" w:color="auto"/>
              <w:left w:val="nil"/>
              <w:bottom w:val="single" w:sz="4" w:space="0" w:color="auto"/>
              <w:right w:val="nil"/>
            </w:tcBorders>
            <w:shd w:val="clear" w:color="000000" w:fill="FABF8F"/>
            <w:noWrap/>
            <w:vAlign w:val="center"/>
            <w:hideMark/>
          </w:tcPr>
          <w:p w14:paraId="1ED7DB21" w14:textId="77777777" w:rsidR="006F11C1" w:rsidRPr="006F11C1" w:rsidRDefault="006F11C1" w:rsidP="006F11C1">
            <w:pPr>
              <w:spacing w:after="0"/>
              <w:ind w:firstLine="0"/>
              <w:jc w:val="left"/>
              <w:rPr>
                <w:rFonts w:ascii="Arial" w:hAnsi="Arial" w:cs="Arial"/>
                <w:color w:val="000000"/>
                <w:sz w:val="18"/>
                <w:szCs w:val="18"/>
                <w:lang w:val="es-ES" w:eastAsia="es-ES"/>
              </w:rPr>
            </w:pPr>
            <w:r w:rsidRPr="006F11C1">
              <w:rPr>
                <w:rFonts w:ascii="Arial" w:hAnsi="Arial" w:cs="Arial"/>
                <w:color w:val="000000"/>
                <w:sz w:val="18"/>
                <w:szCs w:val="18"/>
                <w:lang w:val="es-ES" w:eastAsia="es-ES"/>
              </w:rPr>
              <w:t>Régimen</w:t>
            </w:r>
          </w:p>
        </w:tc>
        <w:tc>
          <w:tcPr>
            <w:tcW w:w="993" w:type="dxa"/>
            <w:tcBorders>
              <w:top w:val="single" w:sz="4" w:space="0" w:color="auto"/>
              <w:left w:val="nil"/>
              <w:bottom w:val="single" w:sz="4" w:space="0" w:color="auto"/>
              <w:right w:val="nil"/>
            </w:tcBorders>
            <w:shd w:val="clear" w:color="000000" w:fill="FABF8F"/>
            <w:vAlign w:val="center"/>
            <w:hideMark/>
          </w:tcPr>
          <w:p w14:paraId="59FE348A" w14:textId="77777777" w:rsidR="006F11C1" w:rsidRPr="006F11C1" w:rsidRDefault="006F11C1" w:rsidP="006F11C1">
            <w:pPr>
              <w:spacing w:after="0"/>
              <w:ind w:firstLine="0"/>
              <w:jc w:val="right"/>
              <w:rPr>
                <w:rFonts w:ascii="Arial" w:hAnsi="Arial" w:cs="Arial"/>
                <w:color w:val="000000"/>
                <w:sz w:val="18"/>
                <w:szCs w:val="18"/>
                <w:lang w:val="es-ES" w:eastAsia="es-ES"/>
              </w:rPr>
            </w:pPr>
            <w:r w:rsidRPr="006F11C1">
              <w:rPr>
                <w:rFonts w:ascii="Arial" w:hAnsi="Arial" w:cs="Arial"/>
                <w:color w:val="000000"/>
                <w:sz w:val="18"/>
                <w:szCs w:val="18"/>
                <w:lang w:val="es-ES" w:eastAsia="es-ES"/>
              </w:rPr>
              <w:t>2020</w:t>
            </w:r>
          </w:p>
        </w:tc>
        <w:tc>
          <w:tcPr>
            <w:tcW w:w="992" w:type="dxa"/>
            <w:tcBorders>
              <w:top w:val="single" w:sz="4" w:space="0" w:color="auto"/>
              <w:left w:val="nil"/>
              <w:bottom w:val="single" w:sz="4" w:space="0" w:color="auto"/>
              <w:right w:val="nil"/>
            </w:tcBorders>
            <w:shd w:val="clear" w:color="000000" w:fill="FABF8F"/>
            <w:vAlign w:val="center"/>
            <w:hideMark/>
          </w:tcPr>
          <w:p w14:paraId="08326AC7" w14:textId="77777777" w:rsidR="006F11C1" w:rsidRPr="006F11C1" w:rsidRDefault="006F11C1" w:rsidP="006F11C1">
            <w:pPr>
              <w:spacing w:after="0"/>
              <w:ind w:firstLine="0"/>
              <w:jc w:val="right"/>
              <w:rPr>
                <w:rFonts w:ascii="Arial" w:hAnsi="Arial" w:cs="Arial"/>
                <w:color w:val="000000"/>
                <w:sz w:val="18"/>
                <w:szCs w:val="18"/>
                <w:lang w:val="es-ES" w:eastAsia="es-ES"/>
              </w:rPr>
            </w:pPr>
            <w:r w:rsidRPr="006F11C1">
              <w:rPr>
                <w:rFonts w:ascii="Arial" w:hAnsi="Arial" w:cs="Arial"/>
                <w:color w:val="000000"/>
                <w:sz w:val="18"/>
                <w:szCs w:val="18"/>
                <w:lang w:val="es-ES" w:eastAsia="es-ES"/>
              </w:rPr>
              <w:t>2021</w:t>
            </w:r>
          </w:p>
        </w:tc>
        <w:tc>
          <w:tcPr>
            <w:tcW w:w="1134" w:type="dxa"/>
            <w:tcBorders>
              <w:top w:val="single" w:sz="4" w:space="0" w:color="auto"/>
              <w:left w:val="nil"/>
              <w:bottom w:val="single" w:sz="4" w:space="0" w:color="auto"/>
              <w:right w:val="nil"/>
            </w:tcBorders>
            <w:shd w:val="clear" w:color="000000" w:fill="FABF8F"/>
            <w:noWrap/>
            <w:vAlign w:val="center"/>
            <w:hideMark/>
          </w:tcPr>
          <w:p w14:paraId="11370334" w14:textId="77777777" w:rsidR="006F11C1" w:rsidRPr="006F11C1" w:rsidRDefault="006F11C1" w:rsidP="006F11C1">
            <w:pPr>
              <w:spacing w:after="0"/>
              <w:ind w:firstLine="0"/>
              <w:jc w:val="right"/>
              <w:rPr>
                <w:rFonts w:ascii="Arial" w:hAnsi="Arial" w:cs="Arial"/>
                <w:color w:val="000000"/>
                <w:sz w:val="18"/>
                <w:szCs w:val="18"/>
                <w:lang w:val="es-ES" w:eastAsia="es-ES"/>
              </w:rPr>
            </w:pPr>
            <w:r w:rsidRPr="006F11C1">
              <w:rPr>
                <w:rFonts w:ascii="Arial" w:hAnsi="Arial" w:cs="Arial"/>
                <w:color w:val="000000"/>
                <w:sz w:val="18"/>
                <w:szCs w:val="18"/>
                <w:lang w:val="es-ES" w:eastAsia="es-ES"/>
              </w:rPr>
              <w:t>Diferencia</w:t>
            </w:r>
          </w:p>
        </w:tc>
      </w:tr>
      <w:tr w:rsidR="006F11C1" w:rsidRPr="006F11C1" w14:paraId="41EA1110" w14:textId="77777777" w:rsidTr="00310EA7">
        <w:trPr>
          <w:trHeight w:val="198"/>
        </w:trPr>
        <w:tc>
          <w:tcPr>
            <w:tcW w:w="5670" w:type="dxa"/>
            <w:tcBorders>
              <w:top w:val="single" w:sz="4" w:space="0" w:color="auto"/>
              <w:left w:val="nil"/>
              <w:bottom w:val="single" w:sz="2" w:space="0" w:color="auto"/>
              <w:right w:val="nil"/>
            </w:tcBorders>
            <w:shd w:val="clear" w:color="000000" w:fill="FFFFFF"/>
            <w:noWrap/>
            <w:vAlign w:val="center"/>
            <w:hideMark/>
          </w:tcPr>
          <w:p w14:paraId="58F9DC38" w14:textId="77777777" w:rsidR="006F11C1" w:rsidRPr="006F11C1" w:rsidRDefault="006F11C1" w:rsidP="006F11C1">
            <w:pPr>
              <w:spacing w:after="0"/>
              <w:ind w:firstLine="0"/>
              <w:jc w:val="left"/>
              <w:rPr>
                <w:rFonts w:ascii="Arial Narrow" w:hAnsi="Arial Narrow" w:cs="Calibri"/>
                <w:color w:val="000000"/>
                <w:lang w:val="es-ES" w:eastAsia="es-ES"/>
              </w:rPr>
            </w:pPr>
            <w:r w:rsidRPr="006F11C1">
              <w:rPr>
                <w:rFonts w:ascii="Arial Narrow" w:hAnsi="Arial Narrow" w:cs="Calibri"/>
                <w:color w:val="000000"/>
                <w:lang w:val="es-ES" w:eastAsia="es-ES"/>
              </w:rPr>
              <w:t xml:space="preserve">Eventual </w:t>
            </w:r>
          </w:p>
        </w:tc>
        <w:tc>
          <w:tcPr>
            <w:tcW w:w="993" w:type="dxa"/>
            <w:tcBorders>
              <w:top w:val="single" w:sz="4" w:space="0" w:color="auto"/>
              <w:left w:val="nil"/>
              <w:bottom w:val="single" w:sz="2" w:space="0" w:color="auto"/>
              <w:right w:val="nil"/>
            </w:tcBorders>
            <w:shd w:val="clear" w:color="000000" w:fill="FFFFFF"/>
            <w:vAlign w:val="center"/>
            <w:hideMark/>
          </w:tcPr>
          <w:p w14:paraId="04822E15" w14:textId="77777777" w:rsidR="006F11C1" w:rsidRPr="006F11C1" w:rsidRDefault="006F11C1" w:rsidP="006F11C1">
            <w:pPr>
              <w:spacing w:after="0"/>
              <w:ind w:firstLine="0"/>
              <w:jc w:val="right"/>
              <w:rPr>
                <w:rFonts w:ascii="Arial Narrow" w:hAnsi="Arial Narrow" w:cs="Calibri"/>
                <w:color w:val="000000"/>
                <w:lang w:val="es-ES" w:eastAsia="es-ES"/>
              </w:rPr>
            </w:pPr>
            <w:r w:rsidRPr="006F11C1">
              <w:rPr>
                <w:rFonts w:ascii="Arial Narrow" w:hAnsi="Arial Narrow" w:cs="Calibri"/>
                <w:color w:val="000000"/>
                <w:lang w:val="es-ES" w:eastAsia="es-ES"/>
              </w:rPr>
              <w:t>5</w:t>
            </w:r>
          </w:p>
        </w:tc>
        <w:tc>
          <w:tcPr>
            <w:tcW w:w="992" w:type="dxa"/>
            <w:tcBorders>
              <w:top w:val="single" w:sz="4" w:space="0" w:color="auto"/>
              <w:left w:val="nil"/>
              <w:bottom w:val="single" w:sz="2" w:space="0" w:color="auto"/>
              <w:right w:val="nil"/>
            </w:tcBorders>
            <w:shd w:val="clear" w:color="000000" w:fill="FFFFFF"/>
            <w:vAlign w:val="center"/>
            <w:hideMark/>
          </w:tcPr>
          <w:p w14:paraId="112E9806" w14:textId="77777777" w:rsidR="006F11C1" w:rsidRPr="006F11C1" w:rsidRDefault="006F11C1" w:rsidP="006F11C1">
            <w:pPr>
              <w:spacing w:after="0"/>
              <w:ind w:firstLine="0"/>
              <w:jc w:val="right"/>
              <w:rPr>
                <w:rFonts w:ascii="Arial Narrow" w:hAnsi="Arial Narrow" w:cs="Calibri"/>
                <w:color w:val="000000"/>
                <w:lang w:val="es-ES" w:eastAsia="es-ES"/>
              </w:rPr>
            </w:pPr>
            <w:r w:rsidRPr="006F11C1">
              <w:rPr>
                <w:rFonts w:ascii="Arial Narrow" w:hAnsi="Arial Narrow" w:cs="Calibri"/>
                <w:color w:val="000000"/>
                <w:lang w:val="es-ES" w:eastAsia="es-ES"/>
              </w:rPr>
              <w:t>5</w:t>
            </w:r>
          </w:p>
        </w:tc>
        <w:tc>
          <w:tcPr>
            <w:tcW w:w="1134" w:type="dxa"/>
            <w:tcBorders>
              <w:top w:val="single" w:sz="4" w:space="0" w:color="auto"/>
              <w:left w:val="nil"/>
              <w:bottom w:val="single" w:sz="2" w:space="0" w:color="auto"/>
              <w:right w:val="nil"/>
            </w:tcBorders>
            <w:shd w:val="clear" w:color="000000" w:fill="FFFFFF"/>
            <w:noWrap/>
            <w:vAlign w:val="center"/>
            <w:hideMark/>
          </w:tcPr>
          <w:p w14:paraId="438AE117" w14:textId="77777777" w:rsidR="006F11C1" w:rsidRPr="006F11C1" w:rsidRDefault="00A605E7" w:rsidP="006F11C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r>
      <w:tr w:rsidR="006F11C1" w:rsidRPr="006F11C1" w14:paraId="65B78157" w14:textId="77777777" w:rsidTr="00310EA7">
        <w:trPr>
          <w:trHeight w:val="198"/>
        </w:trPr>
        <w:tc>
          <w:tcPr>
            <w:tcW w:w="5670" w:type="dxa"/>
            <w:tcBorders>
              <w:top w:val="single" w:sz="2" w:space="0" w:color="auto"/>
              <w:left w:val="nil"/>
              <w:bottom w:val="single" w:sz="4" w:space="0" w:color="auto"/>
              <w:right w:val="nil"/>
            </w:tcBorders>
            <w:shd w:val="clear" w:color="000000" w:fill="FFFFFF"/>
            <w:noWrap/>
            <w:vAlign w:val="center"/>
            <w:hideMark/>
          </w:tcPr>
          <w:p w14:paraId="4B9D6742" w14:textId="77777777" w:rsidR="006F11C1" w:rsidRPr="006F11C1" w:rsidRDefault="006F11C1" w:rsidP="006F11C1">
            <w:pPr>
              <w:spacing w:after="0"/>
              <w:ind w:firstLine="0"/>
              <w:jc w:val="left"/>
              <w:rPr>
                <w:rFonts w:ascii="Arial Narrow" w:hAnsi="Arial Narrow" w:cs="Calibri"/>
                <w:color w:val="000000"/>
                <w:lang w:val="es-ES" w:eastAsia="es-ES"/>
              </w:rPr>
            </w:pPr>
            <w:r w:rsidRPr="006F11C1">
              <w:rPr>
                <w:rFonts w:ascii="Arial Narrow" w:hAnsi="Arial Narrow" w:cs="Calibri"/>
                <w:color w:val="000000"/>
                <w:lang w:val="es-ES" w:eastAsia="es-ES"/>
              </w:rPr>
              <w:t xml:space="preserve">Funcionarial                                  </w:t>
            </w:r>
          </w:p>
        </w:tc>
        <w:tc>
          <w:tcPr>
            <w:tcW w:w="993" w:type="dxa"/>
            <w:tcBorders>
              <w:top w:val="single" w:sz="2" w:space="0" w:color="auto"/>
              <w:left w:val="nil"/>
              <w:bottom w:val="single" w:sz="4" w:space="0" w:color="auto"/>
              <w:right w:val="nil"/>
            </w:tcBorders>
            <w:shd w:val="clear" w:color="000000" w:fill="FFFFFF"/>
            <w:vAlign w:val="center"/>
            <w:hideMark/>
          </w:tcPr>
          <w:p w14:paraId="708F1DA6" w14:textId="77777777" w:rsidR="006F11C1" w:rsidRPr="006F11C1" w:rsidRDefault="006F11C1" w:rsidP="006F11C1">
            <w:pPr>
              <w:spacing w:after="0"/>
              <w:ind w:firstLine="0"/>
              <w:jc w:val="right"/>
              <w:rPr>
                <w:rFonts w:ascii="Arial Narrow" w:hAnsi="Arial Narrow" w:cs="Calibri"/>
                <w:color w:val="000000"/>
                <w:lang w:val="es-ES" w:eastAsia="es-ES"/>
              </w:rPr>
            </w:pPr>
            <w:r w:rsidRPr="006F11C1">
              <w:rPr>
                <w:rFonts w:ascii="Arial Narrow" w:hAnsi="Arial Narrow" w:cs="Calibri"/>
                <w:color w:val="000000"/>
                <w:lang w:val="es-ES" w:eastAsia="es-ES"/>
              </w:rPr>
              <w:t>28</w:t>
            </w:r>
          </w:p>
        </w:tc>
        <w:tc>
          <w:tcPr>
            <w:tcW w:w="992" w:type="dxa"/>
            <w:tcBorders>
              <w:top w:val="single" w:sz="2" w:space="0" w:color="auto"/>
              <w:left w:val="nil"/>
              <w:bottom w:val="single" w:sz="4" w:space="0" w:color="auto"/>
              <w:right w:val="nil"/>
            </w:tcBorders>
            <w:shd w:val="clear" w:color="000000" w:fill="FFFFFF"/>
            <w:vAlign w:val="center"/>
            <w:hideMark/>
          </w:tcPr>
          <w:p w14:paraId="3D715EDE" w14:textId="77777777" w:rsidR="006F11C1" w:rsidRPr="006F11C1" w:rsidRDefault="006F11C1" w:rsidP="006F11C1">
            <w:pPr>
              <w:spacing w:after="0"/>
              <w:ind w:firstLine="0"/>
              <w:jc w:val="right"/>
              <w:rPr>
                <w:rFonts w:ascii="Arial Narrow" w:hAnsi="Arial Narrow" w:cs="Calibri"/>
                <w:color w:val="000000"/>
                <w:lang w:val="es-ES" w:eastAsia="es-ES"/>
              </w:rPr>
            </w:pPr>
            <w:r w:rsidRPr="006F11C1">
              <w:rPr>
                <w:rFonts w:ascii="Arial Narrow" w:hAnsi="Arial Narrow" w:cs="Calibri"/>
                <w:color w:val="000000"/>
                <w:lang w:val="es-ES" w:eastAsia="es-ES"/>
              </w:rPr>
              <w:t>28</w:t>
            </w:r>
          </w:p>
        </w:tc>
        <w:tc>
          <w:tcPr>
            <w:tcW w:w="1134" w:type="dxa"/>
            <w:tcBorders>
              <w:top w:val="single" w:sz="2" w:space="0" w:color="auto"/>
              <w:left w:val="nil"/>
              <w:bottom w:val="single" w:sz="4" w:space="0" w:color="auto"/>
              <w:right w:val="nil"/>
            </w:tcBorders>
            <w:shd w:val="clear" w:color="000000" w:fill="FFFFFF"/>
            <w:noWrap/>
            <w:vAlign w:val="center"/>
            <w:hideMark/>
          </w:tcPr>
          <w:p w14:paraId="41514456" w14:textId="77777777" w:rsidR="006F11C1" w:rsidRPr="006F11C1" w:rsidRDefault="00A605E7" w:rsidP="006F11C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0</w:t>
            </w:r>
          </w:p>
        </w:tc>
      </w:tr>
      <w:tr w:rsidR="006F11C1" w:rsidRPr="00820B96" w14:paraId="4F2FC825" w14:textId="77777777" w:rsidTr="00820B96">
        <w:trPr>
          <w:trHeight w:val="255"/>
        </w:trPr>
        <w:tc>
          <w:tcPr>
            <w:tcW w:w="5670" w:type="dxa"/>
            <w:tcBorders>
              <w:top w:val="single" w:sz="4" w:space="0" w:color="auto"/>
              <w:left w:val="nil"/>
              <w:bottom w:val="single" w:sz="4" w:space="0" w:color="auto"/>
              <w:right w:val="nil"/>
            </w:tcBorders>
            <w:shd w:val="clear" w:color="000000" w:fill="FABF8F"/>
            <w:noWrap/>
            <w:vAlign w:val="center"/>
            <w:hideMark/>
          </w:tcPr>
          <w:p w14:paraId="4BE9C83D" w14:textId="77777777" w:rsidR="006F11C1" w:rsidRPr="00820B96" w:rsidRDefault="006F11C1" w:rsidP="006F11C1">
            <w:pPr>
              <w:spacing w:after="0"/>
              <w:ind w:firstLine="0"/>
              <w:jc w:val="left"/>
              <w:rPr>
                <w:rFonts w:ascii="Arial" w:hAnsi="Arial" w:cs="Arial"/>
                <w:bCs/>
                <w:color w:val="000000"/>
                <w:sz w:val="18"/>
                <w:szCs w:val="18"/>
                <w:lang w:val="es-ES" w:eastAsia="es-ES"/>
              </w:rPr>
            </w:pPr>
            <w:r w:rsidRPr="00820B96">
              <w:rPr>
                <w:rFonts w:ascii="Arial" w:hAnsi="Arial" w:cs="Arial"/>
                <w:bCs/>
                <w:color w:val="000000"/>
                <w:sz w:val="18"/>
                <w:szCs w:val="18"/>
                <w:lang w:val="es-ES" w:eastAsia="es-ES"/>
              </w:rPr>
              <w:t>Total</w:t>
            </w:r>
          </w:p>
        </w:tc>
        <w:tc>
          <w:tcPr>
            <w:tcW w:w="993" w:type="dxa"/>
            <w:tcBorders>
              <w:top w:val="single" w:sz="4" w:space="0" w:color="auto"/>
              <w:left w:val="nil"/>
              <w:bottom w:val="single" w:sz="4" w:space="0" w:color="auto"/>
              <w:right w:val="nil"/>
            </w:tcBorders>
            <w:shd w:val="clear" w:color="000000" w:fill="FABF8F"/>
            <w:vAlign w:val="center"/>
            <w:hideMark/>
          </w:tcPr>
          <w:p w14:paraId="62B399A2" w14:textId="77777777" w:rsidR="006F11C1" w:rsidRPr="00820B96" w:rsidRDefault="006F11C1" w:rsidP="006F11C1">
            <w:pPr>
              <w:spacing w:after="0"/>
              <w:ind w:firstLine="0"/>
              <w:jc w:val="right"/>
              <w:rPr>
                <w:rFonts w:ascii="Arial" w:hAnsi="Arial" w:cs="Arial"/>
                <w:bCs/>
                <w:color w:val="000000"/>
                <w:sz w:val="18"/>
                <w:szCs w:val="18"/>
                <w:lang w:val="es-ES" w:eastAsia="es-ES"/>
              </w:rPr>
            </w:pPr>
            <w:r w:rsidRPr="00820B96">
              <w:rPr>
                <w:rFonts w:ascii="Arial" w:hAnsi="Arial" w:cs="Arial"/>
                <w:bCs/>
                <w:color w:val="000000"/>
                <w:sz w:val="18"/>
                <w:szCs w:val="18"/>
                <w:lang w:val="es-ES" w:eastAsia="es-ES"/>
              </w:rPr>
              <w:t>33</w:t>
            </w:r>
          </w:p>
        </w:tc>
        <w:tc>
          <w:tcPr>
            <w:tcW w:w="992" w:type="dxa"/>
            <w:tcBorders>
              <w:top w:val="single" w:sz="4" w:space="0" w:color="auto"/>
              <w:left w:val="nil"/>
              <w:bottom w:val="single" w:sz="4" w:space="0" w:color="auto"/>
              <w:right w:val="nil"/>
            </w:tcBorders>
            <w:shd w:val="clear" w:color="000000" w:fill="FABF8F"/>
            <w:vAlign w:val="center"/>
            <w:hideMark/>
          </w:tcPr>
          <w:p w14:paraId="1F19D503" w14:textId="77777777" w:rsidR="006F11C1" w:rsidRPr="00820B96" w:rsidRDefault="006F11C1" w:rsidP="006F11C1">
            <w:pPr>
              <w:spacing w:after="0"/>
              <w:ind w:firstLine="0"/>
              <w:jc w:val="right"/>
              <w:rPr>
                <w:rFonts w:ascii="Arial" w:hAnsi="Arial" w:cs="Arial"/>
                <w:bCs/>
                <w:color w:val="000000"/>
                <w:sz w:val="18"/>
                <w:szCs w:val="18"/>
                <w:lang w:val="es-ES" w:eastAsia="es-ES"/>
              </w:rPr>
            </w:pPr>
            <w:r w:rsidRPr="00820B96">
              <w:rPr>
                <w:rFonts w:ascii="Arial" w:hAnsi="Arial" w:cs="Arial"/>
                <w:bCs/>
                <w:color w:val="000000"/>
                <w:sz w:val="18"/>
                <w:szCs w:val="18"/>
                <w:lang w:val="es-ES" w:eastAsia="es-ES"/>
              </w:rPr>
              <w:t>33</w:t>
            </w:r>
          </w:p>
        </w:tc>
        <w:tc>
          <w:tcPr>
            <w:tcW w:w="1134" w:type="dxa"/>
            <w:tcBorders>
              <w:top w:val="single" w:sz="4" w:space="0" w:color="auto"/>
              <w:left w:val="nil"/>
              <w:bottom w:val="single" w:sz="4" w:space="0" w:color="auto"/>
              <w:right w:val="nil"/>
            </w:tcBorders>
            <w:shd w:val="clear" w:color="000000" w:fill="FABF8F"/>
            <w:noWrap/>
            <w:vAlign w:val="center"/>
            <w:hideMark/>
          </w:tcPr>
          <w:p w14:paraId="3D0DA2EA" w14:textId="77777777" w:rsidR="006F11C1" w:rsidRPr="00820B96" w:rsidRDefault="00A605E7" w:rsidP="006F11C1">
            <w:pPr>
              <w:spacing w:after="0"/>
              <w:ind w:firstLine="0"/>
              <w:jc w:val="right"/>
              <w:rPr>
                <w:rFonts w:ascii="Arial" w:hAnsi="Arial" w:cs="Arial"/>
                <w:bCs/>
                <w:color w:val="000000"/>
                <w:sz w:val="18"/>
                <w:szCs w:val="18"/>
                <w:lang w:val="es-ES" w:eastAsia="es-ES"/>
              </w:rPr>
            </w:pPr>
            <w:r w:rsidRPr="00820B96">
              <w:rPr>
                <w:rFonts w:ascii="Arial" w:hAnsi="Arial" w:cs="Arial"/>
                <w:bCs/>
                <w:color w:val="000000"/>
                <w:sz w:val="18"/>
                <w:szCs w:val="18"/>
                <w:lang w:val="es-ES" w:eastAsia="es-ES"/>
              </w:rPr>
              <w:t>0</w:t>
            </w:r>
          </w:p>
        </w:tc>
      </w:tr>
    </w:tbl>
    <w:p w14:paraId="771E04CF" w14:textId="77777777" w:rsidR="00807992" w:rsidRPr="00667DFF" w:rsidRDefault="00807992" w:rsidP="0026226F">
      <w:pPr>
        <w:tabs>
          <w:tab w:val="left" w:pos="284"/>
          <w:tab w:val="num" w:pos="4046"/>
        </w:tabs>
        <w:spacing w:before="240" w:after="180"/>
        <w:ind w:firstLine="284"/>
        <w:rPr>
          <w:spacing w:val="6"/>
          <w:sz w:val="26"/>
          <w:szCs w:val="26"/>
        </w:rPr>
      </w:pPr>
      <w:r w:rsidRPr="00667DFF">
        <w:rPr>
          <w:rFonts w:cs="Arial"/>
          <w:spacing w:val="6"/>
          <w:sz w:val="26"/>
          <w:szCs w:val="24"/>
        </w:rPr>
        <w:lastRenderedPageBreak/>
        <w:t>No ha</w:t>
      </w:r>
      <w:r>
        <w:rPr>
          <w:rFonts w:cs="Arial"/>
          <w:spacing w:val="6"/>
          <w:sz w:val="26"/>
          <w:szCs w:val="24"/>
        </w:rPr>
        <w:t xml:space="preserve"> habido variación respecto a 2020. </w:t>
      </w:r>
      <w:r w:rsidRPr="00667DFF">
        <w:rPr>
          <w:spacing w:val="6"/>
          <w:sz w:val="26"/>
          <w:szCs w:val="26"/>
        </w:rPr>
        <w:t xml:space="preserve">De acuerdo con la información facilitada por la Gerencia e incluida en la </w:t>
      </w:r>
      <w:r w:rsidR="0012553E">
        <w:rPr>
          <w:spacing w:val="6"/>
          <w:sz w:val="26"/>
          <w:szCs w:val="26"/>
        </w:rPr>
        <w:t>m</w:t>
      </w:r>
      <w:r w:rsidRPr="00667DFF">
        <w:rPr>
          <w:spacing w:val="6"/>
          <w:sz w:val="26"/>
          <w:szCs w:val="26"/>
        </w:rPr>
        <w:t xml:space="preserve">emoria, los puestos de trabajo de la plantilla al cierre del ejercicio </w:t>
      </w:r>
      <w:r>
        <w:rPr>
          <w:spacing w:val="6"/>
          <w:sz w:val="26"/>
          <w:szCs w:val="26"/>
        </w:rPr>
        <w:t>2021</w:t>
      </w:r>
      <w:r w:rsidRPr="00667DFF">
        <w:rPr>
          <w:spacing w:val="6"/>
          <w:sz w:val="26"/>
          <w:szCs w:val="26"/>
        </w:rPr>
        <w:t xml:space="preserve"> son:</w:t>
      </w:r>
    </w:p>
    <w:tbl>
      <w:tblPr>
        <w:tblW w:w="5000" w:type="pct"/>
        <w:jc w:val="center"/>
        <w:tblCellMar>
          <w:left w:w="70" w:type="dxa"/>
          <w:right w:w="70" w:type="dxa"/>
        </w:tblCellMar>
        <w:tblLook w:val="04A0" w:firstRow="1" w:lastRow="0" w:firstColumn="1" w:lastColumn="0" w:noHBand="0" w:noVBand="1"/>
      </w:tblPr>
      <w:tblGrid>
        <w:gridCol w:w="6571"/>
        <w:gridCol w:w="2218"/>
      </w:tblGrid>
      <w:tr w:rsidR="00807992" w:rsidRPr="00667DFF" w14:paraId="01CF36F8" w14:textId="77777777" w:rsidTr="00317422">
        <w:trPr>
          <w:trHeight w:val="255"/>
          <w:jc w:val="center"/>
        </w:trPr>
        <w:tc>
          <w:tcPr>
            <w:tcW w:w="3738" w:type="pct"/>
            <w:tcBorders>
              <w:top w:val="single" w:sz="4" w:space="0" w:color="auto"/>
              <w:left w:val="nil"/>
              <w:bottom w:val="single" w:sz="4" w:space="0" w:color="auto"/>
              <w:right w:val="nil"/>
            </w:tcBorders>
            <w:shd w:val="clear" w:color="000000" w:fill="FABF8F" w:themeFill="accent6" w:themeFillTint="99"/>
            <w:noWrap/>
            <w:vAlign w:val="center"/>
            <w:hideMark/>
          </w:tcPr>
          <w:p w14:paraId="55AB8371" w14:textId="77777777" w:rsidR="00807992" w:rsidRPr="00667DFF" w:rsidRDefault="00807992" w:rsidP="00807992">
            <w:pPr>
              <w:tabs>
                <w:tab w:val="left" w:pos="142"/>
              </w:tabs>
              <w:spacing w:after="0"/>
              <w:ind w:firstLine="0"/>
              <w:jc w:val="left"/>
              <w:rPr>
                <w:rFonts w:ascii="Arial" w:hAnsi="Arial" w:cs="Arial"/>
                <w:bCs/>
                <w:color w:val="000000"/>
                <w:sz w:val="18"/>
                <w:szCs w:val="18"/>
                <w:lang w:val="es-ES" w:eastAsia="es-ES"/>
              </w:rPr>
            </w:pPr>
            <w:r w:rsidRPr="00667DFF">
              <w:rPr>
                <w:rFonts w:ascii="Arial" w:hAnsi="Arial" w:cs="Arial"/>
                <w:bCs/>
                <w:color w:val="000000"/>
                <w:sz w:val="18"/>
                <w:szCs w:val="18"/>
                <w:lang w:val="es-ES" w:eastAsia="es-ES"/>
              </w:rPr>
              <w:t>Plazas</w:t>
            </w:r>
          </w:p>
        </w:tc>
        <w:tc>
          <w:tcPr>
            <w:tcW w:w="1262" w:type="pct"/>
            <w:tcBorders>
              <w:top w:val="single" w:sz="4" w:space="0" w:color="auto"/>
              <w:left w:val="nil"/>
              <w:bottom w:val="single" w:sz="4" w:space="0" w:color="auto"/>
              <w:right w:val="nil"/>
            </w:tcBorders>
            <w:shd w:val="clear" w:color="000000" w:fill="FABF8F" w:themeFill="accent6" w:themeFillTint="99"/>
            <w:noWrap/>
            <w:vAlign w:val="center"/>
            <w:hideMark/>
          </w:tcPr>
          <w:p w14:paraId="2FDE64D6" w14:textId="77777777" w:rsidR="00807992" w:rsidRPr="00667DFF" w:rsidRDefault="00807992" w:rsidP="00807992">
            <w:pPr>
              <w:tabs>
                <w:tab w:val="left" w:pos="142"/>
              </w:tabs>
              <w:spacing w:after="0"/>
              <w:ind w:firstLine="0"/>
              <w:jc w:val="right"/>
              <w:rPr>
                <w:rFonts w:ascii="Arial" w:hAnsi="Arial" w:cs="Arial"/>
                <w:bCs/>
                <w:color w:val="000000"/>
                <w:sz w:val="18"/>
                <w:szCs w:val="18"/>
                <w:lang w:val="es-ES" w:eastAsia="es-ES"/>
              </w:rPr>
            </w:pPr>
            <w:r w:rsidRPr="00667DFF">
              <w:rPr>
                <w:rFonts w:ascii="Arial" w:hAnsi="Arial" w:cs="Arial"/>
                <w:bCs/>
                <w:color w:val="000000"/>
                <w:sz w:val="18"/>
                <w:szCs w:val="18"/>
                <w:lang w:val="es-ES" w:eastAsia="es-ES"/>
              </w:rPr>
              <w:t xml:space="preserve">          Gerencia</w:t>
            </w:r>
          </w:p>
        </w:tc>
      </w:tr>
      <w:tr w:rsidR="00807992" w:rsidRPr="00667DFF" w14:paraId="316CF130" w14:textId="77777777" w:rsidTr="00317422">
        <w:trPr>
          <w:trHeight w:val="198"/>
          <w:jc w:val="center"/>
        </w:trPr>
        <w:tc>
          <w:tcPr>
            <w:tcW w:w="3738" w:type="pct"/>
            <w:tcBorders>
              <w:top w:val="single" w:sz="4" w:space="0" w:color="auto"/>
              <w:left w:val="nil"/>
              <w:bottom w:val="single" w:sz="2" w:space="0" w:color="auto"/>
              <w:right w:val="nil"/>
            </w:tcBorders>
            <w:shd w:val="clear" w:color="000000" w:fill="FFFFFF"/>
            <w:noWrap/>
            <w:vAlign w:val="center"/>
            <w:hideMark/>
          </w:tcPr>
          <w:p w14:paraId="057C77AD" w14:textId="77777777" w:rsidR="00807992" w:rsidRPr="00667DFF" w:rsidRDefault="00807992" w:rsidP="00807992">
            <w:pPr>
              <w:tabs>
                <w:tab w:val="left" w:pos="142"/>
              </w:tabs>
              <w:spacing w:after="0"/>
              <w:ind w:firstLine="0"/>
              <w:jc w:val="left"/>
              <w:rPr>
                <w:rFonts w:ascii="Arial Narrow" w:hAnsi="Arial Narrow"/>
                <w:b/>
                <w:bCs/>
                <w:color w:val="000000"/>
                <w:lang w:val="es-ES" w:eastAsia="es-ES"/>
              </w:rPr>
            </w:pPr>
            <w:r w:rsidRPr="00667DFF">
              <w:rPr>
                <w:rFonts w:ascii="Arial Narrow" w:hAnsi="Arial Narrow"/>
                <w:b/>
                <w:bCs/>
                <w:color w:val="000000"/>
                <w:lang w:val="es-ES" w:eastAsia="es-ES"/>
              </w:rPr>
              <w:t xml:space="preserve">Puestos en plantilla                                  </w:t>
            </w:r>
          </w:p>
        </w:tc>
        <w:tc>
          <w:tcPr>
            <w:tcW w:w="1262" w:type="pct"/>
            <w:tcBorders>
              <w:top w:val="single" w:sz="4" w:space="0" w:color="auto"/>
              <w:left w:val="nil"/>
              <w:bottom w:val="single" w:sz="2" w:space="0" w:color="auto"/>
              <w:right w:val="nil"/>
            </w:tcBorders>
            <w:shd w:val="clear" w:color="000000" w:fill="FFFFFF"/>
            <w:noWrap/>
            <w:vAlign w:val="center"/>
            <w:hideMark/>
          </w:tcPr>
          <w:p w14:paraId="1307E871" w14:textId="77777777" w:rsidR="00807992" w:rsidRPr="00667DFF" w:rsidRDefault="00807992" w:rsidP="00807992">
            <w:pPr>
              <w:tabs>
                <w:tab w:val="left" w:pos="1365"/>
              </w:tabs>
              <w:spacing w:after="0"/>
              <w:ind w:firstLine="1263"/>
              <w:jc w:val="right"/>
              <w:rPr>
                <w:rFonts w:ascii="Arial Narrow" w:hAnsi="Arial Narrow"/>
                <w:b/>
                <w:bCs/>
                <w:color w:val="000000"/>
                <w:lang w:val="es-ES" w:eastAsia="es-ES"/>
              </w:rPr>
            </w:pPr>
            <w:r w:rsidRPr="00667DFF">
              <w:rPr>
                <w:rFonts w:ascii="Arial Narrow" w:hAnsi="Arial Narrow"/>
                <w:b/>
                <w:bCs/>
                <w:color w:val="000000"/>
                <w:lang w:val="es-ES" w:eastAsia="es-ES"/>
              </w:rPr>
              <w:t>33</w:t>
            </w:r>
          </w:p>
        </w:tc>
      </w:tr>
      <w:tr w:rsidR="00807992" w:rsidRPr="00667DFF" w14:paraId="68B36D88" w14:textId="77777777" w:rsidTr="00310EA7">
        <w:trPr>
          <w:trHeight w:val="198"/>
          <w:jc w:val="center"/>
        </w:trPr>
        <w:tc>
          <w:tcPr>
            <w:tcW w:w="3738" w:type="pct"/>
            <w:tcBorders>
              <w:top w:val="single" w:sz="2" w:space="0" w:color="auto"/>
              <w:left w:val="nil"/>
              <w:bottom w:val="single" w:sz="2" w:space="0" w:color="auto"/>
              <w:right w:val="nil"/>
            </w:tcBorders>
            <w:shd w:val="clear" w:color="auto" w:fill="auto"/>
            <w:noWrap/>
            <w:vAlign w:val="center"/>
            <w:hideMark/>
          </w:tcPr>
          <w:p w14:paraId="3B6D873B"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sidRPr="00667DFF">
              <w:rPr>
                <w:rFonts w:ascii="Arial Narrow" w:hAnsi="Arial Narrow"/>
                <w:color w:val="000000"/>
                <w:lang w:val="es-ES" w:eastAsia="es-ES"/>
              </w:rPr>
              <w:t>Ocupados</w:t>
            </w:r>
          </w:p>
        </w:tc>
        <w:tc>
          <w:tcPr>
            <w:tcW w:w="1262" w:type="pct"/>
            <w:tcBorders>
              <w:top w:val="single" w:sz="2" w:space="0" w:color="auto"/>
              <w:left w:val="nil"/>
              <w:bottom w:val="single" w:sz="2" w:space="0" w:color="auto"/>
              <w:right w:val="nil"/>
            </w:tcBorders>
            <w:shd w:val="clear" w:color="auto" w:fill="auto"/>
            <w:noWrap/>
            <w:vAlign w:val="center"/>
            <w:hideMark/>
          </w:tcPr>
          <w:p w14:paraId="73E9BAE2"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sidRPr="00667DFF">
              <w:rPr>
                <w:rFonts w:ascii="Arial Narrow" w:hAnsi="Arial Narrow"/>
                <w:color w:val="000000"/>
                <w:lang w:val="es-ES" w:eastAsia="es-ES"/>
              </w:rPr>
              <w:t>20</w:t>
            </w:r>
          </w:p>
        </w:tc>
      </w:tr>
      <w:tr w:rsidR="00807992" w:rsidRPr="00667DFF" w14:paraId="2C3A9967" w14:textId="77777777" w:rsidTr="00310EA7">
        <w:trPr>
          <w:trHeight w:val="198"/>
          <w:jc w:val="center"/>
        </w:trPr>
        <w:tc>
          <w:tcPr>
            <w:tcW w:w="3738" w:type="pct"/>
            <w:tcBorders>
              <w:top w:val="single" w:sz="2" w:space="0" w:color="auto"/>
              <w:left w:val="nil"/>
              <w:bottom w:val="single" w:sz="2" w:space="0" w:color="auto"/>
              <w:right w:val="nil"/>
            </w:tcBorders>
            <w:shd w:val="clear" w:color="auto" w:fill="auto"/>
            <w:noWrap/>
            <w:vAlign w:val="center"/>
            <w:hideMark/>
          </w:tcPr>
          <w:p w14:paraId="467DD6F1"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sidRPr="00667DFF">
              <w:rPr>
                <w:rFonts w:ascii="Arial Narrow" w:hAnsi="Arial Narrow"/>
                <w:color w:val="000000"/>
                <w:lang w:val="es-ES" w:eastAsia="es-ES"/>
              </w:rPr>
              <w:t>Vacantes</w:t>
            </w:r>
          </w:p>
        </w:tc>
        <w:tc>
          <w:tcPr>
            <w:tcW w:w="1262" w:type="pct"/>
            <w:tcBorders>
              <w:top w:val="single" w:sz="2" w:space="0" w:color="auto"/>
              <w:left w:val="nil"/>
              <w:bottom w:val="single" w:sz="2" w:space="0" w:color="auto"/>
              <w:right w:val="nil"/>
            </w:tcBorders>
            <w:shd w:val="clear" w:color="auto" w:fill="auto"/>
            <w:noWrap/>
            <w:vAlign w:val="center"/>
            <w:hideMark/>
          </w:tcPr>
          <w:p w14:paraId="64ABC1E7"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sidRPr="00667DFF">
              <w:rPr>
                <w:rFonts w:ascii="Arial Narrow" w:hAnsi="Arial Narrow"/>
                <w:color w:val="000000"/>
                <w:lang w:val="es-ES" w:eastAsia="es-ES"/>
              </w:rPr>
              <w:t xml:space="preserve">                              13</w:t>
            </w:r>
          </w:p>
        </w:tc>
      </w:tr>
      <w:tr w:rsidR="00807992" w:rsidRPr="00667DFF" w14:paraId="77EB1FF5" w14:textId="77777777" w:rsidTr="00310EA7">
        <w:trPr>
          <w:trHeight w:val="198"/>
          <w:jc w:val="center"/>
        </w:trPr>
        <w:tc>
          <w:tcPr>
            <w:tcW w:w="3738" w:type="pct"/>
            <w:tcBorders>
              <w:top w:val="single" w:sz="2" w:space="0" w:color="auto"/>
              <w:left w:val="nil"/>
              <w:bottom w:val="single" w:sz="2" w:space="0" w:color="auto"/>
              <w:right w:val="nil"/>
            </w:tcBorders>
            <w:shd w:val="clear" w:color="auto" w:fill="FABF8F" w:themeFill="accent6" w:themeFillTint="99"/>
            <w:noWrap/>
            <w:vAlign w:val="center"/>
            <w:hideMark/>
          </w:tcPr>
          <w:p w14:paraId="5F1BE021" w14:textId="77777777" w:rsidR="00807992" w:rsidRPr="00667DFF" w:rsidRDefault="00807992" w:rsidP="00807992">
            <w:pPr>
              <w:tabs>
                <w:tab w:val="left" w:pos="142"/>
              </w:tabs>
              <w:spacing w:after="0"/>
              <w:ind w:firstLine="0"/>
              <w:jc w:val="left"/>
              <w:rPr>
                <w:rFonts w:ascii="Arial Narrow" w:hAnsi="Arial Narrow"/>
                <w:b/>
                <w:bCs/>
                <w:color w:val="000000"/>
                <w:lang w:val="es-ES" w:eastAsia="es-ES"/>
              </w:rPr>
            </w:pPr>
            <w:r w:rsidRPr="00667DFF">
              <w:rPr>
                <w:rFonts w:ascii="Arial Narrow" w:hAnsi="Arial Narrow"/>
                <w:b/>
                <w:bCs/>
                <w:color w:val="000000"/>
                <w:lang w:val="es-ES" w:eastAsia="es-ES"/>
              </w:rPr>
              <w:t>% Vacantes sobre el total de puestos</w:t>
            </w:r>
          </w:p>
        </w:tc>
        <w:tc>
          <w:tcPr>
            <w:tcW w:w="1262" w:type="pct"/>
            <w:tcBorders>
              <w:top w:val="single" w:sz="2" w:space="0" w:color="auto"/>
              <w:left w:val="nil"/>
              <w:bottom w:val="single" w:sz="2" w:space="0" w:color="auto"/>
              <w:right w:val="nil"/>
            </w:tcBorders>
            <w:shd w:val="clear" w:color="auto" w:fill="FABF8F" w:themeFill="accent6" w:themeFillTint="99"/>
            <w:noWrap/>
            <w:vAlign w:val="center"/>
            <w:hideMark/>
          </w:tcPr>
          <w:p w14:paraId="4B72386A" w14:textId="77777777" w:rsidR="00807992" w:rsidRPr="00667DFF" w:rsidRDefault="00807992" w:rsidP="00807992">
            <w:pPr>
              <w:tabs>
                <w:tab w:val="left" w:pos="142"/>
              </w:tabs>
              <w:spacing w:after="0"/>
              <w:ind w:firstLine="0"/>
              <w:jc w:val="right"/>
              <w:rPr>
                <w:rFonts w:ascii="Arial Narrow" w:hAnsi="Arial Narrow"/>
                <w:b/>
                <w:bCs/>
                <w:color w:val="000000"/>
                <w:lang w:val="es-ES" w:eastAsia="es-ES"/>
              </w:rPr>
            </w:pPr>
            <w:r w:rsidRPr="00667DFF">
              <w:rPr>
                <w:rFonts w:ascii="Arial Narrow" w:hAnsi="Arial Narrow"/>
                <w:b/>
                <w:bCs/>
                <w:color w:val="000000"/>
                <w:lang w:val="es-ES" w:eastAsia="es-ES"/>
              </w:rPr>
              <w:t xml:space="preserve">                     39</w:t>
            </w:r>
          </w:p>
        </w:tc>
      </w:tr>
      <w:tr w:rsidR="00807992" w:rsidRPr="00667DFF" w14:paraId="463C98A3" w14:textId="77777777" w:rsidTr="00310EA7">
        <w:trPr>
          <w:trHeight w:val="198"/>
          <w:jc w:val="center"/>
        </w:trPr>
        <w:tc>
          <w:tcPr>
            <w:tcW w:w="3738" w:type="pct"/>
            <w:tcBorders>
              <w:top w:val="single" w:sz="2" w:space="0" w:color="auto"/>
              <w:left w:val="nil"/>
              <w:bottom w:val="single" w:sz="2" w:space="0" w:color="auto"/>
              <w:right w:val="nil"/>
            </w:tcBorders>
            <w:shd w:val="clear" w:color="auto" w:fill="auto"/>
            <w:noWrap/>
            <w:vAlign w:val="center"/>
            <w:hideMark/>
          </w:tcPr>
          <w:p w14:paraId="1235F7F6"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sidRPr="00667DFF">
              <w:rPr>
                <w:rFonts w:ascii="Arial Narrow" w:hAnsi="Arial Narrow"/>
                <w:color w:val="000000"/>
                <w:lang w:val="es-ES" w:eastAsia="es-ES"/>
              </w:rPr>
              <w:t>Vacantes cubiertas</w:t>
            </w:r>
          </w:p>
        </w:tc>
        <w:tc>
          <w:tcPr>
            <w:tcW w:w="1262" w:type="pct"/>
            <w:tcBorders>
              <w:top w:val="single" w:sz="2" w:space="0" w:color="auto"/>
              <w:left w:val="nil"/>
              <w:bottom w:val="single" w:sz="2" w:space="0" w:color="auto"/>
              <w:right w:val="nil"/>
            </w:tcBorders>
            <w:shd w:val="clear" w:color="auto" w:fill="auto"/>
            <w:noWrap/>
            <w:vAlign w:val="center"/>
            <w:hideMark/>
          </w:tcPr>
          <w:p w14:paraId="3B7658E2" w14:textId="77777777" w:rsidR="00807992" w:rsidRPr="00667DFF" w:rsidRDefault="00807992" w:rsidP="0080799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9</w:t>
            </w:r>
          </w:p>
        </w:tc>
      </w:tr>
      <w:tr w:rsidR="00807992" w:rsidRPr="00667DFF" w14:paraId="6CBE843F" w14:textId="77777777" w:rsidTr="00310EA7">
        <w:trPr>
          <w:trHeight w:val="198"/>
          <w:jc w:val="center"/>
        </w:trPr>
        <w:tc>
          <w:tcPr>
            <w:tcW w:w="3738" w:type="pct"/>
            <w:tcBorders>
              <w:top w:val="single" w:sz="2" w:space="0" w:color="auto"/>
              <w:left w:val="nil"/>
              <w:bottom w:val="single" w:sz="2" w:space="0" w:color="auto"/>
              <w:right w:val="nil"/>
            </w:tcBorders>
            <w:shd w:val="clear" w:color="auto" w:fill="FABF8F" w:themeFill="accent6" w:themeFillTint="99"/>
            <w:noWrap/>
            <w:vAlign w:val="center"/>
            <w:hideMark/>
          </w:tcPr>
          <w:p w14:paraId="1DB88A72" w14:textId="77777777" w:rsidR="00807992" w:rsidRPr="00667DFF" w:rsidRDefault="00807992" w:rsidP="00807992">
            <w:pPr>
              <w:tabs>
                <w:tab w:val="left" w:pos="142"/>
              </w:tabs>
              <w:spacing w:after="0"/>
              <w:ind w:firstLine="0"/>
              <w:jc w:val="left"/>
              <w:rPr>
                <w:rFonts w:ascii="Arial Narrow" w:hAnsi="Arial Narrow"/>
                <w:b/>
                <w:bCs/>
                <w:color w:val="000000"/>
                <w:lang w:val="es-ES" w:eastAsia="es-ES"/>
              </w:rPr>
            </w:pPr>
            <w:r w:rsidRPr="00667DFF">
              <w:rPr>
                <w:rFonts w:ascii="Arial Narrow" w:hAnsi="Arial Narrow"/>
                <w:b/>
                <w:bCs/>
                <w:color w:val="000000"/>
                <w:lang w:val="es-ES" w:eastAsia="es-ES"/>
              </w:rPr>
              <w:t>% Vacantes cubiertas</w:t>
            </w:r>
          </w:p>
        </w:tc>
        <w:tc>
          <w:tcPr>
            <w:tcW w:w="1262" w:type="pct"/>
            <w:tcBorders>
              <w:top w:val="single" w:sz="2" w:space="0" w:color="auto"/>
              <w:left w:val="nil"/>
              <w:bottom w:val="single" w:sz="2" w:space="0" w:color="auto"/>
              <w:right w:val="nil"/>
            </w:tcBorders>
            <w:shd w:val="clear" w:color="auto" w:fill="FABF8F" w:themeFill="accent6" w:themeFillTint="99"/>
            <w:noWrap/>
            <w:vAlign w:val="center"/>
            <w:hideMark/>
          </w:tcPr>
          <w:p w14:paraId="4BA3FA1A" w14:textId="77777777" w:rsidR="00807992" w:rsidRPr="00667DFF" w:rsidRDefault="00807992" w:rsidP="00807992">
            <w:pPr>
              <w:tabs>
                <w:tab w:val="left" w:pos="142"/>
              </w:tabs>
              <w:spacing w:after="0"/>
              <w:ind w:firstLine="0"/>
              <w:jc w:val="right"/>
              <w:rPr>
                <w:rFonts w:ascii="Arial Narrow" w:hAnsi="Arial Narrow"/>
                <w:b/>
                <w:bCs/>
                <w:color w:val="000000"/>
                <w:lang w:val="es-ES" w:eastAsia="es-ES"/>
              </w:rPr>
            </w:pPr>
            <w:r>
              <w:rPr>
                <w:rFonts w:ascii="Arial Narrow" w:hAnsi="Arial Narrow"/>
                <w:b/>
                <w:bCs/>
                <w:color w:val="000000"/>
                <w:lang w:val="es-ES" w:eastAsia="es-ES"/>
              </w:rPr>
              <w:t>69</w:t>
            </w:r>
          </w:p>
        </w:tc>
      </w:tr>
      <w:tr w:rsidR="00807992" w:rsidRPr="00667DFF" w14:paraId="44B396BF" w14:textId="77777777" w:rsidTr="00310EA7">
        <w:trPr>
          <w:trHeight w:val="198"/>
          <w:jc w:val="center"/>
        </w:trPr>
        <w:tc>
          <w:tcPr>
            <w:tcW w:w="3738" w:type="pct"/>
            <w:tcBorders>
              <w:top w:val="single" w:sz="2" w:space="0" w:color="auto"/>
              <w:left w:val="nil"/>
              <w:bottom w:val="single" w:sz="2" w:space="0" w:color="auto"/>
              <w:right w:val="nil"/>
            </w:tcBorders>
            <w:shd w:val="clear" w:color="auto" w:fill="auto"/>
            <w:noWrap/>
            <w:vAlign w:val="center"/>
            <w:hideMark/>
          </w:tcPr>
          <w:p w14:paraId="63E445B1" w14:textId="77777777" w:rsidR="00807992" w:rsidRPr="00667DFF" w:rsidRDefault="00807992" w:rsidP="00807992">
            <w:pPr>
              <w:tabs>
                <w:tab w:val="left" w:pos="142"/>
              </w:tabs>
              <w:spacing w:after="0"/>
              <w:ind w:firstLine="0"/>
              <w:jc w:val="left"/>
              <w:rPr>
                <w:rFonts w:ascii="Arial Narrow" w:hAnsi="Arial Narrow"/>
                <w:bCs/>
                <w:color w:val="000000"/>
                <w:lang w:val="es-ES" w:eastAsia="es-ES"/>
              </w:rPr>
            </w:pPr>
            <w:r w:rsidRPr="00667DFF">
              <w:rPr>
                <w:rFonts w:ascii="Arial Narrow" w:hAnsi="Arial Narrow"/>
                <w:bCs/>
                <w:color w:val="000000"/>
                <w:lang w:val="es-ES" w:eastAsia="es-ES"/>
              </w:rPr>
              <w:t>Vacantes sin cubrir</w:t>
            </w:r>
          </w:p>
        </w:tc>
        <w:tc>
          <w:tcPr>
            <w:tcW w:w="1262" w:type="pct"/>
            <w:tcBorders>
              <w:top w:val="single" w:sz="2" w:space="0" w:color="auto"/>
              <w:left w:val="nil"/>
              <w:bottom w:val="single" w:sz="2" w:space="0" w:color="auto"/>
              <w:right w:val="nil"/>
            </w:tcBorders>
            <w:shd w:val="clear" w:color="auto" w:fill="auto"/>
            <w:noWrap/>
            <w:vAlign w:val="center"/>
            <w:hideMark/>
          </w:tcPr>
          <w:p w14:paraId="47528B37" w14:textId="77777777" w:rsidR="00807992" w:rsidRPr="00667DFF" w:rsidRDefault="00807992" w:rsidP="00807992">
            <w:pPr>
              <w:tabs>
                <w:tab w:val="left" w:pos="142"/>
              </w:tabs>
              <w:spacing w:after="0"/>
              <w:ind w:firstLine="0"/>
              <w:jc w:val="right"/>
              <w:rPr>
                <w:rFonts w:ascii="Arial Narrow" w:hAnsi="Arial Narrow"/>
                <w:bCs/>
                <w:color w:val="000000"/>
                <w:lang w:val="es-ES" w:eastAsia="es-ES"/>
              </w:rPr>
            </w:pPr>
            <w:r w:rsidRPr="00667DFF">
              <w:rPr>
                <w:rFonts w:ascii="Arial Narrow" w:hAnsi="Arial Narrow"/>
                <w:bCs/>
                <w:color w:val="000000"/>
                <w:lang w:val="es-ES" w:eastAsia="es-ES"/>
              </w:rPr>
              <w:t xml:space="preserve">                    </w:t>
            </w:r>
            <w:r>
              <w:rPr>
                <w:rFonts w:ascii="Arial Narrow" w:hAnsi="Arial Narrow"/>
                <w:bCs/>
                <w:color w:val="000000"/>
                <w:lang w:val="es-ES" w:eastAsia="es-ES"/>
              </w:rPr>
              <w:t>4</w:t>
            </w:r>
          </w:p>
        </w:tc>
      </w:tr>
      <w:tr w:rsidR="00807992" w:rsidRPr="00667DFF" w14:paraId="1F4CED80" w14:textId="77777777" w:rsidTr="00310EA7">
        <w:trPr>
          <w:trHeight w:val="198"/>
          <w:jc w:val="center"/>
        </w:trPr>
        <w:tc>
          <w:tcPr>
            <w:tcW w:w="3738" w:type="pct"/>
            <w:tcBorders>
              <w:top w:val="single" w:sz="2" w:space="0" w:color="auto"/>
              <w:left w:val="nil"/>
              <w:bottom w:val="single" w:sz="4" w:space="0" w:color="auto"/>
              <w:right w:val="nil"/>
            </w:tcBorders>
            <w:shd w:val="clear" w:color="auto" w:fill="FABF8F" w:themeFill="accent6" w:themeFillTint="99"/>
            <w:noWrap/>
            <w:vAlign w:val="center"/>
            <w:hideMark/>
          </w:tcPr>
          <w:p w14:paraId="38AAE817" w14:textId="77777777" w:rsidR="00807992" w:rsidRPr="00667DFF" w:rsidRDefault="00807992" w:rsidP="00807992">
            <w:pPr>
              <w:tabs>
                <w:tab w:val="left" w:pos="142"/>
              </w:tabs>
              <w:spacing w:after="0"/>
              <w:ind w:firstLine="0"/>
              <w:jc w:val="left"/>
              <w:rPr>
                <w:rFonts w:ascii="Arial Narrow" w:hAnsi="Arial Narrow"/>
                <w:b/>
                <w:bCs/>
                <w:color w:val="000000"/>
                <w:lang w:val="es-ES" w:eastAsia="es-ES"/>
              </w:rPr>
            </w:pPr>
            <w:r w:rsidRPr="00667DFF">
              <w:rPr>
                <w:rFonts w:ascii="Arial Narrow" w:hAnsi="Arial Narrow"/>
                <w:b/>
                <w:bCs/>
                <w:color w:val="000000"/>
                <w:lang w:val="es-ES" w:eastAsia="es-ES"/>
              </w:rPr>
              <w:t>% Vacantes sin cubrir</w:t>
            </w:r>
          </w:p>
        </w:tc>
        <w:tc>
          <w:tcPr>
            <w:tcW w:w="1262" w:type="pct"/>
            <w:tcBorders>
              <w:top w:val="single" w:sz="2" w:space="0" w:color="auto"/>
              <w:left w:val="nil"/>
              <w:bottom w:val="single" w:sz="4" w:space="0" w:color="auto"/>
              <w:right w:val="nil"/>
            </w:tcBorders>
            <w:shd w:val="clear" w:color="auto" w:fill="FABF8F" w:themeFill="accent6" w:themeFillTint="99"/>
            <w:noWrap/>
            <w:vAlign w:val="center"/>
            <w:hideMark/>
          </w:tcPr>
          <w:p w14:paraId="0F9697DF" w14:textId="77777777" w:rsidR="00807992" w:rsidRPr="00667DFF" w:rsidRDefault="00807992" w:rsidP="00807992">
            <w:pPr>
              <w:tabs>
                <w:tab w:val="left" w:pos="142"/>
              </w:tabs>
              <w:spacing w:after="0"/>
              <w:ind w:firstLine="0"/>
              <w:jc w:val="right"/>
              <w:rPr>
                <w:rFonts w:ascii="Arial Narrow" w:hAnsi="Arial Narrow"/>
                <w:b/>
                <w:bCs/>
                <w:color w:val="000000"/>
                <w:lang w:val="es-ES" w:eastAsia="es-ES"/>
              </w:rPr>
            </w:pPr>
            <w:r w:rsidRPr="00667DFF">
              <w:rPr>
                <w:rFonts w:ascii="Arial Narrow" w:hAnsi="Arial Narrow"/>
                <w:b/>
                <w:bCs/>
                <w:color w:val="000000"/>
                <w:lang w:val="es-ES" w:eastAsia="es-ES"/>
              </w:rPr>
              <w:t xml:space="preserve">                      </w:t>
            </w:r>
            <w:r>
              <w:rPr>
                <w:rFonts w:ascii="Arial Narrow" w:hAnsi="Arial Narrow"/>
                <w:b/>
                <w:bCs/>
                <w:color w:val="000000"/>
                <w:lang w:val="es-ES" w:eastAsia="es-ES"/>
              </w:rPr>
              <w:t>31</w:t>
            </w:r>
            <w:r w:rsidRPr="00667DFF">
              <w:rPr>
                <w:rFonts w:ascii="Arial Narrow" w:hAnsi="Arial Narrow"/>
                <w:b/>
                <w:bCs/>
                <w:color w:val="000000"/>
                <w:lang w:val="es-ES" w:eastAsia="es-ES"/>
              </w:rPr>
              <w:t xml:space="preserve"> </w:t>
            </w:r>
          </w:p>
        </w:tc>
      </w:tr>
    </w:tbl>
    <w:p w14:paraId="654016C6" w14:textId="77777777" w:rsidR="00807992" w:rsidRDefault="00807992" w:rsidP="00807992">
      <w:pPr>
        <w:tabs>
          <w:tab w:val="left" w:pos="284"/>
          <w:tab w:val="num" w:pos="4046"/>
        </w:tabs>
        <w:spacing w:before="120" w:after="180"/>
        <w:ind w:firstLine="284"/>
        <w:rPr>
          <w:rFonts w:cs="Arial"/>
          <w:spacing w:val="6"/>
          <w:sz w:val="26"/>
          <w:szCs w:val="24"/>
        </w:rPr>
      </w:pPr>
      <w:r w:rsidRPr="00667DFF">
        <w:rPr>
          <w:rFonts w:cs="Arial"/>
          <w:spacing w:val="6"/>
          <w:sz w:val="26"/>
          <w:szCs w:val="24"/>
        </w:rPr>
        <w:t xml:space="preserve">Del total de puestos de plantilla un </w:t>
      </w:r>
      <w:r>
        <w:rPr>
          <w:rFonts w:cs="Arial"/>
          <w:spacing w:val="6"/>
          <w:sz w:val="26"/>
          <w:szCs w:val="24"/>
        </w:rPr>
        <w:t>3</w:t>
      </w:r>
      <w:r w:rsidRPr="00667DFF">
        <w:rPr>
          <w:rFonts w:cs="Arial"/>
          <w:spacing w:val="6"/>
          <w:sz w:val="26"/>
          <w:szCs w:val="24"/>
        </w:rPr>
        <w:t xml:space="preserve">9 por ciento son vacantes y de estas el </w:t>
      </w:r>
      <w:r>
        <w:rPr>
          <w:rFonts w:cs="Arial"/>
          <w:spacing w:val="6"/>
          <w:sz w:val="26"/>
          <w:szCs w:val="24"/>
        </w:rPr>
        <w:t>69</w:t>
      </w:r>
      <w:r w:rsidRPr="00667DFF">
        <w:rPr>
          <w:rFonts w:cs="Arial"/>
          <w:spacing w:val="6"/>
          <w:sz w:val="26"/>
          <w:szCs w:val="24"/>
        </w:rPr>
        <w:t xml:space="preserve"> por ciento están cubiertas.</w:t>
      </w:r>
    </w:p>
    <w:p w14:paraId="66B68A83" w14:textId="77777777" w:rsidR="00807992" w:rsidRPr="00667DFF" w:rsidRDefault="00807992" w:rsidP="00807992">
      <w:pPr>
        <w:spacing w:after="120"/>
        <w:ind w:firstLine="284"/>
        <w:rPr>
          <w:i/>
          <w:spacing w:val="6"/>
          <w:sz w:val="26"/>
          <w:szCs w:val="24"/>
        </w:rPr>
      </w:pPr>
      <w:r w:rsidRPr="00667DFF">
        <w:rPr>
          <w:i/>
          <w:spacing w:val="6"/>
          <w:sz w:val="26"/>
          <w:szCs w:val="24"/>
        </w:rPr>
        <w:t>OPE tasa de reposición y tasa de estabilización de empleo temporal</w:t>
      </w:r>
    </w:p>
    <w:p w14:paraId="03ECA29A" w14:textId="77777777" w:rsidR="00807992" w:rsidRDefault="00807992" w:rsidP="00807992">
      <w:pPr>
        <w:tabs>
          <w:tab w:val="left" w:pos="284"/>
          <w:tab w:val="num" w:pos="4046"/>
        </w:tabs>
        <w:spacing w:after="180"/>
        <w:ind w:firstLine="284"/>
        <w:rPr>
          <w:rFonts w:cs="Arial"/>
          <w:spacing w:val="6"/>
          <w:sz w:val="26"/>
          <w:szCs w:val="24"/>
        </w:rPr>
      </w:pPr>
      <w:r w:rsidRPr="00667DFF">
        <w:rPr>
          <w:rFonts w:cs="Arial"/>
          <w:spacing w:val="6"/>
          <w:sz w:val="26"/>
          <w:szCs w:val="24"/>
        </w:rPr>
        <w:t xml:space="preserve">La Gerencia de Urbanismo </w:t>
      </w:r>
      <w:r>
        <w:rPr>
          <w:rFonts w:cs="Arial"/>
          <w:spacing w:val="6"/>
          <w:sz w:val="26"/>
          <w:szCs w:val="24"/>
        </w:rPr>
        <w:t xml:space="preserve">no ha aprobado ninguna </w:t>
      </w:r>
      <w:r w:rsidRPr="00667DFF">
        <w:rPr>
          <w:rFonts w:cs="Arial"/>
          <w:spacing w:val="6"/>
          <w:sz w:val="26"/>
          <w:szCs w:val="24"/>
        </w:rPr>
        <w:t xml:space="preserve">OPE </w:t>
      </w:r>
      <w:r>
        <w:rPr>
          <w:rFonts w:cs="Arial"/>
          <w:spacing w:val="6"/>
          <w:sz w:val="26"/>
          <w:szCs w:val="24"/>
        </w:rPr>
        <w:t>en el marco de la Ley de Presupuestos Generales del Estado para 2021.</w:t>
      </w:r>
    </w:p>
    <w:p w14:paraId="2826ADB6" w14:textId="77777777" w:rsidR="00807992" w:rsidRDefault="00807992" w:rsidP="00807992">
      <w:pPr>
        <w:tabs>
          <w:tab w:val="left" w:pos="284"/>
          <w:tab w:val="num" w:pos="4046"/>
        </w:tabs>
        <w:spacing w:after="180"/>
        <w:ind w:firstLine="284"/>
        <w:rPr>
          <w:rFonts w:cs="Arial"/>
          <w:spacing w:val="6"/>
          <w:sz w:val="26"/>
          <w:szCs w:val="24"/>
        </w:rPr>
      </w:pPr>
      <w:r w:rsidRPr="00A21F7F">
        <w:rPr>
          <w:rFonts w:cs="Arial"/>
          <w:spacing w:val="6"/>
          <w:sz w:val="26"/>
          <w:szCs w:val="24"/>
        </w:rPr>
        <w:t xml:space="preserve">En aplicación de la Ley 20/2021 </w:t>
      </w:r>
      <w:r w:rsidR="00A21F7F" w:rsidRPr="00A21F7F">
        <w:rPr>
          <w:rFonts w:cs="Arial"/>
          <w:spacing w:val="6"/>
          <w:sz w:val="26"/>
          <w:szCs w:val="24"/>
        </w:rPr>
        <w:t xml:space="preserve">el Consejo de la Gerencia de Urbanismo </w:t>
      </w:r>
      <w:r w:rsidRPr="00A21F7F">
        <w:rPr>
          <w:rFonts w:cs="Arial"/>
          <w:spacing w:val="6"/>
          <w:sz w:val="26"/>
          <w:szCs w:val="24"/>
        </w:rPr>
        <w:t xml:space="preserve">ha aprobado </w:t>
      </w:r>
      <w:r w:rsidR="00A21F7F" w:rsidRPr="00A21F7F">
        <w:rPr>
          <w:rFonts w:cs="Arial"/>
          <w:spacing w:val="6"/>
          <w:sz w:val="26"/>
          <w:szCs w:val="24"/>
        </w:rPr>
        <w:t xml:space="preserve">el 18 de mayo de 2022, </w:t>
      </w:r>
      <w:r w:rsidRPr="00A21F7F">
        <w:rPr>
          <w:rFonts w:cs="Arial"/>
          <w:spacing w:val="6"/>
          <w:sz w:val="26"/>
          <w:szCs w:val="24"/>
        </w:rPr>
        <w:t>una OPE extraordinaria de estabilización para el ejercicio 2022 contemplando cinco plaza</w:t>
      </w:r>
      <w:r w:rsidR="00A21F7F" w:rsidRPr="00A21F7F">
        <w:rPr>
          <w:rFonts w:cs="Arial"/>
          <w:spacing w:val="6"/>
          <w:sz w:val="26"/>
          <w:szCs w:val="24"/>
        </w:rPr>
        <w:t>s.</w:t>
      </w:r>
    </w:p>
    <w:p w14:paraId="6EE2E8B2" w14:textId="77777777" w:rsidR="00807992" w:rsidRPr="00667DFF" w:rsidRDefault="00807992" w:rsidP="00807992">
      <w:pPr>
        <w:spacing w:after="120"/>
        <w:ind w:firstLine="284"/>
        <w:rPr>
          <w:i/>
          <w:spacing w:val="6"/>
          <w:sz w:val="26"/>
          <w:szCs w:val="24"/>
        </w:rPr>
      </w:pPr>
      <w:r>
        <w:rPr>
          <w:i/>
          <w:spacing w:val="6"/>
          <w:sz w:val="26"/>
          <w:szCs w:val="24"/>
        </w:rPr>
        <w:t>Contratación</w:t>
      </w:r>
    </w:p>
    <w:p w14:paraId="1205DCBE" w14:textId="77777777" w:rsidR="00807992" w:rsidRDefault="00807992" w:rsidP="00807992">
      <w:pPr>
        <w:tabs>
          <w:tab w:val="left" w:pos="284"/>
          <w:tab w:val="num" w:pos="4046"/>
        </w:tabs>
        <w:spacing w:after="180"/>
        <w:ind w:firstLine="284"/>
        <w:rPr>
          <w:rFonts w:cs="Arial"/>
          <w:spacing w:val="6"/>
          <w:sz w:val="26"/>
          <w:szCs w:val="24"/>
        </w:rPr>
      </w:pPr>
      <w:r>
        <w:rPr>
          <w:rFonts w:cs="Arial"/>
          <w:spacing w:val="6"/>
          <w:sz w:val="26"/>
          <w:szCs w:val="24"/>
        </w:rPr>
        <w:t>Hemos revisado el siguiente contrato:</w:t>
      </w:r>
    </w:p>
    <w:tbl>
      <w:tblPr>
        <w:tblW w:w="8931" w:type="dxa"/>
        <w:tblCellMar>
          <w:left w:w="70" w:type="dxa"/>
          <w:right w:w="70" w:type="dxa"/>
        </w:tblCellMar>
        <w:tblLook w:val="04A0" w:firstRow="1" w:lastRow="0" w:firstColumn="1" w:lastColumn="0" w:noHBand="0" w:noVBand="1"/>
      </w:tblPr>
      <w:tblGrid>
        <w:gridCol w:w="3261"/>
        <w:gridCol w:w="1417"/>
        <w:gridCol w:w="992"/>
        <w:gridCol w:w="1477"/>
        <w:gridCol w:w="1217"/>
        <w:gridCol w:w="567"/>
      </w:tblGrid>
      <w:tr w:rsidR="00807992" w:rsidRPr="00462324" w14:paraId="53994C77" w14:textId="77777777" w:rsidTr="006C15C7">
        <w:trPr>
          <w:trHeight w:val="255"/>
        </w:trPr>
        <w:tc>
          <w:tcPr>
            <w:tcW w:w="3261" w:type="dxa"/>
            <w:tcBorders>
              <w:top w:val="single" w:sz="4" w:space="0" w:color="auto"/>
              <w:left w:val="nil"/>
              <w:bottom w:val="single" w:sz="4" w:space="0" w:color="auto"/>
              <w:right w:val="nil"/>
            </w:tcBorders>
            <w:shd w:val="clear" w:color="000000" w:fill="F4B084"/>
            <w:vAlign w:val="center"/>
            <w:hideMark/>
          </w:tcPr>
          <w:p w14:paraId="05F2240B" w14:textId="77777777" w:rsidR="00807992" w:rsidRPr="00462324" w:rsidRDefault="00807992" w:rsidP="00807992">
            <w:pPr>
              <w:spacing w:after="0"/>
              <w:ind w:firstLine="0"/>
              <w:jc w:val="left"/>
              <w:rPr>
                <w:rFonts w:ascii="Arial" w:hAnsi="Arial" w:cs="Arial"/>
                <w:color w:val="000000"/>
                <w:sz w:val="18"/>
                <w:szCs w:val="18"/>
                <w:lang w:val="es-ES" w:eastAsia="es-ES"/>
              </w:rPr>
            </w:pPr>
            <w:r w:rsidRPr="00462324">
              <w:rPr>
                <w:rFonts w:ascii="Arial" w:hAnsi="Arial" w:cs="Arial"/>
                <w:color w:val="000000"/>
                <w:sz w:val="18"/>
                <w:szCs w:val="18"/>
                <w:lang w:val="es-ES" w:eastAsia="es-ES"/>
              </w:rPr>
              <w:t>Contrato</w:t>
            </w:r>
          </w:p>
        </w:tc>
        <w:tc>
          <w:tcPr>
            <w:tcW w:w="1417" w:type="dxa"/>
            <w:tcBorders>
              <w:top w:val="single" w:sz="4" w:space="0" w:color="auto"/>
              <w:left w:val="nil"/>
              <w:bottom w:val="single" w:sz="4" w:space="0" w:color="auto"/>
              <w:right w:val="nil"/>
            </w:tcBorders>
            <w:shd w:val="clear" w:color="000000" w:fill="F4B084"/>
            <w:vAlign w:val="center"/>
            <w:hideMark/>
          </w:tcPr>
          <w:p w14:paraId="355D6442" w14:textId="77777777" w:rsidR="00807992" w:rsidRPr="00462324" w:rsidRDefault="00807992" w:rsidP="00807992">
            <w:pPr>
              <w:spacing w:after="0"/>
              <w:ind w:firstLine="0"/>
              <w:jc w:val="left"/>
              <w:rPr>
                <w:rFonts w:ascii="Arial" w:hAnsi="Arial" w:cs="Arial"/>
                <w:color w:val="000000"/>
                <w:sz w:val="18"/>
                <w:szCs w:val="18"/>
                <w:lang w:val="es-ES" w:eastAsia="es-ES"/>
              </w:rPr>
            </w:pPr>
            <w:r w:rsidRPr="00462324">
              <w:rPr>
                <w:rFonts w:ascii="Arial" w:hAnsi="Arial" w:cs="Arial"/>
                <w:color w:val="000000"/>
                <w:sz w:val="18"/>
                <w:szCs w:val="18"/>
                <w:lang w:val="es-ES" w:eastAsia="es-ES"/>
              </w:rPr>
              <w:t>Procedimiento</w:t>
            </w:r>
          </w:p>
        </w:tc>
        <w:tc>
          <w:tcPr>
            <w:tcW w:w="992" w:type="dxa"/>
            <w:tcBorders>
              <w:top w:val="single" w:sz="4" w:space="0" w:color="auto"/>
              <w:left w:val="nil"/>
              <w:bottom w:val="single" w:sz="4" w:space="0" w:color="auto"/>
              <w:right w:val="nil"/>
            </w:tcBorders>
            <w:shd w:val="clear" w:color="000000" w:fill="F4B084"/>
            <w:vAlign w:val="center"/>
            <w:hideMark/>
          </w:tcPr>
          <w:p w14:paraId="5ADBFC89" w14:textId="77777777" w:rsidR="00807992" w:rsidRDefault="00807992" w:rsidP="00807992">
            <w:pPr>
              <w:spacing w:after="0"/>
              <w:ind w:firstLine="0"/>
              <w:jc w:val="center"/>
              <w:rPr>
                <w:rFonts w:ascii="Arial" w:hAnsi="Arial" w:cs="Arial"/>
                <w:color w:val="000000"/>
                <w:sz w:val="18"/>
                <w:szCs w:val="18"/>
                <w:lang w:val="es-ES" w:eastAsia="es-ES"/>
              </w:rPr>
            </w:pPr>
            <w:proofErr w:type="spellStart"/>
            <w:r w:rsidRPr="00462324">
              <w:rPr>
                <w:rFonts w:ascii="Arial" w:hAnsi="Arial" w:cs="Arial"/>
                <w:color w:val="000000"/>
                <w:sz w:val="18"/>
                <w:szCs w:val="18"/>
                <w:lang w:val="es-ES" w:eastAsia="es-ES"/>
              </w:rPr>
              <w:t>Nº</w:t>
            </w:r>
            <w:proofErr w:type="spellEnd"/>
            <w:r w:rsidRPr="00462324">
              <w:rPr>
                <w:rFonts w:ascii="Arial" w:hAnsi="Arial" w:cs="Arial"/>
                <w:color w:val="000000"/>
                <w:sz w:val="18"/>
                <w:szCs w:val="18"/>
                <w:lang w:val="es-ES" w:eastAsia="es-ES"/>
              </w:rPr>
              <w:t xml:space="preserve"> </w:t>
            </w:r>
          </w:p>
          <w:p w14:paraId="4473F554" w14:textId="77777777" w:rsidR="00807992" w:rsidRPr="00462324" w:rsidRDefault="00807992" w:rsidP="00807992">
            <w:pPr>
              <w:spacing w:after="0"/>
              <w:ind w:firstLine="0"/>
              <w:jc w:val="center"/>
              <w:rPr>
                <w:rFonts w:ascii="Arial" w:hAnsi="Arial" w:cs="Arial"/>
                <w:color w:val="000000"/>
                <w:sz w:val="18"/>
                <w:szCs w:val="18"/>
                <w:lang w:val="es-ES" w:eastAsia="es-ES"/>
              </w:rPr>
            </w:pPr>
            <w:r w:rsidRPr="00462324">
              <w:rPr>
                <w:rFonts w:ascii="Arial" w:hAnsi="Arial" w:cs="Arial"/>
                <w:color w:val="000000"/>
                <w:sz w:val="18"/>
                <w:szCs w:val="18"/>
                <w:lang w:val="es-ES" w:eastAsia="es-ES"/>
              </w:rPr>
              <w:t>licitadores</w:t>
            </w:r>
          </w:p>
        </w:tc>
        <w:tc>
          <w:tcPr>
            <w:tcW w:w="1477" w:type="dxa"/>
            <w:tcBorders>
              <w:top w:val="single" w:sz="4" w:space="0" w:color="auto"/>
              <w:left w:val="nil"/>
              <w:bottom w:val="single" w:sz="4" w:space="0" w:color="auto"/>
              <w:right w:val="nil"/>
            </w:tcBorders>
            <w:shd w:val="clear" w:color="000000" w:fill="F4B084"/>
            <w:vAlign w:val="center"/>
            <w:hideMark/>
          </w:tcPr>
          <w:p w14:paraId="2F975E06" w14:textId="77777777" w:rsidR="00807992" w:rsidRDefault="00807992" w:rsidP="000849B0">
            <w:pPr>
              <w:spacing w:after="0"/>
              <w:ind w:firstLine="0"/>
              <w:jc w:val="right"/>
              <w:rPr>
                <w:rFonts w:ascii="Arial" w:hAnsi="Arial" w:cs="Arial"/>
                <w:color w:val="000000"/>
                <w:sz w:val="18"/>
                <w:szCs w:val="18"/>
                <w:lang w:val="es-ES" w:eastAsia="es-ES"/>
              </w:rPr>
            </w:pPr>
            <w:r w:rsidRPr="00462324">
              <w:rPr>
                <w:rFonts w:ascii="Arial" w:hAnsi="Arial" w:cs="Arial"/>
                <w:color w:val="000000"/>
                <w:sz w:val="18"/>
                <w:szCs w:val="18"/>
                <w:lang w:val="es-ES" w:eastAsia="es-ES"/>
              </w:rPr>
              <w:t>Importe</w:t>
            </w:r>
          </w:p>
          <w:p w14:paraId="5CFEE318" w14:textId="77777777" w:rsidR="00807992" w:rsidRPr="00462324" w:rsidRDefault="00807992" w:rsidP="000849B0">
            <w:pPr>
              <w:spacing w:after="0"/>
              <w:ind w:firstLine="0"/>
              <w:jc w:val="right"/>
              <w:rPr>
                <w:rFonts w:ascii="Arial" w:hAnsi="Arial" w:cs="Arial"/>
                <w:color w:val="000000"/>
                <w:sz w:val="18"/>
                <w:szCs w:val="18"/>
                <w:lang w:val="es-ES" w:eastAsia="es-ES"/>
              </w:rPr>
            </w:pPr>
            <w:r w:rsidRPr="00462324">
              <w:rPr>
                <w:rFonts w:ascii="Arial" w:hAnsi="Arial" w:cs="Arial"/>
                <w:color w:val="000000"/>
                <w:sz w:val="18"/>
                <w:szCs w:val="18"/>
                <w:lang w:val="es-ES" w:eastAsia="es-ES"/>
              </w:rPr>
              <w:t xml:space="preserve"> licitación</w:t>
            </w:r>
          </w:p>
        </w:tc>
        <w:tc>
          <w:tcPr>
            <w:tcW w:w="1217" w:type="dxa"/>
            <w:tcBorders>
              <w:top w:val="single" w:sz="4" w:space="0" w:color="auto"/>
              <w:left w:val="nil"/>
              <w:bottom w:val="single" w:sz="4" w:space="0" w:color="auto"/>
              <w:right w:val="nil"/>
            </w:tcBorders>
            <w:shd w:val="clear" w:color="000000" w:fill="F4B084"/>
            <w:vAlign w:val="center"/>
            <w:hideMark/>
          </w:tcPr>
          <w:p w14:paraId="395B0488" w14:textId="77777777" w:rsidR="00807992" w:rsidRDefault="00807992" w:rsidP="000849B0">
            <w:pPr>
              <w:spacing w:after="0"/>
              <w:ind w:firstLine="0"/>
              <w:jc w:val="right"/>
              <w:rPr>
                <w:rFonts w:ascii="Arial" w:hAnsi="Arial" w:cs="Arial"/>
                <w:color w:val="000000"/>
                <w:sz w:val="18"/>
                <w:szCs w:val="18"/>
                <w:lang w:val="es-ES" w:eastAsia="es-ES"/>
              </w:rPr>
            </w:pPr>
            <w:r w:rsidRPr="00462324">
              <w:rPr>
                <w:rFonts w:ascii="Arial" w:hAnsi="Arial" w:cs="Arial"/>
                <w:color w:val="000000"/>
                <w:sz w:val="18"/>
                <w:szCs w:val="18"/>
                <w:lang w:val="es-ES" w:eastAsia="es-ES"/>
              </w:rPr>
              <w:t xml:space="preserve">Precio </w:t>
            </w:r>
          </w:p>
          <w:p w14:paraId="73C9B610" w14:textId="77777777" w:rsidR="00807992" w:rsidRPr="00462324" w:rsidRDefault="00807992" w:rsidP="000849B0">
            <w:pPr>
              <w:spacing w:after="0"/>
              <w:ind w:firstLine="0"/>
              <w:jc w:val="right"/>
              <w:rPr>
                <w:rFonts w:ascii="Arial" w:hAnsi="Arial" w:cs="Arial"/>
                <w:color w:val="000000"/>
                <w:sz w:val="18"/>
                <w:szCs w:val="18"/>
                <w:lang w:val="es-ES" w:eastAsia="es-ES"/>
              </w:rPr>
            </w:pPr>
            <w:r w:rsidRPr="00462324">
              <w:rPr>
                <w:rFonts w:ascii="Arial" w:hAnsi="Arial" w:cs="Arial"/>
                <w:color w:val="000000"/>
                <w:sz w:val="18"/>
                <w:szCs w:val="18"/>
                <w:lang w:val="es-ES" w:eastAsia="es-ES"/>
              </w:rPr>
              <w:t>adjudicación</w:t>
            </w:r>
          </w:p>
        </w:tc>
        <w:tc>
          <w:tcPr>
            <w:tcW w:w="567" w:type="dxa"/>
            <w:tcBorders>
              <w:top w:val="single" w:sz="4" w:space="0" w:color="auto"/>
              <w:left w:val="nil"/>
              <w:bottom w:val="single" w:sz="4" w:space="0" w:color="auto"/>
              <w:right w:val="nil"/>
            </w:tcBorders>
            <w:shd w:val="clear" w:color="000000" w:fill="F4B084"/>
            <w:vAlign w:val="center"/>
            <w:hideMark/>
          </w:tcPr>
          <w:p w14:paraId="1C5A69CB" w14:textId="77777777" w:rsidR="00807992" w:rsidRPr="00462324" w:rsidRDefault="00807992" w:rsidP="000849B0">
            <w:pPr>
              <w:spacing w:after="0"/>
              <w:ind w:firstLine="0"/>
              <w:jc w:val="right"/>
              <w:rPr>
                <w:rFonts w:ascii="Arial" w:hAnsi="Arial" w:cs="Arial"/>
                <w:color w:val="000000"/>
                <w:sz w:val="18"/>
                <w:szCs w:val="18"/>
                <w:lang w:val="es-ES" w:eastAsia="es-ES"/>
              </w:rPr>
            </w:pPr>
            <w:r w:rsidRPr="00462324">
              <w:rPr>
                <w:rFonts w:ascii="Arial" w:hAnsi="Arial" w:cs="Arial"/>
                <w:color w:val="000000"/>
                <w:sz w:val="18"/>
                <w:szCs w:val="18"/>
                <w:lang w:val="es-ES" w:eastAsia="es-ES"/>
              </w:rPr>
              <w:t>% Baja</w:t>
            </w:r>
          </w:p>
        </w:tc>
      </w:tr>
      <w:tr w:rsidR="00807992" w:rsidRPr="00462324" w14:paraId="69BA8208" w14:textId="77777777" w:rsidTr="006C15C7">
        <w:trPr>
          <w:trHeight w:val="780"/>
        </w:trPr>
        <w:tc>
          <w:tcPr>
            <w:tcW w:w="3261" w:type="dxa"/>
            <w:tcBorders>
              <w:top w:val="single" w:sz="4" w:space="0" w:color="auto"/>
              <w:left w:val="nil"/>
              <w:bottom w:val="single" w:sz="4" w:space="0" w:color="auto"/>
              <w:right w:val="nil"/>
            </w:tcBorders>
            <w:shd w:val="clear" w:color="auto" w:fill="auto"/>
            <w:vAlign w:val="center"/>
            <w:hideMark/>
          </w:tcPr>
          <w:p w14:paraId="3B174227" w14:textId="77777777" w:rsidR="00807992" w:rsidRPr="00462324" w:rsidRDefault="00807992" w:rsidP="00807992">
            <w:pPr>
              <w:spacing w:after="0"/>
              <w:ind w:firstLine="0"/>
              <w:jc w:val="left"/>
              <w:rPr>
                <w:rFonts w:ascii="Arial Narrow" w:hAnsi="Arial Narrow" w:cs="Calibri"/>
                <w:color w:val="000000"/>
                <w:sz w:val="16"/>
                <w:szCs w:val="16"/>
                <w:lang w:val="es-ES" w:eastAsia="es-ES"/>
              </w:rPr>
            </w:pPr>
            <w:r w:rsidRPr="00462324">
              <w:rPr>
                <w:rFonts w:ascii="Arial Narrow" w:hAnsi="Arial Narrow" w:cs="Calibri"/>
                <w:color w:val="000000"/>
                <w:sz w:val="16"/>
                <w:szCs w:val="16"/>
                <w:lang w:val="es-ES" w:eastAsia="es-ES"/>
              </w:rPr>
              <w:t xml:space="preserve">Redacción de las separatas denominadas "2ª y 3ª fase del proyecto de urbanización del sistema general gsa-2, de la U.I. V- </w:t>
            </w:r>
            <w:proofErr w:type="spellStart"/>
            <w:r w:rsidRPr="00462324">
              <w:rPr>
                <w:rFonts w:ascii="Arial Narrow" w:hAnsi="Arial Narrow" w:cs="Calibri"/>
                <w:color w:val="000000"/>
                <w:sz w:val="16"/>
                <w:szCs w:val="16"/>
                <w:lang w:val="es-ES" w:eastAsia="es-ES"/>
              </w:rPr>
              <w:t>Txantrea</w:t>
            </w:r>
            <w:proofErr w:type="spellEnd"/>
            <w:r w:rsidRPr="00462324">
              <w:rPr>
                <w:rFonts w:ascii="Arial Narrow" w:hAnsi="Arial Narrow" w:cs="Calibri"/>
                <w:color w:val="000000"/>
                <w:sz w:val="16"/>
                <w:szCs w:val="16"/>
                <w:lang w:val="es-ES" w:eastAsia="es-ES"/>
              </w:rPr>
              <w:t xml:space="preserve">- parque </w:t>
            </w:r>
            <w:proofErr w:type="spellStart"/>
            <w:r w:rsidRPr="00462324">
              <w:rPr>
                <w:rFonts w:ascii="Arial Narrow" w:hAnsi="Arial Narrow" w:cs="Calibri"/>
                <w:color w:val="000000"/>
                <w:sz w:val="16"/>
                <w:szCs w:val="16"/>
                <w:lang w:val="es-ES" w:eastAsia="es-ES"/>
              </w:rPr>
              <w:t>Txantrea</w:t>
            </w:r>
            <w:proofErr w:type="spellEnd"/>
            <w:r w:rsidRPr="00462324">
              <w:rPr>
                <w:rFonts w:ascii="Arial Narrow" w:hAnsi="Arial Narrow" w:cs="Calibri"/>
                <w:color w:val="000000"/>
                <w:sz w:val="16"/>
                <w:szCs w:val="16"/>
                <w:lang w:val="es-ES" w:eastAsia="es-ES"/>
              </w:rPr>
              <w:t xml:space="preserve"> sur", y en su caso, dirección de las obras</w:t>
            </w:r>
          </w:p>
        </w:tc>
        <w:tc>
          <w:tcPr>
            <w:tcW w:w="1417" w:type="dxa"/>
            <w:tcBorders>
              <w:top w:val="single" w:sz="4" w:space="0" w:color="auto"/>
              <w:left w:val="nil"/>
              <w:bottom w:val="single" w:sz="4" w:space="0" w:color="auto"/>
              <w:right w:val="nil"/>
            </w:tcBorders>
            <w:shd w:val="clear" w:color="auto" w:fill="auto"/>
            <w:vAlign w:val="center"/>
            <w:hideMark/>
          </w:tcPr>
          <w:p w14:paraId="0651B29B" w14:textId="77777777" w:rsidR="00807992" w:rsidRDefault="00807992" w:rsidP="00807992">
            <w:pPr>
              <w:spacing w:after="0"/>
              <w:ind w:firstLine="0"/>
              <w:jc w:val="center"/>
              <w:rPr>
                <w:rFonts w:ascii="Arial Narrow" w:hAnsi="Arial Narrow" w:cs="Calibri"/>
                <w:color w:val="000000"/>
                <w:sz w:val="16"/>
                <w:szCs w:val="16"/>
                <w:lang w:val="es-ES" w:eastAsia="es-ES"/>
              </w:rPr>
            </w:pPr>
            <w:r w:rsidRPr="00462324">
              <w:rPr>
                <w:rFonts w:ascii="Arial Narrow" w:hAnsi="Arial Narrow" w:cs="Calibri"/>
                <w:color w:val="000000"/>
                <w:sz w:val="16"/>
                <w:szCs w:val="16"/>
                <w:lang w:val="es-ES" w:eastAsia="es-ES"/>
              </w:rPr>
              <w:t>Abierto sin</w:t>
            </w:r>
          </w:p>
          <w:p w14:paraId="073D8F06" w14:textId="77777777" w:rsidR="00807992" w:rsidRPr="00462324" w:rsidRDefault="00807992" w:rsidP="00807992">
            <w:pPr>
              <w:spacing w:after="0"/>
              <w:ind w:firstLine="0"/>
              <w:jc w:val="center"/>
              <w:rPr>
                <w:rFonts w:ascii="Arial Narrow" w:hAnsi="Arial Narrow" w:cs="Calibri"/>
                <w:color w:val="000000"/>
                <w:sz w:val="16"/>
                <w:szCs w:val="16"/>
                <w:lang w:val="es-ES" w:eastAsia="es-ES"/>
              </w:rPr>
            </w:pPr>
            <w:r w:rsidRPr="00462324">
              <w:rPr>
                <w:rFonts w:ascii="Arial Narrow" w:hAnsi="Arial Narrow" w:cs="Calibri"/>
                <w:color w:val="000000"/>
                <w:sz w:val="16"/>
                <w:szCs w:val="16"/>
                <w:lang w:val="es-ES" w:eastAsia="es-ES"/>
              </w:rPr>
              <w:t xml:space="preserve"> publicidad europea </w:t>
            </w:r>
          </w:p>
        </w:tc>
        <w:tc>
          <w:tcPr>
            <w:tcW w:w="992" w:type="dxa"/>
            <w:tcBorders>
              <w:top w:val="single" w:sz="4" w:space="0" w:color="auto"/>
              <w:left w:val="nil"/>
              <w:bottom w:val="single" w:sz="4" w:space="0" w:color="auto"/>
              <w:right w:val="nil"/>
            </w:tcBorders>
            <w:shd w:val="clear" w:color="auto" w:fill="auto"/>
            <w:vAlign w:val="center"/>
            <w:hideMark/>
          </w:tcPr>
          <w:p w14:paraId="5FA47AD2" w14:textId="77777777" w:rsidR="00807992" w:rsidRPr="00462324" w:rsidRDefault="00807992" w:rsidP="00807992">
            <w:pPr>
              <w:spacing w:after="0"/>
              <w:ind w:firstLine="0"/>
              <w:jc w:val="center"/>
              <w:rPr>
                <w:rFonts w:ascii="Arial Narrow" w:hAnsi="Arial Narrow" w:cs="Calibri"/>
                <w:color w:val="000000"/>
                <w:sz w:val="16"/>
                <w:szCs w:val="16"/>
                <w:lang w:val="es-ES" w:eastAsia="es-ES"/>
              </w:rPr>
            </w:pPr>
            <w:r w:rsidRPr="00462324">
              <w:rPr>
                <w:rFonts w:ascii="Arial Narrow" w:hAnsi="Arial Narrow" w:cs="Calibri"/>
                <w:color w:val="000000"/>
                <w:sz w:val="16"/>
                <w:szCs w:val="16"/>
                <w:lang w:val="es-ES" w:eastAsia="es-ES"/>
              </w:rPr>
              <w:t> 2</w:t>
            </w:r>
          </w:p>
        </w:tc>
        <w:tc>
          <w:tcPr>
            <w:tcW w:w="1477" w:type="dxa"/>
            <w:tcBorders>
              <w:top w:val="single" w:sz="4" w:space="0" w:color="auto"/>
              <w:left w:val="nil"/>
              <w:bottom w:val="single" w:sz="4" w:space="0" w:color="auto"/>
              <w:right w:val="nil"/>
            </w:tcBorders>
            <w:shd w:val="clear" w:color="auto" w:fill="auto"/>
            <w:vAlign w:val="center"/>
            <w:hideMark/>
          </w:tcPr>
          <w:p w14:paraId="4408B97C" w14:textId="77777777" w:rsidR="00807992" w:rsidRPr="00462324" w:rsidRDefault="00807992" w:rsidP="00807992">
            <w:pPr>
              <w:spacing w:after="0"/>
              <w:ind w:firstLine="0"/>
              <w:jc w:val="right"/>
              <w:rPr>
                <w:rFonts w:ascii="Arial Narrow" w:hAnsi="Arial Narrow" w:cs="Calibri"/>
                <w:color w:val="000000"/>
                <w:sz w:val="16"/>
                <w:szCs w:val="16"/>
                <w:lang w:val="es-ES" w:eastAsia="es-ES"/>
              </w:rPr>
            </w:pPr>
            <w:r w:rsidRPr="00462324">
              <w:rPr>
                <w:rFonts w:ascii="Arial Narrow" w:hAnsi="Arial Narrow" w:cs="Calibri"/>
                <w:color w:val="000000"/>
                <w:sz w:val="16"/>
                <w:szCs w:val="16"/>
                <w:lang w:val="es-ES" w:eastAsia="es-ES"/>
              </w:rPr>
              <w:t>222.640 </w:t>
            </w:r>
          </w:p>
        </w:tc>
        <w:tc>
          <w:tcPr>
            <w:tcW w:w="1217" w:type="dxa"/>
            <w:tcBorders>
              <w:top w:val="single" w:sz="4" w:space="0" w:color="auto"/>
              <w:left w:val="nil"/>
              <w:bottom w:val="single" w:sz="4" w:space="0" w:color="auto"/>
              <w:right w:val="nil"/>
            </w:tcBorders>
            <w:shd w:val="clear" w:color="auto" w:fill="auto"/>
            <w:vAlign w:val="center"/>
            <w:hideMark/>
          </w:tcPr>
          <w:p w14:paraId="1DC092CE" w14:textId="77777777" w:rsidR="00807992" w:rsidRPr="00462324" w:rsidRDefault="00807992" w:rsidP="00807992">
            <w:pPr>
              <w:spacing w:after="0"/>
              <w:ind w:firstLine="0"/>
              <w:jc w:val="right"/>
              <w:rPr>
                <w:rFonts w:ascii="Arial Narrow" w:hAnsi="Arial Narrow" w:cs="Calibri"/>
                <w:color w:val="000000"/>
                <w:sz w:val="16"/>
                <w:szCs w:val="16"/>
                <w:lang w:val="es-ES" w:eastAsia="es-ES"/>
              </w:rPr>
            </w:pPr>
            <w:r w:rsidRPr="00462324">
              <w:rPr>
                <w:rFonts w:ascii="Arial Narrow" w:hAnsi="Arial Narrow" w:cs="Calibri"/>
                <w:color w:val="000000"/>
                <w:sz w:val="16"/>
                <w:szCs w:val="16"/>
                <w:lang w:val="es-ES" w:eastAsia="es-ES"/>
              </w:rPr>
              <w:t>165.165 </w:t>
            </w:r>
          </w:p>
        </w:tc>
        <w:tc>
          <w:tcPr>
            <w:tcW w:w="567" w:type="dxa"/>
            <w:tcBorders>
              <w:top w:val="single" w:sz="4" w:space="0" w:color="auto"/>
              <w:left w:val="nil"/>
              <w:bottom w:val="single" w:sz="4" w:space="0" w:color="auto"/>
              <w:right w:val="nil"/>
            </w:tcBorders>
            <w:shd w:val="clear" w:color="auto" w:fill="auto"/>
            <w:vAlign w:val="center"/>
            <w:hideMark/>
          </w:tcPr>
          <w:p w14:paraId="7FCCAA9F" w14:textId="77777777" w:rsidR="00807992" w:rsidRPr="00462324" w:rsidRDefault="00807992" w:rsidP="00807992">
            <w:pPr>
              <w:spacing w:after="0"/>
              <w:ind w:firstLine="0"/>
              <w:jc w:val="right"/>
              <w:rPr>
                <w:rFonts w:ascii="Arial Narrow" w:hAnsi="Arial Narrow" w:cs="Calibri"/>
                <w:color w:val="000000"/>
                <w:sz w:val="16"/>
                <w:szCs w:val="16"/>
                <w:lang w:val="es-ES" w:eastAsia="es-ES"/>
              </w:rPr>
            </w:pPr>
            <w:r w:rsidRPr="00462324">
              <w:rPr>
                <w:rFonts w:ascii="Arial Narrow" w:hAnsi="Arial Narrow" w:cs="Calibri"/>
                <w:color w:val="000000"/>
                <w:sz w:val="16"/>
                <w:szCs w:val="16"/>
                <w:lang w:val="es-ES" w:eastAsia="es-ES"/>
              </w:rPr>
              <w:t>25</w:t>
            </w:r>
          </w:p>
        </w:tc>
      </w:tr>
    </w:tbl>
    <w:p w14:paraId="331B58E1" w14:textId="77777777" w:rsidR="00807992" w:rsidRDefault="00807992" w:rsidP="00807992">
      <w:pPr>
        <w:spacing w:before="240"/>
        <w:ind w:firstLine="284"/>
        <w:rPr>
          <w:spacing w:val="6"/>
          <w:sz w:val="26"/>
          <w:szCs w:val="24"/>
        </w:rPr>
      </w:pPr>
      <w:r w:rsidRPr="00DD7910">
        <w:rPr>
          <w:spacing w:val="6"/>
          <w:sz w:val="26"/>
          <w:szCs w:val="24"/>
        </w:rPr>
        <w:t>En general, la licitación y su adjudica</w:t>
      </w:r>
      <w:r>
        <w:rPr>
          <w:spacing w:val="6"/>
          <w:sz w:val="26"/>
          <w:szCs w:val="24"/>
        </w:rPr>
        <w:t xml:space="preserve">ción se ha tramitado conforme a </w:t>
      </w:r>
      <w:r w:rsidRPr="00DD7910">
        <w:rPr>
          <w:spacing w:val="6"/>
          <w:sz w:val="26"/>
          <w:szCs w:val="24"/>
        </w:rPr>
        <w:t>la legislación</w:t>
      </w:r>
      <w:r>
        <w:rPr>
          <w:spacing w:val="6"/>
          <w:sz w:val="26"/>
          <w:szCs w:val="24"/>
        </w:rPr>
        <w:t xml:space="preserve"> contractual</w:t>
      </w:r>
      <w:r w:rsidRPr="00DD7910">
        <w:rPr>
          <w:spacing w:val="6"/>
          <w:sz w:val="26"/>
          <w:szCs w:val="24"/>
        </w:rPr>
        <w:t xml:space="preserve">, </w:t>
      </w:r>
      <w:r>
        <w:rPr>
          <w:spacing w:val="6"/>
          <w:sz w:val="26"/>
          <w:szCs w:val="24"/>
        </w:rPr>
        <w:t xml:space="preserve">si bien destacamos las siguientes incidencias: </w:t>
      </w:r>
    </w:p>
    <w:p w14:paraId="3B2D7FC3" w14:textId="77777777" w:rsidR="003739CB" w:rsidRDefault="00CF62A2" w:rsidP="00807992">
      <w:pPr>
        <w:numPr>
          <w:ilvl w:val="0"/>
          <w:numId w:val="10"/>
        </w:numPr>
        <w:tabs>
          <w:tab w:val="num" w:pos="284"/>
          <w:tab w:val="num" w:pos="600"/>
          <w:tab w:val="num" w:pos="720"/>
          <w:tab w:val="num" w:pos="1320"/>
        </w:tabs>
        <w:rPr>
          <w:rFonts w:cs="Arial"/>
          <w:spacing w:val="2"/>
          <w:sz w:val="26"/>
          <w:szCs w:val="24"/>
        </w:rPr>
      </w:pPr>
      <w:r>
        <w:rPr>
          <w:rFonts w:cs="Arial"/>
          <w:spacing w:val="2"/>
          <w:sz w:val="26"/>
          <w:szCs w:val="24"/>
        </w:rPr>
        <w:t>En relación con el</w:t>
      </w:r>
      <w:r w:rsidR="00807992" w:rsidRPr="00462324">
        <w:rPr>
          <w:rFonts w:cs="Arial"/>
          <w:spacing w:val="2"/>
          <w:sz w:val="26"/>
          <w:szCs w:val="24"/>
        </w:rPr>
        <w:t xml:space="preserve"> precio como criterio de adjudicación establecido en los pliegos de cláusulas administrativas, hemos observado </w:t>
      </w:r>
      <w:r w:rsidR="00807992">
        <w:rPr>
          <w:rFonts w:cs="Arial"/>
          <w:spacing w:val="2"/>
          <w:sz w:val="26"/>
          <w:szCs w:val="24"/>
        </w:rPr>
        <w:t>que s</w:t>
      </w:r>
      <w:r w:rsidR="00807992" w:rsidRPr="00462324">
        <w:rPr>
          <w:rFonts w:cs="Arial"/>
          <w:spacing w:val="2"/>
          <w:sz w:val="26"/>
          <w:szCs w:val="24"/>
        </w:rPr>
        <w:t xml:space="preserve">e ha previsto una fórmula de valoración de la oferta económica en la </w:t>
      </w:r>
      <w:proofErr w:type="gramStart"/>
      <w:r w:rsidR="00807992" w:rsidRPr="00462324">
        <w:rPr>
          <w:rFonts w:cs="Arial"/>
          <w:spacing w:val="2"/>
          <w:sz w:val="26"/>
          <w:szCs w:val="24"/>
        </w:rPr>
        <w:t>que</w:t>
      </w:r>
      <w:proofErr w:type="gramEnd"/>
      <w:r w:rsidR="00807992" w:rsidRPr="00462324">
        <w:rPr>
          <w:rFonts w:cs="Arial"/>
          <w:spacing w:val="2"/>
          <w:sz w:val="26"/>
          <w:szCs w:val="24"/>
        </w:rPr>
        <w:t xml:space="preserve"> superado un nivel de baja, la puntuación deja de ser directamente proporcional y constante</w:t>
      </w:r>
      <w:r w:rsidR="006D4233">
        <w:rPr>
          <w:rFonts w:cs="Arial"/>
          <w:spacing w:val="2"/>
          <w:sz w:val="26"/>
          <w:szCs w:val="24"/>
        </w:rPr>
        <w:t xml:space="preserve">. </w:t>
      </w:r>
    </w:p>
    <w:p w14:paraId="5B8B3561" w14:textId="77777777" w:rsidR="00807992" w:rsidRPr="00200F87" w:rsidRDefault="00200F87" w:rsidP="00200F87">
      <w:pPr>
        <w:tabs>
          <w:tab w:val="left" w:pos="284"/>
          <w:tab w:val="num" w:pos="4046"/>
        </w:tabs>
        <w:spacing w:after="180"/>
        <w:ind w:firstLine="284"/>
        <w:rPr>
          <w:rFonts w:cs="Arial"/>
          <w:spacing w:val="6"/>
          <w:sz w:val="26"/>
          <w:szCs w:val="24"/>
        </w:rPr>
      </w:pPr>
      <w:r w:rsidRPr="00200F87">
        <w:rPr>
          <w:rFonts w:cs="Arial"/>
          <w:spacing w:val="6"/>
          <w:sz w:val="26"/>
          <w:szCs w:val="24"/>
        </w:rPr>
        <w:t xml:space="preserve">Nos remitimos a la opinión que </w:t>
      </w:r>
      <w:r>
        <w:rPr>
          <w:rFonts w:cs="Arial"/>
          <w:spacing w:val="6"/>
          <w:sz w:val="26"/>
          <w:szCs w:val="24"/>
        </w:rPr>
        <w:t>hemos realizado sobre esta fórmula en los gastos de inversión del Ayuntamiento d</w:t>
      </w:r>
      <w:r w:rsidR="006D4233">
        <w:rPr>
          <w:rFonts w:cs="Arial"/>
          <w:spacing w:val="6"/>
          <w:sz w:val="26"/>
          <w:szCs w:val="24"/>
        </w:rPr>
        <w:t>e Pamplona en el apartado 5.4.4</w:t>
      </w:r>
      <w:r w:rsidR="00807992" w:rsidRPr="00200F87">
        <w:rPr>
          <w:rFonts w:cs="Arial"/>
          <w:spacing w:val="6"/>
          <w:sz w:val="26"/>
          <w:szCs w:val="24"/>
        </w:rPr>
        <w:t xml:space="preserve"> </w:t>
      </w:r>
    </w:p>
    <w:p w14:paraId="068BA667" w14:textId="77777777" w:rsidR="00807992" w:rsidRDefault="00807992" w:rsidP="00807992">
      <w:pPr>
        <w:numPr>
          <w:ilvl w:val="0"/>
          <w:numId w:val="10"/>
        </w:numPr>
        <w:tabs>
          <w:tab w:val="num" w:pos="284"/>
          <w:tab w:val="num" w:pos="600"/>
          <w:tab w:val="num" w:pos="720"/>
          <w:tab w:val="num" w:pos="1320"/>
        </w:tabs>
        <w:rPr>
          <w:rFonts w:cs="Arial"/>
          <w:spacing w:val="6"/>
          <w:sz w:val="26"/>
          <w:szCs w:val="24"/>
        </w:rPr>
      </w:pPr>
      <w:r w:rsidRPr="0056691D">
        <w:rPr>
          <w:rFonts w:cs="Arial"/>
          <w:spacing w:val="2"/>
          <w:sz w:val="26"/>
          <w:szCs w:val="24"/>
        </w:rPr>
        <w:t>No</w:t>
      </w:r>
      <w:r>
        <w:rPr>
          <w:rFonts w:cs="Arial"/>
          <w:spacing w:val="2"/>
          <w:sz w:val="26"/>
          <w:szCs w:val="24"/>
        </w:rPr>
        <w:t xml:space="preserve"> </w:t>
      </w:r>
      <w:r w:rsidRPr="00136DC0">
        <w:rPr>
          <w:rFonts w:cs="Arial"/>
          <w:spacing w:val="6"/>
          <w:sz w:val="26"/>
          <w:szCs w:val="24"/>
        </w:rPr>
        <w:t xml:space="preserve">se </w:t>
      </w:r>
      <w:r>
        <w:rPr>
          <w:rFonts w:cs="Arial"/>
          <w:spacing w:val="6"/>
          <w:sz w:val="26"/>
          <w:szCs w:val="24"/>
        </w:rPr>
        <w:t xml:space="preserve">ha establecido en los pliegos de cláusulas administrativas, ninguna </w:t>
      </w:r>
      <w:r w:rsidRPr="00136DC0">
        <w:rPr>
          <w:rFonts w:cs="Arial"/>
          <w:spacing w:val="6"/>
          <w:sz w:val="26"/>
          <w:szCs w:val="24"/>
        </w:rPr>
        <w:t>condici</w:t>
      </w:r>
      <w:r>
        <w:rPr>
          <w:rFonts w:cs="Arial"/>
          <w:spacing w:val="6"/>
          <w:sz w:val="26"/>
          <w:szCs w:val="24"/>
        </w:rPr>
        <w:t>ón especial de ejecución sin que conste en el expediente los motivos que justifiquen su exclusión.</w:t>
      </w:r>
    </w:p>
    <w:p w14:paraId="367B80EE" w14:textId="77777777" w:rsidR="00807992" w:rsidRDefault="00807992" w:rsidP="00807992">
      <w:pPr>
        <w:numPr>
          <w:ilvl w:val="0"/>
          <w:numId w:val="10"/>
        </w:numPr>
        <w:tabs>
          <w:tab w:val="num" w:pos="284"/>
          <w:tab w:val="num" w:pos="600"/>
          <w:tab w:val="num" w:pos="720"/>
          <w:tab w:val="num" w:pos="1320"/>
        </w:tabs>
        <w:rPr>
          <w:rFonts w:cs="Arial"/>
          <w:spacing w:val="2"/>
          <w:sz w:val="26"/>
          <w:szCs w:val="24"/>
        </w:rPr>
      </w:pPr>
      <w:r>
        <w:rPr>
          <w:rFonts w:cs="Arial"/>
          <w:spacing w:val="2"/>
          <w:sz w:val="26"/>
          <w:szCs w:val="24"/>
        </w:rPr>
        <w:lastRenderedPageBreak/>
        <w:t xml:space="preserve">La publicación de la adjudicación en el Portal de </w:t>
      </w:r>
      <w:proofErr w:type="gramStart"/>
      <w:r>
        <w:rPr>
          <w:rFonts w:cs="Arial"/>
          <w:spacing w:val="2"/>
          <w:sz w:val="26"/>
          <w:szCs w:val="24"/>
        </w:rPr>
        <w:t>Contratación,</w:t>
      </w:r>
      <w:proofErr w:type="gramEnd"/>
      <w:r>
        <w:rPr>
          <w:rFonts w:cs="Arial"/>
          <w:spacing w:val="2"/>
          <w:sz w:val="26"/>
          <w:szCs w:val="24"/>
        </w:rPr>
        <w:t xml:space="preserve"> se realiza con posterioridad a los plazos previstos en la norma contractual. </w:t>
      </w:r>
    </w:p>
    <w:p w14:paraId="3B0DF730" w14:textId="77777777" w:rsidR="00200F87" w:rsidRPr="00200F87" w:rsidRDefault="00807992" w:rsidP="00807992">
      <w:pPr>
        <w:spacing w:before="240"/>
        <w:ind w:firstLine="284"/>
        <w:rPr>
          <w:spacing w:val="6"/>
          <w:sz w:val="26"/>
          <w:szCs w:val="24"/>
        </w:rPr>
      </w:pPr>
      <w:r w:rsidRPr="00200F87">
        <w:rPr>
          <w:spacing w:val="6"/>
          <w:sz w:val="26"/>
          <w:szCs w:val="24"/>
        </w:rPr>
        <w:t xml:space="preserve">Recomendamos </w:t>
      </w:r>
    </w:p>
    <w:p w14:paraId="21D0C647" w14:textId="77777777" w:rsidR="00200F87" w:rsidRPr="005360A2" w:rsidRDefault="00200F87" w:rsidP="00200F87">
      <w:pPr>
        <w:numPr>
          <w:ilvl w:val="0"/>
          <w:numId w:val="10"/>
        </w:numPr>
        <w:tabs>
          <w:tab w:val="num" w:pos="284"/>
          <w:tab w:val="num" w:pos="600"/>
          <w:tab w:val="num" w:pos="720"/>
          <w:tab w:val="num" w:pos="1320"/>
        </w:tabs>
        <w:spacing w:after="160"/>
        <w:rPr>
          <w:rFonts w:cs="Arial"/>
          <w:i/>
          <w:spacing w:val="6"/>
          <w:sz w:val="26"/>
          <w:szCs w:val="24"/>
        </w:rPr>
      </w:pPr>
      <w:r>
        <w:rPr>
          <w:rFonts w:cs="Arial"/>
          <w:i/>
          <w:spacing w:val="6"/>
          <w:sz w:val="26"/>
          <w:szCs w:val="24"/>
        </w:rPr>
        <w:t xml:space="preserve">Justificar en el expediente los motivos del no establecimiento de las condiciones especiales de ejecución. </w:t>
      </w:r>
    </w:p>
    <w:p w14:paraId="61536377" w14:textId="77777777" w:rsidR="00200F87" w:rsidRPr="005360A2" w:rsidRDefault="00200F87" w:rsidP="00200F87">
      <w:pPr>
        <w:numPr>
          <w:ilvl w:val="0"/>
          <w:numId w:val="10"/>
        </w:numPr>
        <w:tabs>
          <w:tab w:val="num" w:pos="284"/>
          <w:tab w:val="num" w:pos="600"/>
          <w:tab w:val="num" w:pos="720"/>
          <w:tab w:val="num" w:pos="1320"/>
        </w:tabs>
        <w:spacing w:after="160"/>
        <w:rPr>
          <w:rFonts w:cs="Arial"/>
          <w:i/>
          <w:spacing w:val="6"/>
          <w:sz w:val="26"/>
          <w:szCs w:val="24"/>
        </w:rPr>
      </w:pPr>
      <w:r w:rsidRPr="005360A2">
        <w:rPr>
          <w:rFonts w:cs="Arial"/>
          <w:i/>
          <w:spacing w:val="2"/>
          <w:sz w:val="26"/>
          <w:szCs w:val="24"/>
        </w:rPr>
        <w:t>P</w:t>
      </w:r>
      <w:r w:rsidRPr="005360A2">
        <w:rPr>
          <w:rFonts w:cs="Arial"/>
          <w:i/>
          <w:spacing w:val="6"/>
          <w:sz w:val="26"/>
          <w:szCs w:val="24"/>
        </w:rPr>
        <w:t>ublicar la adjudicación de los contratos en el Portal de Contratación dentro de los plazos previstos en el marco contractual.</w:t>
      </w:r>
    </w:p>
    <w:p w14:paraId="571BA59E" w14:textId="77777777" w:rsidR="00807992" w:rsidRPr="00B8008C" w:rsidRDefault="00807992" w:rsidP="0026226F">
      <w:pPr>
        <w:pStyle w:val="texto"/>
      </w:pPr>
      <w:bookmarkStart w:id="163" w:name="_Toc118266042"/>
      <w:r w:rsidRPr="00B8008C">
        <w:t>5.5.</w:t>
      </w:r>
      <w:r w:rsidR="005D692D">
        <w:t>3</w:t>
      </w:r>
      <w:r w:rsidRPr="00B8008C">
        <w:t>. Informes de auditoría de los organismos autónomos</w:t>
      </w:r>
      <w:bookmarkEnd w:id="163"/>
    </w:p>
    <w:p w14:paraId="5AAD92FC" w14:textId="77777777" w:rsidR="00807992" w:rsidRDefault="006D4233" w:rsidP="00807992">
      <w:pPr>
        <w:ind w:firstLine="284"/>
        <w:rPr>
          <w:spacing w:val="6"/>
          <w:sz w:val="26"/>
          <w:szCs w:val="24"/>
        </w:rPr>
      </w:pPr>
      <w:r>
        <w:rPr>
          <w:spacing w:val="6"/>
          <w:sz w:val="26"/>
          <w:szCs w:val="24"/>
        </w:rPr>
        <w:t>La cuenta g</w:t>
      </w:r>
      <w:r w:rsidR="00807992">
        <w:rPr>
          <w:spacing w:val="6"/>
          <w:sz w:val="26"/>
          <w:szCs w:val="24"/>
        </w:rPr>
        <w:t xml:space="preserve">eneral de los organismos autónomos </w:t>
      </w:r>
      <w:r w:rsidR="0055223F">
        <w:rPr>
          <w:spacing w:val="6"/>
          <w:sz w:val="26"/>
          <w:szCs w:val="24"/>
        </w:rPr>
        <w:t xml:space="preserve">es </w:t>
      </w:r>
      <w:r w:rsidR="00807992">
        <w:rPr>
          <w:spacing w:val="6"/>
          <w:sz w:val="26"/>
          <w:szCs w:val="24"/>
        </w:rPr>
        <w:t>auditada anualmente por profesionales externos, realizándose auditorias financieras y de legalidad. En todas las auditorías realizadas se adjunta informe con carta de recomendaciones.</w:t>
      </w:r>
    </w:p>
    <w:p w14:paraId="4FECBFA9" w14:textId="77777777" w:rsidR="00807992" w:rsidRDefault="00807992" w:rsidP="00807992">
      <w:pPr>
        <w:spacing w:after="240"/>
        <w:ind w:firstLine="284"/>
        <w:rPr>
          <w:spacing w:val="6"/>
          <w:sz w:val="26"/>
          <w:szCs w:val="24"/>
        </w:rPr>
      </w:pPr>
      <w:r>
        <w:rPr>
          <w:spacing w:val="6"/>
          <w:sz w:val="26"/>
          <w:szCs w:val="24"/>
        </w:rPr>
        <w:t>Los tipos de opinión emitidos en los informes han sido los siguientes:</w:t>
      </w:r>
    </w:p>
    <w:tbl>
      <w:tblPr>
        <w:tblW w:w="4986" w:type="pct"/>
        <w:jc w:val="center"/>
        <w:tblCellMar>
          <w:left w:w="70" w:type="dxa"/>
          <w:right w:w="70" w:type="dxa"/>
        </w:tblCellMar>
        <w:tblLook w:val="04A0" w:firstRow="1" w:lastRow="0" w:firstColumn="1" w:lastColumn="0" w:noHBand="0" w:noVBand="1"/>
      </w:tblPr>
      <w:tblGrid>
        <w:gridCol w:w="1891"/>
        <w:gridCol w:w="2121"/>
        <w:gridCol w:w="2121"/>
        <w:gridCol w:w="2631"/>
      </w:tblGrid>
      <w:tr w:rsidR="00807992" w:rsidRPr="00667DFF" w14:paraId="30164D58" w14:textId="77777777" w:rsidTr="006C15C7">
        <w:trPr>
          <w:trHeight w:val="255"/>
          <w:jc w:val="center"/>
        </w:trPr>
        <w:tc>
          <w:tcPr>
            <w:tcW w:w="998" w:type="pct"/>
            <w:tcBorders>
              <w:top w:val="single" w:sz="4" w:space="0" w:color="auto"/>
              <w:left w:val="nil"/>
              <w:bottom w:val="single" w:sz="4" w:space="0" w:color="auto"/>
              <w:right w:val="nil"/>
            </w:tcBorders>
            <w:shd w:val="clear" w:color="000000" w:fill="FABF8F" w:themeFill="accent6" w:themeFillTint="99"/>
            <w:noWrap/>
            <w:vAlign w:val="center"/>
            <w:hideMark/>
          </w:tcPr>
          <w:p w14:paraId="4881A8BC" w14:textId="77777777" w:rsidR="00807992" w:rsidRPr="00667DFF" w:rsidRDefault="00807992" w:rsidP="00807992">
            <w:pPr>
              <w:tabs>
                <w:tab w:val="left" w:pos="142"/>
              </w:tabs>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Organismo Autónomo</w:t>
            </w:r>
          </w:p>
        </w:tc>
        <w:tc>
          <w:tcPr>
            <w:tcW w:w="1237" w:type="pct"/>
            <w:tcBorders>
              <w:top w:val="single" w:sz="4" w:space="0" w:color="auto"/>
              <w:left w:val="nil"/>
              <w:bottom w:val="single" w:sz="4" w:space="0" w:color="auto"/>
              <w:right w:val="nil"/>
            </w:tcBorders>
            <w:shd w:val="clear" w:color="000000" w:fill="FABF8F" w:themeFill="accent6" w:themeFillTint="99"/>
            <w:vAlign w:val="center"/>
          </w:tcPr>
          <w:p w14:paraId="3133152E" w14:textId="77777777" w:rsidR="00807992" w:rsidRPr="00667DFF" w:rsidRDefault="00807992" w:rsidP="00317422">
            <w:pPr>
              <w:tabs>
                <w:tab w:val="left" w:pos="142"/>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Auditoría Financiera</w:t>
            </w:r>
          </w:p>
        </w:tc>
        <w:tc>
          <w:tcPr>
            <w:tcW w:w="1237" w:type="pct"/>
            <w:tcBorders>
              <w:top w:val="single" w:sz="4" w:space="0" w:color="auto"/>
              <w:left w:val="nil"/>
              <w:bottom w:val="single" w:sz="4" w:space="0" w:color="auto"/>
              <w:right w:val="nil"/>
            </w:tcBorders>
            <w:shd w:val="clear" w:color="000000" w:fill="FABF8F" w:themeFill="accent6" w:themeFillTint="99"/>
            <w:noWrap/>
            <w:vAlign w:val="center"/>
            <w:hideMark/>
          </w:tcPr>
          <w:p w14:paraId="0FC05A3C" w14:textId="77777777" w:rsidR="00807992" w:rsidRPr="00667DFF" w:rsidRDefault="00807992" w:rsidP="00317422">
            <w:pPr>
              <w:tabs>
                <w:tab w:val="left" w:pos="142"/>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Auditoria Legalidad</w:t>
            </w:r>
          </w:p>
        </w:tc>
        <w:tc>
          <w:tcPr>
            <w:tcW w:w="1529" w:type="pct"/>
            <w:tcBorders>
              <w:top w:val="single" w:sz="4" w:space="0" w:color="auto"/>
              <w:left w:val="nil"/>
              <w:bottom w:val="single" w:sz="4" w:space="0" w:color="auto"/>
              <w:right w:val="nil"/>
            </w:tcBorders>
            <w:shd w:val="clear" w:color="000000" w:fill="FABF8F" w:themeFill="accent6" w:themeFillTint="99"/>
            <w:vAlign w:val="center"/>
          </w:tcPr>
          <w:p w14:paraId="61525F13" w14:textId="77777777" w:rsidR="00807992" w:rsidRPr="00667DFF" w:rsidRDefault="00807992" w:rsidP="00310EA7">
            <w:pPr>
              <w:tabs>
                <w:tab w:val="left" w:pos="142"/>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Salvedad</w:t>
            </w:r>
          </w:p>
        </w:tc>
      </w:tr>
      <w:tr w:rsidR="00807992" w:rsidRPr="00667DFF" w14:paraId="0C5E714E" w14:textId="77777777" w:rsidTr="006C15C7">
        <w:trPr>
          <w:trHeight w:val="198"/>
          <w:jc w:val="center"/>
        </w:trPr>
        <w:tc>
          <w:tcPr>
            <w:tcW w:w="998" w:type="pct"/>
            <w:tcBorders>
              <w:top w:val="single" w:sz="4" w:space="0" w:color="auto"/>
              <w:left w:val="nil"/>
              <w:bottom w:val="single" w:sz="4" w:space="0" w:color="auto"/>
              <w:right w:val="nil"/>
            </w:tcBorders>
            <w:shd w:val="clear" w:color="000000" w:fill="FFFFFF"/>
            <w:noWrap/>
            <w:vAlign w:val="center"/>
          </w:tcPr>
          <w:p w14:paraId="62A202F5"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Pr>
                <w:rFonts w:ascii="Arial Narrow" w:hAnsi="Arial Narrow"/>
                <w:color w:val="000000"/>
                <w:lang w:val="es-ES" w:eastAsia="es-ES"/>
              </w:rPr>
              <w:t>Escuelas Infantiles</w:t>
            </w:r>
          </w:p>
        </w:tc>
        <w:tc>
          <w:tcPr>
            <w:tcW w:w="1237" w:type="pct"/>
            <w:tcBorders>
              <w:top w:val="single" w:sz="4" w:space="0" w:color="auto"/>
              <w:left w:val="nil"/>
              <w:bottom w:val="single" w:sz="4" w:space="0" w:color="auto"/>
              <w:right w:val="nil"/>
            </w:tcBorders>
            <w:shd w:val="clear" w:color="000000" w:fill="FFFFFF"/>
            <w:vAlign w:val="center"/>
          </w:tcPr>
          <w:p w14:paraId="7C58509C"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w:t>
            </w:r>
          </w:p>
        </w:tc>
        <w:tc>
          <w:tcPr>
            <w:tcW w:w="1237" w:type="pct"/>
            <w:tcBorders>
              <w:top w:val="single" w:sz="4" w:space="0" w:color="auto"/>
              <w:left w:val="nil"/>
              <w:bottom w:val="single" w:sz="4" w:space="0" w:color="auto"/>
              <w:right w:val="nil"/>
            </w:tcBorders>
            <w:shd w:val="clear" w:color="000000" w:fill="FFFFFF"/>
            <w:noWrap/>
            <w:vAlign w:val="center"/>
          </w:tcPr>
          <w:p w14:paraId="6319682E"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 con salvedades</w:t>
            </w:r>
          </w:p>
        </w:tc>
        <w:tc>
          <w:tcPr>
            <w:tcW w:w="1529" w:type="pct"/>
            <w:tcBorders>
              <w:top w:val="single" w:sz="4" w:space="0" w:color="auto"/>
              <w:left w:val="nil"/>
              <w:bottom w:val="single" w:sz="4" w:space="0" w:color="auto"/>
              <w:right w:val="nil"/>
            </w:tcBorders>
            <w:shd w:val="clear" w:color="000000" w:fill="FFFFFF"/>
            <w:vAlign w:val="center"/>
          </w:tcPr>
          <w:p w14:paraId="60BEA21F"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Contratación suministro limpieza sin procedimiento de adjudicación</w:t>
            </w:r>
          </w:p>
        </w:tc>
      </w:tr>
      <w:tr w:rsidR="00807992" w:rsidRPr="00667DFF" w14:paraId="1CD5F4DC" w14:textId="77777777" w:rsidTr="006C15C7">
        <w:trPr>
          <w:trHeight w:val="198"/>
          <w:jc w:val="center"/>
        </w:trPr>
        <w:tc>
          <w:tcPr>
            <w:tcW w:w="998" w:type="pct"/>
            <w:tcBorders>
              <w:top w:val="single" w:sz="4" w:space="0" w:color="auto"/>
              <w:left w:val="nil"/>
              <w:bottom w:val="single" w:sz="4" w:space="0" w:color="auto"/>
              <w:right w:val="nil"/>
            </w:tcBorders>
            <w:shd w:val="clear" w:color="000000" w:fill="FFFFFF"/>
            <w:noWrap/>
            <w:vAlign w:val="center"/>
          </w:tcPr>
          <w:p w14:paraId="1E2D8259" w14:textId="77777777" w:rsidR="00807992" w:rsidRDefault="00807992" w:rsidP="00807992">
            <w:pPr>
              <w:tabs>
                <w:tab w:val="left" w:pos="142"/>
              </w:tabs>
              <w:spacing w:after="0"/>
              <w:ind w:firstLine="0"/>
              <w:jc w:val="left"/>
              <w:rPr>
                <w:rFonts w:ascii="Arial Narrow" w:hAnsi="Arial Narrow"/>
                <w:color w:val="000000"/>
                <w:lang w:val="es-ES" w:eastAsia="es-ES"/>
              </w:rPr>
            </w:pPr>
            <w:r>
              <w:rPr>
                <w:rFonts w:ascii="Arial Narrow" w:hAnsi="Arial Narrow"/>
                <w:color w:val="000000"/>
                <w:lang w:val="es-ES" w:eastAsia="es-ES"/>
              </w:rPr>
              <w:t>Gerencia de Urbanismo</w:t>
            </w:r>
          </w:p>
        </w:tc>
        <w:tc>
          <w:tcPr>
            <w:tcW w:w="1237" w:type="pct"/>
            <w:tcBorders>
              <w:top w:val="single" w:sz="4" w:space="0" w:color="auto"/>
              <w:left w:val="nil"/>
              <w:bottom w:val="single" w:sz="4" w:space="0" w:color="auto"/>
              <w:right w:val="nil"/>
            </w:tcBorders>
            <w:shd w:val="clear" w:color="000000" w:fill="FFFFFF"/>
            <w:vAlign w:val="center"/>
          </w:tcPr>
          <w:p w14:paraId="52EE4EF9" w14:textId="77777777" w:rsidR="00807992"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w:t>
            </w:r>
          </w:p>
        </w:tc>
        <w:tc>
          <w:tcPr>
            <w:tcW w:w="1237" w:type="pct"/>
            <w:tcBorders>
              <w:top w:val="single" w:sz="4" w:space="0" w:color="auto"/>
              <w:left w:val="nil"/>
              <w:bottom w:val="single" w:sz="4" w:space="0" w:color="auto"/>
              <w:right w:val="nil"/>
            </w:tcBorders>
            <w:shd w:val="clear" w:color="000000" w:fill="FFFFFF"/>
            <w:noWrap/>
            <w:vAlign w:val="center"/>
          </w:tcPr>
          <w:p w14:paraId="1B587A9B" w14:textId="77777777" w:rsidR="00807992"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w:t>
            </w:r>
          </w:p>
        </w:tc>
        <w:tc>
          <w:tcPr>
            <w:tcW w:w="1529" w:type="pct"/>
            <w:tcBorders>
              <w:top w:val="single" w:sz="4" w:space="0" w:color="auto"/>
              <w:left w:val="nil"/>
              <w:bottom w:val="single" w:sz="4" w:space="0" w:color="auto"/>
              <w:right w:val="nil"/>
            </w:tcBorders>
            <w:shd w:val="clear" w:color="000000" w:fill="FFFFFF"/>
            <w:vAlign w:val="center"/>
          </w:tcPr>
          <w:p w14:paraId="2C643F1D" w14:textId="77777777" w:rsidR="00807992" w:rsidRDefault="00807992" w:rsidP="00317422">
            <w:pPr>
              <w:tabs>
                <w:tab w:val="left" w:pos="142"/>
              </w:tabs>
              <w:spacing w:after="0"/>
              <w:ind w:firstLine="0"/>
              <w:jc w:val="right"/>
              <w:rPr>
                <w:rFonts w:ascii="Arial Narrow" w:hAnsi="Arial Narrow"/>
                <w:color w:val="000000"/>
                <w:lang w:val="es-ES" w:eastAsia="es-ES"/>
              </w:rPr>
            </w:pPr>
          </w:p>
        </w:tc>
      </w:tr>
    </w:tbl>
    <w:p w14:paraId="571F4DAC" w14:textId="77777777" w:rsidR="00807992" w:rsidRDefault="00807992" w:rsidP="00807992">
      <w:pPr>
        <w:tabs>
          <w:tab w:val="left" w:pos="284"/>
          <w:tab w:val="num" w:pos="4046"/>
        </w:tabs>
        <w:spacing w:before="120" w:after="180"/>
        <w:ind w:firstLine="284"/>
        <w:rPr>
          <w:rFonts w:cs="Arial"/>
          <w:spacing w:val="6"/>
          <w:sz w:val="26"/>
          <w:szCs w:val="24"/>
        </w:rPr>
      </w:pPr>
      <w:r>
        <w:rPr>
          <w:rFonts w:cs="Arial"/>
          <w:spacing w:val="6"/>
          <w:sz w:val="26"/>
          <w:szCs w:val="24"/>
        </w:rPr>
        <w:t>Destacamos las siguientes cuestiones:</w:t>
      </w:r>
    </w:p>
    <w:p w14:paraId="66F3B0B3" w14:textId="77777777" w:rsidR="00807992" w:rsidRPr="00022E1D" w:rsidRDefault="00CF62A2" w:rsidP="00807992">
      <w:pPr>
        <w:numPr>
          <w:ilvl w:val="0"/>
          <w:numId w:val="10"/>
        </w:numPr>
        <w:tabs>
          <w:tab w:val="num" w:pos="284"/>
          <w:tab w:val="num" w:pos="600"/>
          <w:tab w:val="num" w:pos="720"/>
          <w:tab w:val="num" w:pos="1320"/>
        </w:tabs>
        <w:rPr>
          <w:rFonts w:cs="Arial"/>
          <w:spacing w:val="2"/>
          <w:sz w:val="26"/>
          <w:szCs w:val="24"/>
        </w:rPr>
      </w:pPr>
      <w:r>
        <w:rPr>
          <w:rFonts w:cs="Arial"/>
          <w:spacing w:val="2"/>
          <w:sz w:val="26"/>
          <w:szCs w:val="24"/>
        </w:rPr>
        <w:t xml:space="preserve">En relación con </w:t>
      </w:r>
      <w:r w:rsidR="00807992" w:rsidRPr="00022E1D">
        <w:rPr>
          <w:rFonts w:cs="Arial"/>
          <w:spacing w:val="2"/>
          <w:sz w:val="26"/>
          <w:szCs w:val="24"/>
        </w:rPr>
        <w:t xml:space="preserve">la salvedad en materia de contratación de las Escuelas Infantiles, se indica en el informe que la </w:t>
      </w:r>
      <w:r w:rsidR="0055223F">
        <w:rPr>
          <w:rFonts w:cs="Arial"/>
          <w:spacing w:val="2"/>
          <w:sz w:val="26"/>
          <w:szCs w:val="24"/>
        </w:rPr>
        <w:t xml:space="preserve">ausencia de procedimiento de adjudicación </w:t>
      </w:r>
      <w:r w:rsidR="00A605E7">
        <w:rPr>
          <w:rFonts w:cs="Arial"/>
          <w:spacing w:val="2"/>
          <w:sz w:val="26"/>
          <w:szCs w:val="24"/>
        </w:rPr>
        <w:t xml:space="preserve">alcanza </w:t>
      </w:r>
      <w:r w:rsidR="00807992" w:rsidRPr="00022E1D">
        <w:rPr>
          <w:rFonts w:cs="Arial"/>
          <w:spacing w:val="2"/>
          <w:sz w:val="26"/>
          <w:szCs w:val="24"/>
        </w:rPr>
        <w:t xml:space="preserve">hasta marzo de 2021 en el que se aprueba un Acuerdo Marco. </w:t>
      </w:r>
    </w:p>
    <w:p w14:paraId="2DCEAE7A" w14:textId="77777777" w:rsidR="00807992" w:rsidRDefault="00CF62A2" w:rsidP="00807992">
      <w:pPr>
        <w:numPr>
          <w:ilvl w:val="0"/>
          <w:numId w:val="10"/>
        </w:numPr>
        <w:tabs>
          <w:tab w:val="num" w:pos="284"/>
          <w:tab w:val="num" w:pos="600"/>
          <w:tab w:val="num" w:pos="720"/>
          <w:tab w:val="num" w:pos="1320"/>
        </w:tabs>
        <w:rPr>
          <w:rFonts w:cs="Arial"/>
          <w:spacing w:val="2"/>
          <w:sz w:val="26"/>
          <w:szCs w:val="24"/>
        </w:rPr>
      </w:pPr>
      <w:r>
        <w:rPr>
          <w:rFonts w:cs="Arial"/>
          <w:spacing w:val="2"/>
          <w:sz w:val="26"/>
          <w:szCs w:val="24"/>
        </w:rPr>
        <w:t xml:space="preserve">En relación con </w:t>
      </w:r>
      <w:r w:rsidR="00807992" w:rsidRPr="00022E1D">
        <w:rPr>
          <w:rFonts w:cs="Arial"/>
          <w:spacing w:val="2"/>
          <w:sz w:val="26"/>
          <w:szCs w:val="24"/>
        </w:rPr>
        <w:t xml:space="preserve">la Gerencia de Urbanismo, sigue sin aplicarse las recomendaciones sobre aquellos polígonos que al cierre del ejercicio tienen pendiente la liquidación y cierre contable definitivo. </w:t>
      </w:r>
    </w:p>
    <w:p w14:paraId="6D0843ED" w14:textId="77777777" w:rsidR="00807992" w:rsidRPr="00A54D1E" w:rsidRDefault="00807992" w:rsidP="0012553E">
      <w:pPr>
        <w:pStyle w:val="atitulo2"/>
        <w:spacing w:after="120"/>
      </w:pPr>
      <w:bookmarkStart w:id="164" w:name="_Toc118266043"/>
      <w:bookmarkStart w:id="165" w:name="_Toc129243493"/>
      <w:r>
        <w:t>5.6. Sociedades mercantiles públicas y fundaciones públicas</w:t>
      </w:r>
      <w:bookmarkEnd w:id="164"/>
      <w:bookmarkEnd w:id="165"/>
    </w:p>
    <w:p w14:paraId="7122D17B" w14:textId="77777777" w:rsidR="006435CB" w:rsidRDefault="00807992" w:rsidP="00807992">
      <w:pPr>
        <w:ind w:firstLine="284"/>
        <w:rPr>
          <w:spacing w:val="6"/>
          <w:sz w:val="26"/>
          <w:szCs w:val="24"/>
        </w:rPr>
      </w:pPr>
      <w:r>
        <w:rPr>
          <w:spacing w:val="6"/>
          <w:sz w:val="26"/>
          <w:szCs w:val="24"/>
        </w:rPr>
        <w:t xml:space="preserve">Las cuentas anuales de las sociedades mercantiles y las fundaciones públicas son auditadas anualmente por profesionales externos, realizándose auditorias financieras y de legalidad. En todas las auditorías realizadas se adjunta informe </w:t>
      </w:r>
      <w:r w:rsidRPr="006D4233">
        <w:rPr>
          <w:spacing w:val="6"/>
          <w:sz w:val="26"/>
          <w:szCs w:val="24"/>
        </w:rPr>
        <w:t xml:space="preserve">con carta de recomendaciones y en el caso de </w:t>
      </w:r>
      <w:proofErr w:type="spellStart"/>
      <w:r w:rsidRPr="006D4233">
        <w:rPr>
          <w:spacing w:val="6"/>
          <w:sz w:val="26"/>
          <w:szCs w:val="24"/>
        </w:rPr>
        <w:t>Animsa</w:t>
      </w:r>
      <w:proofErr w:type="spellEnd"/>
      <w:r w:rsidRPr="006D4233">
        <w:rPr>
          <w:spacing w:val="6"/>
          <w:sz w:val="26"/>
          <w:szCs w:val="24"/>
        </w:rPr>
        <w:t xml:space="preserve"> se realiza info</w:t>
      </w:r>
      <w:r w:rsidR="003D644A" w:rsidRPr="006D4233">
        <w:rPr>
          <w:spacing w:val="6"/>
          <w:sz w:val="26"/>
          <w:szCs w:val="24"/>
        </w:rPr>
        <w:t xml:space="preserve">rme de procedimientos acordados sobre el sistema de imputación de costes que soporta el régimen de encargo de la citada sociedad como ente instrumental. </w:t>
      </w:r>
    </w:p>
    <w:p w14:paraId="5FCB5B96" w14:textId="77777777" w:rsidR="006435CB" w:rsidRDefault="006435CB">
      <w:pPr>
        <w:spacing w:after="0"/>
        <w:ind w:firstLine="0"/>
        <w:jc w:val="left"/>
        <w:rPr>
          <w:spacing w:val="6"/>
          <w:sz w:val="26"/>
          <w:szCs w:val="24"/>
        </w:rPr>
      </w:pPr>
      <w:r>
        <w:rPr>
          <w:spacing w:val="6"/>
          <w:sz w:val="26"/>
          <w:szCs w:val="24"/>
        </w:rPr>
        <w:br w:type="page"/>
      </w:r>
    </w:p>
    <w:p w14:paraId="178565BB" w14:textId="77777777" w:rsidR="00807992" w:rsidRDefault="00807992" w:rsidP="00807992">
      <w:pPr>
        <w:ind w:firstLine="284"/>
        <w:rPr>
          <w:spacing w:val="6"/>
          <w:sz w:val="26"/>
          <w:szCs w:val="24"/>
        </w:rPr>
      </w:pPr>
      <w:r>
        <w:rPr>
          <w:spacing w:val="6"/>
          <w:sz w:val="26"/>
          <w:szCs w:val="24"/>
        </w:rPr>
        <w:lastRenderedPageBreak/>
        <w:t>Las auditorías realizadas han emitido los siguientes tipos de opinión:</w:t>
      </w:r>
    </w:p>
    <w:tbl>
      <w:tblPr>
        <w:tblW w:w="5067" w:type="pct"/>
        <w:jc w:val="center"/>
        <w:tblCellMar>
          <w:left w:w="70" w:type="dxa"/>
          <w:right w:w="70" w:type="dxa"/>
        </w:tblCellMar>
        <w:tblLook w:val="04A0" w:firstRow="1" w:lastRow="0" w:firstColumn="1" w:lastColumn="0" w:noHBand="0" w:noVBand="1"/>
      </w:tblPr>
      <w:tblGrid>
        <w:gridCol w:w="2064"/>
        <w:gridCol w:w="2110"/>
        <w:gridCol w:w="2111"/>
        <w:gridCol w:w="2622"/>
      </w:tblGrid>
      <w:tr w:rsidR="00807992" w:rsidRPr="00667DFF" w14:paraId="2CA01D98" w14:textId="77777777" w:rsidTr="006C15C7">
        <w:trPr>
          <w:trHeight w:val="255"/>
          <w:jc w:val="center"/>
        </w:trPr>
        <w:tc>
          <w:tcPr>
            <w:tcW w:w="1035" w:type="pct"/>
            <w:tcBorders>
              <w:top w:val="single" w:sz="4" w:space="0" w:color="auto"/>
              <w:left w:val="nil"/>
              <w:bottom w:val="single" w:sz="4" w:space="0" w:color="auto"/>
              <w:right w:val="nil"/>
            </w:tcBorders>
            <w:shd w:val="clear" w:color="000000" w:fill="FABF8F" w:themeFill="accent6" w:themeFillTint="99"/>
            <w:noWrap/>
            <w:vAlign w:val="center"/>
            <w:hideMark/>
          </w:tcPr>
          <w:p w14:paraId="739C8169" w14:textId="77777777" w:rsidR="00807992" w:rsidRPr="00667DFF" w:rsidRDefault="00807992" w:rsidP="00807992">
            <w:pPr>
              <w:tabs>
                <w:tab w:val="left" w:pos="142"/>
              </w:tabs>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Entidad</w:t>
            </w:r>
          </w:p>
        </w:tc>
        <w:tc>
          <w:tcPr>
            <w:tcW w:w="1226" w:type="pct"/>
            <w:tcBorders>
              <w:top w:val="single" w:sz="4" w:space="0" w:color="auto"/>
              <w:left w:val="nil"/>
              <w:bottom w:val="single" w:sz="4" w:space="0" w:color="auto"/>
              <w:right w:val="nil"/>
            </w:tcBorders>
            <w:shd w:val="clear" w:color="000000" w:fill="FABF8F" w:themeFill="accent6" w:themeFillTint="99"/>
            <w:vAlign w:val="center"/>
          </w:tcPr>
          <w:p w14:paraId="561D881D" w14:textId="77777777" w:rsidR="00807992" w:rsidRPr="00667DFF" w:rsidRDefault="00807992" w:rsidP="00317422">
            <w:pPr>
              <w:tabs>
                <w:tab w:val="left" w:pos="142"/>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Auditoría Financiera</w:t>
            </w:r>
          </w:p>
        </w:tc>
        <w:tc>
          <w:tcPr>
            <w:tcW w:w="1226" w:type="pct"/>
            <w:tcBorders>
              <w:top w:val="single" w:sz="4" w:space="0" w:color="auto"/>
              <w:left w:val="nil"/>
              <w:bottom w:val="single" w:sz="4" w:space="0" w:color="auto"/>
              <w:right w:val="nil"/>
            </w:tcBorders>
            <w:shd w:val="clear" w:color="000000" w:fill="FABF8F" w:themeFill="accent6" w:themeFillTint="99"/>
            <w:noWrap/>
            <w:vAlign w:val="center"/>
            <w:hideMark/>
          </w:tcPr>
          <w:p w14:paraId="45FB9AD3" w14:textId="77777777" w:rsidR="00807992" w:rsidRPr="00667DFF" w:rsidRDefault="00807992" w:rsidP="00317422">
            <w:pPr>
              <w:tabs>
                <w:tab w:val="left" w:pos="142"/>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Auditoria Legalidad</w:t>
            </w:r>
          </w:p>
        </w:tc>
        <w:tc>
          <w:tcPr>
            <w:tcW w:w="1513" w:type="pct"/>
            <w:tcBorders>
              <w:top w:val="single" w:sz="4" w:space="0" w:color="auto"/>
              <w:left w:val="nil"/>
              <w:bottom w:val="single" w:sz="4" w:space="0" w:color="auto"/>
              <w:right w:val="nil"/>
            </w:tcBorders>
            <w:shd w:val="clear" w:color="000000" w:fill="FABF8F" w:themeFill="accent6" w:themeFillTint="99"/>
            <w:vAlign w:val="center"/>
          </w:tcPr>
          <w:p w14:paraId="606F65C5" w14:textId="77777777" w:rsidR="00807992" w:rsidRPr="00667DFF" w:rsidRDefault="00807992" w:rsidP="00317422">
            <w:pPr>
              <w:tabs>
                <w:tab w:val="left" w:pos="142"/>
              </w:tabs>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Salvedad</w:t>
            </w:r>
          </w:p>
        </w:tc>
      </w:tr>
      <w:tr w:rsidR="00807992" w:rsidRPr="00667DFF" w14:paraId="0E9584E6" w14:textId="77777777" w:rsidTr="006C15C7">
        <w:trPr>
          <w:trHeight w:val="198"/>
          <w:jc w:val="center"/>
        </w:trPr>
        <w:tc>
          <w:tcPr>
            <w:tcW w:w="1035" w:type="pct"/>
            <w:tcBorders>
              <w:top w:val="single" w:sz="4" w:space="0" w:color="auto"/>
              <w:left w:val="nil"/>
              <w:bottom w:val="single" w:sz="2" w:space="0" w:color="auto"/>
              <w:right w:val="nil"/>
            </w:tcBorders>
            <w:shd w:val="clear" w:color="000000" w:fill="FFFFFF"/>
            <w:noWrap/>
            <w:vAlign w:val="center"/>
          </w:tcPr>
          <w:p w14:paraId="159C20B2"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Comiruña</w:t>
            </w:r>
            <w:proofErr w:type="spellEnd"/>
          </w:p>
        </w:tc>
        <w:tc>
          <w:tcPr>
            <w:tcW w:w="1226" w:type="pct"/>
            <w:tcBorders>
              <w:top w:val="single" w:sz="4" w:space="0" w:color="auto"/>
              <w:left w:val="nil"/>
              <w:bottom w:val="single" w:sz="2" w:space="0" w:color="auto"/>
              <w:right w:val="nil"/>
            </w:tcBorders>
            <w:shd w:val="clear" w:color="000000" w:fill="FFFFFF"/>
            <w:vAlign w:val="center"/>
          </w:tcPr>
          <w:p w14:paraId="219F034A"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w:t>
            </w:r>
          </w:p>
        </w:tc>
        <w:tc>
          <w:tcPr>
            <w:tcW w:w="1226" w:type="pct"/>
            <w:tcBorders>
              <w:top w:val="single" w:sz="4" w:space="0" w:color="auto"/>
              <w:left w:val="nil"/>
              <w:bottom w:val="single" w:sz="2" w:space="0" w:color="auto"/>
              <w:right w:val="nil"/>
            </w:tcBorders>
            <w:shd w:val="clear" w:color="000000" w:fill="FFFFFF"/>
            <w:noWrap/>
            <w:vAlign w:val="center"/>
          </w:tcPr>
          <w:p w14:paraId="6C4DF151"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 con salvedades</w:t>
            </w:r>
          </w:p>
        </w:tc>
        <w:tc>
          <w:tcPr>
            <w:tcW w:w="1513" w:type="pct"/>
            <w:tcBorders>
              <w:top w:val="single" w:sz="4" w:space="0" w:color="auto"/>
              <w:left w:val="nil"/>
              <w:bottom w:val="single" w:sz="2" w:space="0" w:color="auto"/>
              <w:right w:val="nil"/>
            </w:tcBorders>
            <w:shd w:val="clear" w:color="000000" w:fill="FFFFFF"/>
            <w:vAlign w:val="center"/>
          </w:tcPr>
          <w:p w14:paraId="052F9C8D"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Contratación suministro energía sin procedimiento de adjudicación</w:t>
            </w:r>
          </w:p>
        </w:tc>
      </w:tr>
      <w:tr w:rsidR="00807992" w:rsidRPr="00667DFF" w14:paraId="6B50317A" w14:textId="77777777" w:rsidTr="00310EA7">
        <w:trPr>
          <w:trHeight w:val="198"/>
          <w:jc w:val="center"/>
        </w:trPr>
        <w:tc>
          <w:tcPr>
            <w:tcW w:w="1035" w:type="pct"/>
            <w:tcBorders>
              <w:top w:val="single" w:sz="2" w:space="0" w:color="auto"/>
              <w:left w:val="nil"/>
              <w:bottom w:val="single" w:sz="2" w:space="0" w:color="auto"/>
              <w:right w:val="nil"/>
            </w:tcBorders>
            <w:shd w:val="clear" w:color="auto" w:fill="auto"/>
            <w:noWrap/>
            <w:vAlign w:val="center"/>
          </w:tcPr>
          <w:p w14:paraId="19181D76" w14:textId="77777777" w:rsidR="00807992" w:rsidRPr="00667DFF" w:rsidRDefault="00807992" w:rsidP="00807992">
            <w:pPr>
              <w:tabs>
                <w:tab w:val="left" w:pos="142"/>
              </w:tabs>
              <w:spacing w:after="0"/>
              <w:ind w:firstLine="0"/>
              <w:jc w:val="left"/>
              <w:rPr>
                <w:rFonts w:ascii="Arial Narrow" w:hAnsi="Arial Narrow"/>
                <w:color w:val="000000"/>
                <w:lang w:val="es-ES" w:eastAsia="es-ES"/>
              </w:rPr>
            </w:pPr>
            <w:r>
              <w:rPr>
                <w:rFonts w:ascii="Arial Narrow" w:hAnsi="Arial Narrow"/>
                <w:color w:val="000000"/>
                <w:lang w:val="es-ES" w:eastAsia="es-ES"/>
              </w:rPr>
              <w:t>PCH</w:t>
            </w:r>
          </w:p>
        </w:tc>
        <w:tc>
          <w:tcPr>
            <w:tcW w:w="1226" w:type="pct"/>
            <w:tcBorders>
              <w:top w:val="single" w:sz="2" w:space="0" w:color="auto"/>
              <w:left w:val="nil"/>
              <w:bottom w:val="single" w:sz="2" w:space="0" w:color="auto"/>
              <w:right w:val="nil"/>
            </w:tcBorders>
            <w:vAlign w:val="center"/>
          </w:tcPr>
          <w:p w14:paraId="4D2EEA4B"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w:t>
            </w:r>
          </w:p>
        </w:tc>
        <w:tc>
          <w:tcPr>
            <w:tcW w:w="1226" w:type="pct"/>
            <w:tcBorders>
              <w:top w:val="single" w:sz="2" w:space="0" w:color="auto"/>
              <w:left w:val="nil"/>
              <w:bottom w:val="single" w:sz="2" w:space="0" w:color="auto"/>
              <w:right w:val="nil"/>
            </w:tcBorders>
            <w:shd w:val="clear" w:color="auto" w:fill="auto"/>
            <w:noWrap/>
            <w:vAlign w:val="center"/>
          </w:tcPr>
          <w:p w14:paraId="1BDF2274"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w:t>
            </w:r>
          </w:p>
        </w:tc>
        <w:tc>
          <w:tcPr>
            <w:tcW w:w="1513" w:type="pct"/>
            <w:tcBorders>
              <w:top w:val="single" w:sz="2" w:space="0" w:color="auto"/>
              <w:left w:val="nil"/>
              <w:bottom w:val="single" w:sz="2" w:space="0" w:color="auto"/>
              <w:right w:val="nil"/>
            </w:tcBorders>
            <w:vAlign w:val="center"/>
          </w:tcPr>
          <w:p w14:paraId="5A39827F"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p>
        </w:tc>
      </w:tr>
      <w:tr w:rsidR="00807992" w:rsidRPr="00667DFF" w14:paraId="25352FB2" w14:textId="77777777" w:rsidTr="00310EA7">
        <w:trPr>
          <w:trHeight w:val="198"/>
          <w:jc w:val="center"/>
        </w:trPr>
        <w:tc>
          <w:tcPr>
            <w:tcW w:w="1035" w:type="pct"/>
            <w:tcBorders>
              <w:top w:val="single" w:sz="2" w:space="0" w:color="auto"/>
              <w:left w:val="nil"/>
              <w:bottom w:val="single" w:sz="2" w:space="0" w:color="auto"/>
              <w:right w:val="nil"/>
            </w:tcBorders>
            <w:shd w:val="clear" w:color="auto" w:fill="auto"/>
            <w:noWrap/>
            <w:vAlign w:val="center"/>
          </w:tcPr>
          <w:p w14:paraId="7E87125F" w14:textId="77777777" w:rsidR="00807992" w:rsidRDefault="00807992" w:rsidP="00807992">
            <w:pPr>
              <w:tabs>
                <w:tab w:val="left" w:pos="142"/>
              </w:tabs>
              <w:spacing w:after="0"/>
              <w:ind w:firstLine="0"/>
              <w:jc w:val="left"/>
              <w:rPr>
                <w:rFonts w:ascii="Arial Narrow" w:hAnsi="Arial Narrow"/>
                <w:color w:val="000000"/>
                <w:lang w:val="es-ES" w:eastAsia="es-ES"/>
              </w:rPr>
            </w:pPr>
            <w:r>
              <w:rPr>
                <w:rFonts w:ascii="Arial Narrow" w:hAnsi="Arial Narrow"/>
                <w:color w:val="000000"/>
                <w:lang w:val="es-ES" w:eastAsia="es-ES"/>
              </w:rPr>
              <w:t>SAD</w:t>
            </w:r>
          </w:p>
        </w:tc>
        <w:tc>
          <w:tcPr>
            <w:tcW w:w="1226" w:type="pct"/>
            <w:tcBorders>
              <w:top w:val="single" w:sz="2" w:space="0" w:color="auto"/>
              <w:left w:val="nil"/>
              <w:bottom w:val="single" w:sz="2" w:space="0" w:color="auto"/>
              <w:right w:val="nil"/>
            </w:tcBorders>
            <w:vAlign w:val="center"/>
          </w:tcPr>
          <w:p w14:paraId="1ED8CCDC"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 con salvedades</w:t>
            </w:r>
          </w:p>
        </w:tc>
        <w:tc>
          <w:tcPr>
            <w:tcW w:w="1226" w:type="pct"/>
            <w:tcBorders>
              <w:top w:val="single" w:sz="2" w:space="0" w:color="auto"/>
              <w:left w:val="nil"/>
              <w:bottom w:val="single" w:sz="2" w:space="0" w:color="auto"/>
              <w:right w:val="nil"/>
            </w:tcBorders>
            <w:shd w:val="clear" w:color="auto" w:fill="auto"/>
            <w:noWrap/>
            <w:vAlign w:val="center"/>
          </w:tcPr>
          <w:p w14:paraId="7E37E19E"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 con salvedades</w:t>
            </w:r>
          </w:p>
        </w:tc>
        <w:tc>
          <w:tcPr>
            <w:tcW w:w="1513" w:type="pct"/>
            <w:tcBorders>
              <w:top w:val="single" w:sz="2" w:space="0" w:color="auto"/>
              <w:left w:val="nil"/>
              <w:bottom w:val="single" w:sz="2" w:space="0" w:color="auto"/>
              <w:right w:val="nil"/>
            </w:tcBorders>
            <w:vAlign w:val="center"/>
          </w:tcPr>
          <w:p w14:paraId="40D77876"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No inclusión en la Memoria de una contingencia significativa</w:t>
            </w:r>
          </w:p>
        </w:tc>
      </w:tr>
      <w:tr w:rsidR="00807992" w:rsidRPr="00667DFF" w14:paraId="137A6DDD" w14:textId="77777777" w:rsidTr="00310EA7">
        <w:trPr>
          <w:trHeight w:val="198"/>
          <w:jc w:val="center"/>
        </w:trPr>
        <w:tc>
          <w:tcPr>
            <w:tcW w:w="1035" w:type="pct"/>
            <w:tcBorders>
              <w:top w:val="single" w:sz="2" w:space="0" w:color="auto"/>
              <w:left w:val="nil"/>
              <w:bottom w:val="single" w:sz="2" w:space="0" w:color="auto"/>
              <w:right w:val="nil"/>
            </w:tcBorders>
            <w:shd w:val="clear" w:color="auto" w:fill="auto"/>
            <w:noWrap/>
            <w:vAlign w:val="center"/>
          </w:tcPr>
          <w:p w14:paraId="04737791" w14:textId="77777777" w:rsidR="00807992" w:rsidRDefault="00807992" w:rsidP="00807992">
            <w:pPr>
              <w:tabs>
                <w:tab w:val="left" w:pos="142"/>
              </w:tabs>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Animsa</w:t>
            </w:r>
            <w:proofErr w:type="spellEnd"/>
          </w:p>
        </w:tc>
        <w:tc>
          <w:tcPr>
            <w:tcW w:w="1226" w:type="pct"/>
            <w:tcBorders>
              <w:top w:val="single" w:sz="2" w:space="0" w:color="auto"/>
              <w:left w:val="nil"/>
              <w:bottom w:val="single" w:sz="2" w:space="0" w:color="auto"/>
              <w:right w:val="nil"/>
            </w:tcBorders>
          </w:tcPr>
          <w:p w14:paraId="5CBE961E"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w:t>
            </w:r>
          </w:p>
        </w:tc>
        <w:tc>
          <w:tcPr>
            <w:tcW w:w="1226" w:type="pct"/>
            <w:tcBorders>
              <w:top w:val="single" w:sz="2" w:space="0" w:color="auto"/>
              <w:left w:val="nil"/>
              <w:bottom w:val="single" w:sz="2" w:space="0" w:color="auto"/>
              <w:right w:val="nil"/>
            </w:tcBorders>
            <w:shd w:val="clear" w:color="auto" w:fill="auto"/>
            <w:noWrap/>
          </w:tcPr>
          <w:p w14:paraId="1691EFB1"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w:t>
            </w:r>
          </w:p>
        </w:tc>
        <w:tc>
          <w:tcPr>
            <w:tcW w:w="1513" w:type="pct"/>
            <w:tcBorders>
              <w:top w:val="single" w:sz="2" w:space="0" w:color="auto"/>
              <w:left w:val="nil"/>
              <w:bottom w:val="single" w:sz="2" w:space="0" w:color="auto"/>
              <w:right w:val="nil"/>
            </w:tcBorders>
          </w:tcPr>
          <w:p w14:paraId="77A51743"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p>
        </w:tc>
      </w:tr>
      <w:tr w:rsidR="00807992" w:rsidRPr="00667DFF" w14:paraId="0950BC0B" w14:textId="77777777" w:rsidTr="006C15C7">
        <w:trPr>
          <w:trHeight w:val="198"/>
          <w:jc w:val="center"/>
        </w:trPr>
        <w:tc>
          <w:tcPr>
            <w:tcW w:w="1035" w:type="pct"/>
            <w:tcBorders>
              <w:top w:val="single" w:sz="2" w:space="0" w:color="auto"/>
              <w:left w:val="nil"/>
              <w:bottom w:val="single" w:sz="4" w:space="0" w:color="auto"/>
              <w:right w:val="nil"/>
            </w:tcBorders>
            <w:shd w:val="clear" w:color="auto" w:fill="auto"/>
            <w:noWrap/>
            <w:vAlign w:val="center"/>
          </w:tcPr>
          <w:p w14:paraId="5AD568F6" w14:textId="77777777" w:rsidR="00807992" w:rsidRDefault="00807992" w:rsidP="00807992">
            <w:pPr>
              <w:tabs>
                <w:tab w:val="left" w:pos="142"/>
              </w:tabs>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Mercairuña</w:t>
            </w:r>
            <w:proofErr w:type="spellEnd"/>
          </w:p>
        </w:tc>
        <w:tc>
          <w:tcPr>
            <w:tcW w:w="1226" w:type="pct"/>
            <w:tcBorders>
              <w:top w:val="single" w:sz="2" w:space="0" w:color="auto"/>
              <w:left w:val="nil"/>
              <w:bottom w:val="single" w:sz="4" w:space="0" w:color="auto"/>
              <w:right w:val="nil"/>
            </w:tcBorders>
          </w:tcPr>
          <w:p w14:paraId="48288F9E"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w:t>
            </w:r>
          </w:p>
        </w:tc>
        <w:tc>
          <w:tcPr>
            <w:tcW w:w="1226" w:type="pct"/>
            <w:tcBorders>
              <w:top w:val="single" w:sz="2" w:space="0" w:color="auto"/>
              <w:left w:val="nil"/>
              <w:bottom w:val="single" w:sz="4" w:space="0" w:color="auto"/>
              <w:right w:val="nil"/>
            </w:tcBorders>
            <w:shd w:val="clear" w:color="auto" w:fill="auto"/>
            <w:noWrap/>
          </w:tcPr>
          <w:p w14:paraId="571A699A"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w:t>
            </w:r>
          </w:p>
        </w:tc>
        <w:tc>
          <w:tcPr>
            <w:tcW w:w="1513" w:type="pct"/>
            <w:tcBorders>
              <w:top w:val="single" w:sz="2" w:space="0" w:color="auto"/>
              <w:left w:val="nil"/>
              <w:bottom w:val="single" w:sz="4" w:space="0" w:color="auto"/>
              <w:right w:val="nil"/>
            </w:tcBorders>
          </w:tcPr>
          <w:p w14:paraId="2B52248B"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p>
        </w:tc>
      </w:tr>
      <w:tr w:rsidR="00807992" w:rsidRPr="00667DFF" w14:paraId="65037C5F" w14:textId="77777777" w:rsidTr="006C15C7">
        <w:trPr>
          <w:trHeight w:val="198"/>
          <w:jc w:val="center"/>
        </w:trPr>
        <w:tc>
          <w:tcPr>
            <w:tcW w:w="1035" w:type="pct"/>
            <w:tcBorders>
              <w:top w:val="single" w:sz="4" w:space="0" w:color="auto"/>
              <w:left w:val="nil"/>
              <w:bottom w:val="single" w:sz="4" w:space="0" w:color="auto"/>
              <w:right w:val="nil"/>
            </w:tcBorders>
            <w:shd w:val="clear" w:color="auto" w:fill="auto"/>
            <w:noWrap/>
            <w:vAlign w:val="center"/>
          </w:tcPr>
          <w:p w14:paraId="794AB9C6" w14:textId="77777777" w:rsidR="00807992" w:rsidRDefault="00807992" w:rsidP="00807992">
            <w:pPr>
              <w:tabs>
                <w:tab w:val="left" w:pos="142"/>
              </w:tabs>
              <w:spacing w:after="0"/>
              <w:ind w:firstLine="0"/>
              <w:jc w:val="left"/>
              <w:rPr>
                <w:rFonts w:ascii="Arial Narrow" w:hAnsi="Arial Narrow"/>
                <w:color w:val="000000"/>
                <w:lang w:val="es-ES" w:eastAsia="es-ES"/>
              </w:rPr>
            </w:pPr>
            <w:r>
              <w:rPr>
                <w:rFonts w:ascii="Arial Narrow" w:hAnsi="Arial Narrow"/>
                <w:color w:val="000000"/>
                <w:lang w:val="es-ES" w:eastAsia="es-ES"/>
              </w:rPr>
              <w:t>Fundación Teatro Gayarre</w:t>
            </w:r>
          </w:p>
        </w:tc>
        <w:tc>
          <w:tcPr>
            <w:tcW w:w="1226" w:type="pct"/>
            <w:tcBorders>
              <w:top w:val="single" w:sz="4" w:space="0" w:color="auto"/>
              <w:left w:val="nil"/>
              <w:bottom w:val="single" w:sz="4" w:space="0" w:color="auto"/>
              <w:right w:val="nil"/>
            </w:tcBorders>
            <w:vAlign w:val="center"/>
          </w:tcPr>
          <w:p w14:paraId="42C5E195"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w:t>
            </w:r>
          </w:p>
        </w:tc>
        <w:tc>
          <w:tcPr>
            <w:tcW w:w="1226" w:type="pct"/>
            <w:tcBorders>
              <w:top w:val="single" w:sz="4" w:space="0" w:color="auto"/>
              <w:left w:val="nil"/>
              <w:bottom w:val="single" w:sz="4" w:space="0" w:color="auto"/>
              <w:right w:val="nil"/>
            </w:tcBorders>
            <w:shd w:val="clear" w:color="auto" w:fill="auto"/>
            <w:noWrap/>
            <w:vAlign w:val="center"/>
          </w:tcPr>
          <w:p w14:paraId="3C6BE653"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Favorable con salvedades</w:t>
            </w:r>
          </w:p>
        </w:tc>
        <w:tc>
          <w:tcPr>
            <w:tcW w:w="1513" w:type="pct"/>
            <w:tcBorders>
              <w:top w:val="single" w:sz="4" w:space="0" w:color="auto"/>
              <w:left w:val="nil"/>
              <w:bottom w:val="single" w:sz="4" w:space="0" w:color="auto"/>
              <w:right w:val="nil"/>
            </w:tcBorders>
            <w:vAlign w:val="center"/>
          </w:tcPr>
          <w:p w14:paraId="126FC5C9" w14:textId="77777777" w:rsidR="00807992" w:rsidRPr="00667DFF" w:rsidRDefault="00807992" w:rsidP="00317422">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Servicios prestados superando el plazo máximo legal previsto</w:t>
            </w:r>
          </w:p>
        </w:tc>
      </w:tr>
    </w:tbl>
    <w:p w14:paraId="51C725DF" w14:textId="77777777" w:rsidR="00807992" w:rsidRDefault="00807992" w:rsidP="00807992">
      <w:pPr>
        <w:ind w:firstLine="284"/>
        <w:rPr>
          <w:spacing w:val="6"/>
          <w:sz w:val="26"/>
          <w:szCs w:val="24"/>
        </w:rPr>
      </w:pPr>
    </w:p>
    <w:p w14:paraId="6004C24A" w14:textId="77777777" w:rsidR="00807992" w:rsidRDefault="00807992" w:rsidP="00807992">
      <w:pPr>
        <w:ind w:firstLine="284"/>
        <w:rPr>
          <w:spacing w:val="6"/>
          <w:sz w:val="26"/>
          <w:szCs w:val="24"/>
        </w:rPr>
      </w:pPr>
      <w:r>
        <w:rPr>
          <w:spacing w:val="6"/>
          <w:sz w:val="26"/>
          <w:szCs w:val="24"/>
        </w:rPr>
        <w:t>De la información del cuadro, destacamos lo siguiente:</w:t>
      </w:r>
    </w:p>
    <w:p w14:paraId="319E6866" w14:textId="77777777" w:rsidR="00807992" w:rsidRPr="00526007" w:rsidRDefault="00807992" w:rsidP="00807992">
      <w:pPr>
        <w:numPr>
          <w:ilvl w:val="0"/>
          <w:numId w:val="9"/>
        </w:numPr>
        <w:tabs>
          <w:tab w:val="left" w:pos="426"/>
          <w:tab w:val="num" w:pos="4046"/>
        </w:tabs>
        <w:spacing w:after="180"/>
        <w:ind w:left="0" w:firstLine="284"/>
        <w:rPr>
          <w:rFonts w:cs="Arial"/>
          <w:spacing w:val="6"/>
          <w:sz w:val="26"/>
          <w:szCs w:val="24"/>
        </w:rPr>
      </w:pPr>
      <w:r>
        <w:rPr>
          <w:rFonts w:cs="Arial"/>
          <w:spacing w:val="6"/>
          <w:sz w:val="26"/>
          <w:szCs w:val="24"/>
        </w:rPr>
        <w:t xml:space="preserve">La salvedad correspondiente a </w:t>
      </w:r>
      <w:proofErr w:type="spellStart"/>
      <w:r>
        <w:rPr>
          <w:rFonts w:cs="Arial"/>
          <w:spacing w:val="6"/>
          <w:sz w:val="26"/>
          <w:szCs w:val="24"/>
        </w:rPr>
        <w:t>Comiruña</w:t>
      </w:r>
      <w:proofErr w:type="spellEnd"/>
      <w:r>
        <w:rPr>
          <w:rFonts w:cs="Arial"/>
          <w:spacing w:val="6"/>
          <w:sz w:val="26"/>
          <w:szCs w:val="24"/>
        </w:rPr>
        <w:t xml:space="preserve"> se refiere a la facturación por suministro eléctrico por importe de 20.375 euros sin soporte contractual adecuado. </w:t>
      </w:r>
    </w:p>
    <w:p w14:paraId="2517F0E4" w14:textId="77777777" w:rsidR="00807992" w:rsidRDefault="00807992" w:rsidP="00807992">
      <w:pPr>
        <w:numPr>
          <w:ilvl w:val="0"/>
          <w:numId w:val="9"/>
        </w:numPr>
        <w:tabs>
          <w:tab w:val="left" w:pos="426"/>
          <w:tab w:val="num" w:pos="4046"/>
        </w:tabs>
        <w:spacing w:after="180"/>
        <w:ind w:left="0" w:firstLine="284"/>
        <w:rPr>
          <w:rFonts w:cs="Arial"/>
          <w:spacing w:val="6"/>
          <w:sz w:val="26"/>
          <w:szCs w:val="24"/>
        </w:rPr>
      </w:pPr>
      <w:r w:rsidRPr="00A60F22">
        <w:rPr>
          <w:spacing w:val="6"/>
          <w:sz w:val="26"/>
          <w:szCs w:val="24"/>
        </w:rPr>
        <w:t xml:space="preserve">La salvedad correspondiente a SAD </w:t>
      </w:r>
      <w:r w:rsidR="006D4233">
        <w:rPr>
          <w:spacing w:val="6"/>
          <w:sz w:val="26"/>
          <w:szCs w:val="24"/>
        </w:rPr>
        <w:t xml:space="preserve">S.L.U. </w:t>
      </w:r>
      <w:r w:rsidRPr="00A60F22">
        <w:rPr>
          <w:spacing w:val="6"/>
          <w:sz w:val="26"/>
          <w:szCs w:val="24"/>
        </w:rPr>
        <w:t xml:space="preserve">se refiere a la no inclusión en la memoria de las cuentas anuales de la información </w:t>
      </w:r>
      <w:r>
        <w:rPr>
          <w:rFonts w:cs="Arial"/>
          <w:spacing w:val="6"/>
          <w:sz w:val="26"/>
          <w:szCs w:val="24"/>
        </w:rPr>
        <w:t>sobre una</w:t>
      </w:r>
      <w:r w:rsidRPr="00A60F22">
        <w:rPr>
          <w:rFonts w:cs="Arial"/>
          <w:spacing w:val="6"/>
          <w:sz w:val="26"/>
          <w:szCs w:val="24"/>
        </w:rPr>
        <w:t xml:space="preserve"> sentencia que ha sido recurrida por los representantes de los trabajadores relativa a la demanda de anulación de la </w:t>
      </w:r>
      <w:r>
        <w:rPr>
          <w:rFonts w:cs="Arial"/>
          <w:spacing w:val="6"/>
          <w:sz w:val="26"/>
          <w:szCs w:val="24"/>
        </w:rPr>
        <w:t xml:space="preserve">constitución de la sociedad. Este mismo hecho, se ha considerado salvedad en el informe de legalidad, si bien como se indica, no constituye un incumplimiento hasta que haya sentencia firme. </w:t>
      </w:r>
    </w:p>
    <w:p w14:paraId="22811A85" w14:textId="77777777" w:rsidR="003D7066" w:rsidRPr="003D644A" w:rsidRDefault="003D7066" w:rsidP="003D7066">
      <w:pPr>
        <w:pStyle w:val="texto"/>
      </w:pPr>
      <w:r w:rsidRPr="003D644A">
        <w:t>En relación con la organización del se</w:t>
      </w:r>
      <w:r w:rsidR="006D4233">
        <w:t xml:space="preserve">rvicio de atención a domicilio y el conflicto judicializado </w:t>
      </w:r>
      <w:r w:rsidRPr="003D644A">
        <w:t xml:space="preserve">destacamos lo siguiente: </w:t>
      </w:r>
    </w:p>
    <w:p w14:paraId="4DE322ED" w14:textId="77777777" w:rsidR="003D7066" w:rsidRPr="00500E6C" w:rsidRDefault="003D7066" w:rsidP="003D7066">
      <w:pPr>
        <w:tabs>
          <w:tab w:val="center" w:pos="2835"/>
          <w:tab w:val="center" w:pos="3969"/>
          <w:tab w:val="center" w:pos="5103"/>
          <w:tab w:val="center" w:pos="6237"/>
          <w:tab w:val="center" w:pos="7371"/>
        </w:tabs>
        <w:spacing w:before="240"/>
        <w:ind w:firstLine="284"/>
        <w:rPr>
          <w:rFonts w:cs="Arial"/>
          <w:spacing w:val="6"/>
          <w:sz w:val="26"/>
          <w:szCs w:val="26"/>
        </w:rPr>
      </w:pPr>
      <w:r>
        <w:rPr>
          <w:rFonts w:cs="Arial"/>
          <w:spacing w:val="6"/>
          <w:sz w:val="26"/>
          <w:szCs w:val="26"/>
        </w:rPr>
        <w:t xml:space="preserve">a) </w:t>
      </w:r>
      <w:r w:rsidRPr="00500E6C">
        <w:rPr>
          <w:rFonts w:cs="Arial"/>
          <w:spacing w:val="6"/>
          <w:sz w:val="26"/>
          <w:szCs w:val="26"/>
        </w:rPr>
        <w:t>Hasta el ejercicio 201</w:t>
      </w:r>
      <w:r>
        <w:rPr>
          <w:rFonts w:cs="Arial"/>
          <w:spacing w:val="6"/>
          <w:sz w:val="26"/>
          <w:szCs w:val="26"/>
        </w:rPr>
        <w:t>6</w:t>
      </w:r>
      <w:r w:rsidRPr="00500E6C">
        <w:rPr>
          <w:rFonts w:cs="Arial"/>
          <w:spacing w:val="6"/>
          <w:sz w:val="26"/>
          <w:szCs w:val="26"/>
        </w:rPr>
        <w:t xml:space="preserve"> la gestión de este servicio se realizaba en los términos de la Ley 6/1990</w:t>
      </w:r>
      <w:r>
        <w:rPr>
          <w:rFonts w:cs="Arial"/>
          <w:spacing w:val="6"/>
          <w:sz w:val="26"/>
          <w:szCs w:val="26"/>
        </w:rPr>
        <w:t xml:space="preserve">, de 2 de julio, de la </w:t>
      </w:r>
      <w:r w:rsidRPr="00500E6C">
        <w:rPr>
          <w:rFonts w:cs="Arial"/>
          <w:spacing w:val="6"/>
          <w:sz w:val="26"/>
          <w:szCs w:val="26"/>
        </w:rPr>
        <w:t>Administración Local de Navarra</w:t>
      </w:r>
      <w:r>
        <w:rPr>
          <w:rFonts w:cs="Arial"/>
          <w:spacing w:val="6"/>
          <w:sz w:val="26"/>
          <w:szCs w:val="26"/>
        </w:rPr>
        <w:t xml:space="preserve"> (en adelante LFALN)</w:t>
      </w:r>
      <w:r w:rsidRPr="00500E6C">
        <w:rPr>
          <w:rFonts w:cs="Arial"/>
          <w:spacing w:val="6"/>
          <w:sz w:val="26"/>
          <w:szCs w:val="26"/>
        </w:rPr>
        <w:t>, con la combinación de dos formas de gestión: directa con una empresa pública e indirecta mediante un contrato de servicios con una empresa privada. En diciembre de 2016, se aprobó el cambio de modelo de gestión, pasando a ser gestión directa con personal propio, lo que supuso la unificación del servicio anteriormente repartido entre las dos formas de gestión, con las siguientes consecuencias:</w:t>
      </w:r>
    </w:p>
    <w:p w14:paraId="1DBFCA4C" w14:textId="77777777" w:rsidR="003D7066" w:rsidRPr="000E0023" w:rsidRDefault="003D7066" w:rsidP="006C15C7">
      <w:pPr>
        <w:pStyle w:val="Prrafodelista"/>
        <w:numPr>
          <w:ilvl w:val="0"/>
          <w:numId w:val="17"/>
        </w:numPr>
        <w:tabs>
          <w:tab w:val="left" w:pos="426"/>
        </w:tabs>
        <w:spacing w:after="180"/>
        <w:ind w:left="284" w:firstLine="0"/>
        <w:rPr>
          <w:rStyle w:val="markedcontent"/>
          <w:rFonts w:cs="Arial"/>
          <w:spacing w:val="6"/>
          <w:sz w:val="26"/>
          <w:szCs w:val="26"/>
        </w:rPr>
      </w:pPr>
      <w:r w:rsidRPr="000E0023">
        <w:rPr>
          <w:rStyle w:val="markedcontent"/>
          <w:sz w:val="26"/>
          <w:szCs w:val="26"/>
        </w:rPr>
        <w:t>La sociedad pública municipal fue disuelta y liquidada</w:t>
      </w:r>
      <w:r>
        <w:rPr>
          <w:rStyle w:val="markedcontent"/>
          <w:sz w:val="26"/>
          <w:szCs w:val="26"/>
        </w:rPr>
        <w:t>,</w:t>
      </w:r>
      <w:r w:rsidRPr="000E0023">
        <w:rPr>
          <w:rStyle w:val="markedcontent"/>
          <w:sz w:val="26"/>
          <w:szCs w:val="26"/>
        </w:rPr>
        <w:t xml:space="preserve"> y el contrato con la empresa privada fue resuelto.</w:t>
      </w:r>
    </w:p>
    <w:p w14:paraId="61C0842C" w14:textId="77777777" w:rsidR="003D7066" w:rsidRPr="000E0023" w:rsidRDefault="003D7066" w:rsidP="006C15C7">
      <w:pPr>
        <w:pStyle w:val="Prrafodelista"/>
        <w:numPr>
          <w:ilvl w:val="0"/>
          <w:numId w:val="17"/>
        </w:numPr>
        <w:tabs>
          <w:tab w:val="left" w:pos="426"/>
        </w:tabs>
        <w:spacing w:after="180"/>
        <w:ind w:left="284" w:firstLine="0"/>
        <w:rPr>
          <w:rStyle w:val="markedcontent"/>
          <w:rFonts w:cs="Arial"/>
          <w:spacing w:val="6"/>
          <w:sz w:val="26"/>
          <w:szCs w:val="26"/>
        </w:rPr>
      </w:pPr>
      <w:r w:rsidRPr="000E0023">
        <w:rPr>
          <w:rStyle w:val="markedcontent"/>
          <w:sz w:val="26"/>
          <w:szCs w:val="26"/>
        </w:rPr>
        <w:t xml:space="preserve">La subrogación como personal </w:t>
      </w:r>
      <w:r>
        <w:rPr>
          <w:rStyle w:val="markedcontent"/>
          <w:sz w:val="26"/>
          <w:szCs w:val="26"/>
        </w:rPr>
        <w:t xml:space="preserve">laboral </w:t>
      </w:r>
      <w:r w:rsidRPr="000E0023">
        <w:rPr>
          <w:rStyle w:val="markedcontent"/>
          <w:sz w:val="26"/>
          <w:szCs w:val="26"/>
        </w:rPr>
        <w:t xml:space="preserve">indefinido no fijo en la plantilla del ayuntamiento de los trabajadores de las citadas empresas; subrogación que fue efectiva desde el 1 de marzo de 2017, reflejando la plantilla orgánica de 2017 la incorporación en ese momento de 194 puestos de trabajo. </w:t>
      </w:r>
    </w:p>
    <w:p w14:paraId="319B7F86" w14:textId="77777777" w:rsidR="003D7066" w:rsidRPr="00CF7541" w:rsidRDefault="003D7066" w:rsidP="003D7066">
      <w:pPr>
        <w:tabs>
          <w:tab w:val="center" w:pos="2835"/>
          <w:tab w:val="center" w:pos="3969"/>
          <w:tab w:val="center" w:pos="5103"/>
          <w:tab w:val="center" w:pos="6237"/>
          <w:tab w:val="center" w:pos="7371"/>
        </w:tabs>
        <w:spacing w:before="240"/>
        <w:ind w:firstLine="284"/>
        <w:rPr>
          <w:rFonts w:cs="Arial"/>
          <w:spacing w:val="6"/>
          <w:sz w:val="26"/>
          <w:szCs w:val="26"/>
        </w:rPr>
      </w:pPr>
      <w:r>
        <w:rPr>
          <w:rFonts w:cs="Arial"/>
          <w:spacing w:val="6"/>
          <w:sz w:val="26"/>
          <w:szCs w:val="26"/>
        </w:rPr>
        <w:t xml:space="preserve">b) </w:t>
      </w:r>
      <w:r w:rsidRPr="00CF7541">
        <w:rPr>
          <w:rFonts w:cs="Arial"/>
          <w:spacing w:val="6"/>
          <w:sz w:val="26"/>
          <w:szCs w:val="26"/>
        </w:rPr>
        <w:t xml:space="preserve">El Pleno del Ayuntamiento de Pamplona aprobó el 15 de abril de 2021 </w:t>
      </w:r>
      <w:r w:rsidRPr="00CF7541">
        <w:rPr>
          <w:rFonts w:cstheme="minorHAnsi"/>
          <w:sz w:val="26"/>
          <w:szCs w:val="26"/>
          <w:lang w:val="es-ES"/>
        </w:rPr>
        <w:t xml:space="preserve">la modificación de la forma de gestión del servicio de atención domiciliaria municipal, </w:t>
      </w:r>
      <w:r>
        <w:rPr>
          <w:rFonts w:cstheme="minorHAnsi"/>
          <w:sz w:val="26"/>
          <w:szCs w:val="26"/>
          <w:lang w:val="es-ES"/>
        </w:rPr>
        <w:lastRenderedPageBreak/>
        <w:t xml:space="preserve">al entender que </w:t>
      </w:r>
      <w:r w:rsidRPr="00783758">
        <w:rPr>
          <w:rFonts w:cstheme="minorHAnsi"/>
          <w:sz w:val="26"/>
          <w:szCs w:val="26"/>
          <w:lang w:val="es-ES"/>
        </w:rPr>
        <w:t xml:space="preserve">no </w:t>
      </w:r>
      <w:r>
        <w:rPr>
          <w:rFonts w:cstheme="minorHAnsi"/>
          <w:sz w:val="26"/>
          <w:szCs w:val="26"/>
          <w:lang w:val="es-ES"/>
        </w:rPr>
        <w:t xml:space="preserve">se </w:t>
      </w:r>
      <w:r w:rsidRPr="00783758">
        <w:rPr>
          <w:rFonts w:cstheme="minorHAnsi"/>
          <w:sz w:val="26"/>
          <w:szCs w:val="26"/>
          <w:lang w:val="es-ES"/>
        </w:rPr>
        <w:t>ha respondido a l</w:t>
      </w:r>
      <w:r>
        <w:rPr>
          <w:rFonts w:cstheme="minorHAnsi"/>
          <w:sz w:val="26"/>
          <w:szCs w:val="26"/>
          <w:lang w:val="es-ES"/>
        </w:rPr>
        <w:t>as estimaciones</w:t>
      </w:r>
      <w:r w:rsidR="003D644A" w:rsidRPr="006D4233">
        <w:rPr>
          <w:rStyle w:val="Refdenotaalpie"/>
          <w:spacing w:val="6"/>
          <w:sz w:val="26"/>
          <w:szCs w:val="26"/>
        </w:rPr>
        <w:footnoteReference w:id="10"/>
      </w:r>
      <w:r w:rsidR="006D4233">
        <w:rPr>
          <w:rFonts w:cs="Arial"/>
          <w:spacing w:val="6"/>
          <w:sz w:val="26"/>
          <w:szCs w:val="26"/>
        </w:rPr>
        <w:t xml:space="preserve"> </w:t>
      </w:r>
      <w:r w:rsidR="006D4233" w:rsidRPr="00783758">
        <w:rPr>
          <w:rFonts w:cs="Arial"/>
          <w:spacing w:val="6"/>
          <w:sz w:val="26"/>
          <w:szCs w:val="26"/>
        </w:rPr>
        <w:t>que fundamentaron la elección d</w:t>
      </w:r>
      <w:r w:rsidR="006D4233">
        <w:rPr>
          <w:rFonts w:cs="Arial"/>
          <w:spacing w:val="6"/>
          <w:sz w:val="26"/>
          <w:szCs w:val="26"/>
        </w:rPr>
        <w:t xml:space="preserve">e la fórmula de gestión aprobada el 30 de diciembre de </w:t>
      </w:r>
      <w:r w:rsidR="006D4233" w:rsidRPr="006D4233">
        <w:rPr>
          <w:rFonts w:cs="Arial"/>
          <w:spacing w:val="6"/>
          <w:sz w:val="26"/>
          <w:szCs w:val="26"/>
        </w:rPr>
        <w:t xml:space="preserve">2016 </w:t>
      </w:r>
      <w:r w:rsidR="003D644A" w:rsidRPr="006D4233">
        <w:rPr>
          <w:rFonts w:cs="Arial"/>
          <w:spacing w:val="6"/>
          <w:sz w:val="26"/>
          <w:szCs w:val="26"/>
        </w:rPr>
        <w:t xml:space="preserve">por </w:t>
      </w:r>
      <w:r w:rsidRPr="006D4233">
        <w:rPr>
          <w:rFonts w:cs="Arial"/>
          <w:spacing w:val="6"/>
          <w:sz w:val="26"/>
          <w:szCs w:val="26"/>
        </w:rPr>
        <w:t xml:space="preserve">lo </w:t>
      </w:r>
      <w:r>
        <w:rPr>
          <w:rFonts w:cs="Arial"/>
          <w:spacing w:val="6"/>
          <w:sz w:val="26"/>
          <w:szCs w:val="26"/>
        </w:rPr>
        <w:t xml:space="preserve">que se decide </w:t>
      </w:r>
      <w:r>
        <w:rPr>
          <w:rFonts w:cstheme="minorHAnsi"/>
          <w:sz w:val="26"/>
          <w:szCs w:val="26"/>
          <w:lang w:val="es-ES"/>
        </w:rPr>
        <w:t>de conformidad con la LFALN anteriormente citada, la gestión directa del servicio mediante la cr</w:t>
      </w:r>
      <w:r w:rsidRPr="00CF7541">
        <w:rPr>
          <w:rFonts w:cstheme="minorHAnsi"/>
          <w:sz w:val="26"/>
          <w:szCs w:val="26"/>
          <w:lang w:val="es-ES"/>
        </w:rPr>
        <w:t xml:space="preserve">eación de una empresa mercantil de capital íntegramente municipal, SAD S.L.U. </w:t>
      </w:r>
      <w:r>
        <w:rPr>
          <w:rFonts w:cstheme="minorHAnsi"/>
          <w:sz w:val="26"/>
          <w:szCs w:val="26"/>
          <w:lang w:val="es-ES"/>
        </w:rPr>
        <w:t>La citada sociedad se constituyó el 7 de septiembre de 2021 y c</w:t>
      </w:r>
      <w:r w:rsidRPr="00CF7541">
        <w:rPr>
          <w:rFonts w:cstheme="minorHAnsi"/>
          <w:sz w:val="26"/>
          <w:szCs w:val="26"/>
          <w:lang w:val="es-ES"/>
        </w:rPr>
        <w:t>onsecuentemente se proced</w:t>
      </w:r>
      <w:r>
        <w:rPr>
          <w:rFonts w:cstheme="minorHAnsi"/>
          <w:sz w:val="26"/>
          <w:szCs w:val="26"/>
          <w:lang w:val="es-ES"/>
        </w:rPr>
        <w:t>ió</w:t>
      </w:r>
      <w:r w:rsidRPr="00CF7541">
        <w:rPr>
          <w:rFonts w:cstheme="minorHAnsi"/>
          <w:sz w:val="26"/>
          <w:szCs w:val="26"/>
          <w:lang w:val="es-ES"/>
        </w:rPr>
        <w:t xml:space="preserve"> a la subrogación del personal </w:t>
      </w:r>
      <w:r>
        <w:rPr>
          <w:rFonts w:cstheme="minorHAnsi"/>
          <w:sz w:val="26"/>
          <w:szCs w:val="26"/>
          <w:lang w:val="es-ES"/>
        </w:rPr>
        <w:t xml:space="preserve">en </w:t>
      </w:r>
      <w:r w:rsidRPr="00CF7541">
        <w:rPr>
          <w:rFonts w:cstheme="minorHAnsi"/>
          <w:sz w:val="26"/>
          <w:szCs w:val="26"/>
          <w:lang w:val="es-ES"/>
        </w:rPr>
        <w:t xml:space="preserve">la </w:t>
      </w:r>
      <w:r>
        <w:rPr>
          <w:rFonts w:cstheme="minorHAnsi"/>
          <w:sz w:val="26"/>
          <w:szCs w:val="26"/>
          <w:lang w:val="es-ES"/>
        </w:rPr>
        <w:t>s</w:t>
      </w:r>
      <w:r w:rsidRPr="00CF7541">
        <w:rPr>
          <w:rFonts w:cstheme="minorHAnsi"/>
          <w:sz w:val="26"/>
          <w:szCs w:val="26"/>
          <w:lang w:val="es-ES"/>
        </w:rPr>
        <w:t>ociedad, respetando las condiciones del convenio que se aplica al personal laboral del ayuntamiento</w:t>
      </w:r>
      <w:r>
        <w:rPr>
          <w:rFonts w:cstheme="minorHAnsi"/>
          <w:sz w:val="26"/>
          <w:szCs w:val="26"/>
          <w:lang w:val="es-ES"/>
        </w:rPr>
        <w:t>,</w:t>
      </w:r>
      <w:r w:rsidRPr="00CF7541">
        <w:rPr>
          <w:rFonts w:cstheme="minorHAnsi"/>
          <w:sz w:val="26"/>
          <w:szCs w:val="26"/>
          <w:lang w:val="es-ES"/>
        </w:rPr>
        <w:t xml:space="preserve"> y procediéndose a la amortización de las plazas que figuraban en la plantilla orgánica.</w:t>
      </w:r>
    </w:p>
    <w:p w14:paraId="357814F7" w14:textId="77777777" w:rsidR="003D7066" w:rsidRPr="007F0047" w:rsidRDefault="003D7066" w:rsidP="003D7066">
      <w:pPr>
        <w:tabs>
          <w:tab w:val="center" w:pos="2835"/>
          <w:tab w:val="center" w:pos="3969"/>
          <w:tab w:val="center" w:pos="5103"/>
          <w:tab w:val="center" w:pos="6237"/>
          <w:tab w:val="center" w:pos="7371"/>
        </w:tabs>
        <w:spacing w:before="240"/>
        <w:ind w:firstLine="284"/>
        <w:rPr>
          <w:rFonts w:cs="Arial"/>
          <w:spacing w:val="6"/>
          <w:sz w:val="26"/>
          <w:szCs w:val="26"/>
        </w:rPr>
      </w:pPr>
      <w:bookmarkStart w:id="166" w:name="TMB3586222"/>
      <w:bookmarkEnd w:id="166"/>
      <w:r w:rsidRPr="007F0047">
        <w:rPr>
          <w:rFonts w:cs="Arial"/>
          <w:spacing w:val="6"/>
          <w:sz w:val="26"/>
          <w:szCs w:val="26"/>
        </w:rPr>
        <w:t xml:space="preserve">Esta decisión ha </w:t>
      </w:r>
      <w:r>
        <w:rPr>
          <w:rFonts w:cs="Arial"/>
          <w:spacing w:val="6"/>
          <w:sz w:val="26"/>
          <w:szCs w:val="26"/>
        </w:rPr>
        <w:t xml:space="preserve">derivado en un conflicto colectivo que se </w:t>
      </w:r>
      <w:r w:rsidRPr="007F0047">
        <w:rPr>
          <w:rFonts w:cs="Arial"/>
          <w:spacing w:val="6"/>
          <w:sz w:val="26"/>
          <w:szCs w:val="26"/>
        </w:rPr>
        <w:t>ha judicializado en el ámbito de lo Social donde la</w:t>
      </w:r>
      <w:r>
        <w:rPr>
          <w:rFonts w:cs="Arial"/>
          <w:spacing w:val="6"/>
          <w:sz w:val="26"/>
          <w:szCs w:val="26"/>
        </w:rPr>
        <w:t xml:space="preserve"> pretensión</w:t>
      </w:r>
      <w:r w:rsidRPr="007F0047">
        <w:rPr>
          <w:rFonts w:cs="Arial"/>
          <w:spacing w:val="6"/>
          <w:sz w:val="26"/>
          <w:szCs w:val="26"/>
        </w:rPr>
        <w:t xml:space="preserve"> demandada por los trabajadore</w:t>
      </w:r>
      <w:r>
        <w:rPr>
          <w:rFonts w:cs="Arial"/>
          <w:spacing w:val="6"/>
          <w:sz w:val="26"/>
          <w:szCs w:val="26"/>
        </w:rPr>
        <w:t xml:space="preserve">s es la </w:t>
      </w:r>
      <w:r w:rsidRPr="007F0047">
        <w:rPr>
          <w:rFonts w:cs="Arial"/>
          <w:spacing w:val="6"/>
          <w:sz w:val="26"/>
          <w:szCs w:val="26"/>
        </w:rPr>
        <w:t>vulneración del artículo 13</w:t>
      </w:r>
      <w:r>
        <w:t xml:space="preserve"> </w:t>
      </w:r>
      <w:r>
        <w:rPr>
          <w:rStyle w:val="Refdenotaalpie"/>
        </w:rPr>
        <w:footnoteReference w:id="11"/>
      </w:r>
      <w:r w:rsidRPr="007F0047">
        <w:rPr>
          <w:rFonts w:cs="Arial"/>
          <w:spacing w:val="6"/>
          <w:sz w:val="26"/>
          <w:szCs w:val="26"/>
        </w:rPr>
        <w:t xml:space="preserve">del </w:t>
      </w:r>
      <w:r>
        <w:rPr>
          <w:rFonts w:cs="Arial"/>
          <w:spacing w:val="6"/>
          <w:sz w:val="26"/>
          <w:szCs w:val="26"/>
        </w:rPr>
        <w:t>“</w:t>
      </w:r>
      <w:r w:rsidRPr="007F0047">
        <w:rPr>
          <w:rFonts w:cs="Arial"/>
          <w:spacing w:val="6"/>
          <w:sz w:val="26"/>
          <w:szCs w:val="26"/>
        </w:rPr>
        <w:t xml:space="preserve">Convenio Colectivo del personal laboral </w:t>
      </w:r>
      <w:r>
        <w:rPr>
          <w:rFonts w:cs="Arial"/>
          <w:spacing w:val="6"/>
          <w:sz w:val="26"/>
          <w:szCs w:val="26"/>
        </w:rPr>
        <w:t xml:space="preserve">e indefinido no fijo </w:t>
      </w:r>
      <w:r w:rsidRPr="007F0047">
        <w:rPr>
          <w:rFonts w:cs="Arial"/>
          <w:spacing w:val="6"/>
          <w:sz w:val="26"/>
          <w:szCs w:val="26"/>
        </w:rPr>
        <w:t>del Ayuntamiento de Pamplona</w:t>
      </w:r>
      <w:r>
        <w:rPr>
          <w:rFonts w:cs="Arial"/>
          <w:spacing w:val="6"/>
          <w:sz w:val="26"/>
          <w:szCs w:val="26"/>
        </w:rPr>
        <w:t>”</w:t>
      </w:r>
      <w:r w:rsidRPr="007F0047">
        <w:rPr>
          <w:rFonts w:cs="Arial"/>
          <w:spacing w:val="6"/>
          <w:sz w:val="26"/>
          <w:szCs w:val="26"/>
        </w:rPr>
        <w:t xml:space="preserve"> al entender este cambio de gestión como un modo de externalizar los servicios.  La secuencia de recursos es la siguiente:</w:t>
      </w:r>
    </w:p>
    <w:p w14:paraId="5AC9270A" w14:textId="77777777" w:rsidR="003D7066" w:rsidRPr="0062596E" w:rsidRDefault="003D7066" w:rsidP="003D7066">
      <w:pPr>
        <w:tabs>
          <w:tab w:val="center" w:pos="2835"/>
          <w:tab w:val="center" w:pos="3969"/>
          <w:tab w:val="center" w:pos="5103"/>
          <w:tab w:val="center" w:pos="6237"/>
          <w:tab w:val="center" w:pos="7371"/>
        </w:tabs>
        <w:spacing w:before="240"/>
        <w:ind w:firstLine="284"/>
        <w:rPr>
          <w:rFonts w:cs="Arial"/>
          <w:spacing w:val="6"/>
          <w:sz w:val="26"/>
          <w:szCs w:val="26"/>
        </w:rPr>
      </w:pPr>
      <w:r>
        <w:rPr>
          <w:rFonts w:cs="Arial"/>
          <w:spacing w:val="6"/>
          <w:sz w:val="26"/>
          <w:szCs w:val="26"/>
        </w:rPr>
        <w:t xml:space="preserve">1) </w:t>
      </w:r>
      <w:r w:rsidRPr="001C7583">
        <w:rPr>
          <w:rFonts w:cs="Arial"/>
          <w:spacing w:val="6"/>
          <w:sz w:val="26"/>
          <w:szCs w:val="26"/>
        </w:rPr>
        <w:t xml:space="preserve">Interposición de un recurso de reposición </w:t>
      </w:r>
      <w:r>
        <w:rPr>
          <w:rFonts w:cs="Arial"/>
          <w:spacing w:val="6"/>
          <w:sz w:val="26"/>
          <w:szCs w:val="26"/>
        </w:rPr>
        <w:t xml:space="preserve">por los representantes de los </w:t>
      </w:r>
      <w:r w:rsidRPr="001C7583">
        <w:rPr>
          <w:rFonts w:cs="Arial"/>
          <w:spacing w:val="6"/>
          <w:sz w:val="26"/>
          <w:szCs w:val="26"/>
        </w:rPr>
        <w:t>trabajadores</w:t>
      </w:r>
      <w:r>
        <w:rPr>
          <w:rFonts w:cs="Arial"/>
          <w:spacing w:val="6"/>
          <w:sz w:val="26"/>
          <w:szCs w:val="26"/>
        </w:rPr>
        <w:t xml:space="preserve"> </w:t>
      </w:r>
      <w:r w:rsidRPr="001C7583">
        <w:rPr>
          <w:rFonts w:cs="Arial"/>
          <w:spacing w:val="6"/>
          <w:sz w:val="26"/>
          <w:szCs w:val="26"/>
        </w:rPr>
        <w:t xml:space="preserve">ante la decisión del ayuntamiento; recurso que es desestimado por </w:t>
      </w:r>
      <w:r w:rsidRPr="0062596E">
        <w:rPr>
          <w:rFonts w:cs="Arial"/>
          <w:spacing w:val="6"/>
          <w:sz w:val="26"/>
          <w:szCs w:val="26"/>
        </w:rPr>
        <w:t xml:space="preserve">acuerdo del Pleno del Ayuntamiento de Pamplona de 1 de junio de 2021. </w:t>
      </w:r>
      <w:r w:rsidR="009F4A8C" w:rsidRPr="0062596E">
        <w:rPr>
          <w:rFonts w:cs="Arial"/>
          <w:spacing w:val="6"/>
          <w:sz w:val="26"/>
          <w:szCs w:val="26"/>
        </w:rPr>
        <w:t xml:space="preserve">Al no interponerse recurso contencioso-administrativo, ha devenido firme el citado acuerdo. </w:t>
      </w:r>
    </w:p>
    <w:p w14:paraId="71EB8644" w14:textId="77777777" w:rsidR="003D7066" w:rsidRPr="001C7583" w:rsidRDefault="003D7066" w:rsidP="003D7066">
      <w:pPr>
        <w:tabs>
          <w:tab w:val="center" w:pos="2835"/>
          <w:tab w:val="center" w:pos="3969"/>
          <w:tab w:val="center" w:pos="5103"/>
          <w:tab w:val="center" w:pos="6237"/>
          <w:tab w:val="center" w:pos="7371"/>
        </w:tabs>
        <w:spacing w:before="240"/>
        <w:ind w:firstLine="284"/>
        <w:rPr>
          <w:rFonts w:cs="Arial"/>
          <w:spacing w:val="6"/>
          <w:sz w:val="26"/>
          <w:szCs w:val="26"/>
        </w:rPr>
      </w:pPr>
      <w:r>
        <w:rPr>
          <w:rFonts w:cs="Arial"/>
          <w:spacing w:val="6"/>
          <w:sz w:val="26"/>
          <w:szCs w:val="26"/>
        </w:rPr>
        <w:t xml:space="preserve">2) </w:t>
      </w:r>
      <w:r w:rsidRPr="001C7583">
        <w:rPr>
          <w:rFonts w:cs="Arial"/>
          <w:spacing w:val="6"/>
          <w:sz w:val="26"/>
          <w:szCs w:val="26"/>
        </w:rPr>
        <w:t>Posterior demanda an</w:t>
      </w:r>
      <w:r w:rsidR="003D644A">
        <w:rPr>
          <w:rFonts w:cs="Arial"/>
          <w:spacing w:val="6"/>
          <w:sz w:val="26"/>
          <w:szCs w:val="26"/>
        </w:rPr>
        <w:t xml:space="preserve">te el Juzgado de lo Social, siendo desestimada posteriormente mediante sentencia del 11 de </w:t>
      </w:r>
      <w:r w:rsidRPr="001C7583">
        <w:rPr>
          <w:rFonts w:cs="Arial"/>
          <w:spacing w:val="6"/>
          <w:sz w:val="26"/>
          <w:szCs w:val="26"/>
        </w:rPr>
        <w:t xml:space="preserve">noviembre de 2021 </w:t>
      </w:r>
      <w:r w:rsidR="003D644A">
        <w:rPr>
          <w:rFonts w:cs="Arial"/>
          <w:spacing w:val="6"/>
          <w:sz w:val="26"/>
          <w:szCs w:val="26"/>
        </w:rPr>
        <w:t xml:space="preserve">por </w:t>
      </w:r>
      <w:r w:rsidRPr="001C7583">
        <w:rPr>
          <w:rFonts w:cs="Arial"/>
          <w:spacing w:val="6"/>
          <w:sz w:val="26"/>
          <w:szCs w:val="26"/>
        </w:rPr>
        <w:t>el Magistrado-Juez del Juzgado de lo Soci</w:t>
      </w:r>
      <w:r w:rsidR="003D644A">
        <w:rPr>
          <w:rFonts w:cs="Arial"/>
          <w:spacing w:val="6"/>
          <w:sz w:val="26"/>
          <w:szCs w:val="26"/>
        </w:rPr>
        <w:t xml:space="preserve">al </w:t>
      </w:r>
      <w:r w:rsidR="006D4233">
        <w:rPr>
          <w:rFonts w:cs="Arial"/>
          <w:spacing w:val="6"/>
          <w:sz w:val="26"/>
          <w:szCs w:val="26"/>
        </w:rPr>
        <w:t xml:space="preserve">número 3 </w:t>
      </w:r>
      <w:r w:rsidR="003D644A">
        <w:rPr>
          <w:rFonts w:cs="Arial"/>
          <w:spacing w:val="6"/>
          <w:sz w:val="26"/>
          <w:szCs w:val="26"/>
        </w:rPr>
        <w:t xml:space="preserve">de Navarra. </w:t>
      </w:r>
    </w:p>
    <w:p w14:paraId="738AE486" w14:textId="77777777" w:rsidR="003D7066" w:rsidRDefault="003D644A" w:rsidP="003D7066">
      <w:pPr>
        <w:tabs>
          <w:tab w:val="center" w:pos="2835"/>
          <w:tab w:val="center" w:pos="3969"/>
          <w:tab w:val="center" w:pos="5103"/>
          <w:tab w:val="center" w:pos="6237"/>
          <w:tab w:val="center" w:pos="7371"/>
        </w:tabs>
        <w:spacing w:before="240"/>
        <w:ind w:firstLine="284"/>
        <w:rPr>
          <w:rFonts w:cs="Arial"/>
          <w:spacing w:val="6"/>
          <w:sz w:val="26"/>
          <w:szCs w:val="26"/>
        </w:rPr>
      </w:pPr>
      <w:r>
        <w:rPr>
          <w:rFonts w:cs="Arial"/>
          <w:spacing w:val="6"/>
          <w:sz w:val="26"/>
          <w:szCs w:val="26"/>
        </w:rPr>
        <w:t>3</w:t>
      </w:r>
      <w:r w:rsidR="003D7066">
        <w:rPr>
          <w:rFonts w:cs="Arial"/>
          <w:spacing w:val="6"/>
          <w:sz w:val="26"/>
          <w:szCs w:val="26"/>
        </w:rPr>
        <w:t xml:space="preserve">) </w:t>
      </w:r>
      <w:r w:rsidR="003D7066" w:rsidRPr="001C7583">
        <w:rPr>
          <w:rFonts w:cs="Arial"/>
          <w:spacing w:val="6"/>
          <w:sz w:val="26"/>
          <w:szCs w:val="26"/>
        </w:rPr>
        <w:t xml:space="preserve">Frente a esta sentencia, </w:t>
      </w:r>
      <w:r w:rsidR="003D7066">
        <w:rPr>
          <w:rFonts w:cs="Arial"/>
          <w:spacing w:val="6"/>
          <w:sz w:val="26"/>
          <w:szCs w:val="26"/>
        </w:rPr>
        <w:t xml:space="preserve">se </w:t>
      </w:r>
      <w:r w:rsidR="003D7066" w:rsidRPr="001C7583">
        <w:rPr>
          <w:rFonts w:cs="Arial"/>
          <w:spacing w:val="6"/>
          <w:sz w:val="26"/>
          <w:szCs w:val="26"/>
        </w:rPr>
        <w:t xml:space="preserve">interpone recurso de suplicación ante el Tribunal Superior de Justicia de Navarra de la Sala de lo Social. El 7 de junio de 2022 se emite sentencia estimando las pretensiones de los trabajadores, </w:t>
      </w:r>
      <w:r w:rsidR="003D7066">
        <w:rPr>
          <w:rFonts w:cs="Arial"/>
          <w:spacing w:val="6"/>
          <w:sz w:val="26"/>
          <w:szCs w:val="26"/>
        </w:rPr>
        <w:t xml:space="preserve">declarando </w:t>
      </w:r>
      <w:r w:rsidR="003D7066" w:rsidRPr="008B54FA">
        <w:rPr>
          <w:rFonts w:cs="Arial"/>
          <w:i/>
          <w:spacing w:val="6"/>
          <w:sz w:val="26"/>
          <w:szCs w:val="26"/>
        </w:rPr>
        <w:t>“…que el cambio de modelo de gestión del EMAD</w:t>
      </w:r>
      <w:r w:rsidR="003D7066">
        <w:rPr>
          <w:rStyle w:val="Refdenotaalpie"/>
          <w:i/>
          <w:spacing w:val="6"/>
          <w:sz w:val="26"/>
          <w:szCs w:val="26"/>
        </w:rPr>
        <w:footnoteReference w:id="12"/>
      </w:r>
      <w:r w:rsidR="003D7066" w:rsidRPr="008B54FA">
        <w:rPr>
          <w:rFonts w:cs="Arial"/>
          <w:i/>
          <w:spacing w:val="6"/>
          <w:sz w:val="26"/>
          <w:szCs w:val="26"/>
        </w:rPr>
        <w:t xml:space="preserve">, aprobado por el Ayuntamiento de Pamplona en Pleno de 15 de abril de 2021, contraviene el art. 13 del Convenio Colectivo del Personal Laboral de dicho Ayuntamiento, el derecho de los trabajadores afectados a mantener su relación con el Ayuntamiento de Pamplona, con derecho a mantener sus puestos de trabajo adscritos a la Plantilla </w:t>
      </w:r>
      <w:r w:rsidR="003D7066" w:rsidRPr="008B54FA">
        <w:rPr>
          <w:rFonts w:cs="Arial"/>
          <w:i/>
          <w:spacing w:val="6"/>
          <w:sz w:val="26"/>
          <w:szCs w:val="26"/>
        </w:rPr>
        <w:lastRenderedPageBreak/>
        <w:t>Orgánica del mismo y las demás condiciones laborales, condenando al Ayuntamiento de Pamplona a estar y pasar por tal declaración.”</w:t>
      </w:r>
    </w:p>
    <w:p w14:paraId="326DD268" w14:textId="77777777" w:rsidR="003D7066" w:rsidRPr="001C7583" w:rsidRDefault="003D644A" w:rsidP="003D7066">
      <w:pPr>
        <w:tabs>
          <w:tab w:val="center" w:pos="2835"/>
          <w:tab w:val="center" w:pos="3969"/>
          <w:tab w:val="center" w:pos="5103"/>
          <w:tab w:val="center" w:pos="6237"/>
          <w:tab w:val="center" w:pos="7371"/>
        </w:tabs>
        <w:spacing w:before="240"/>
        <w:ind w:firstLine="284"/>
        <w:rPr>
          <w:rFonts w:cs="Arial"/>
          <w:spacing w:val="6"/>
          <w:sz w:val="26"/>
          <w:szCs w:val="26"/>
        </w:rPr>
      </w:pPr>
      <w:r>
        <w:rPr>
          <w:rFonts w:cs="Arial"/>
          <w:spacing w:val="6"/>
          <w:sz w:val="26"/>
          <w:szCs w:val="26"/>
        </w:rPr>
        <w:t>4</w:t>
      </w:r>
      <w:r w:rsidR="003D7066">
        <w:rPr>
          <w:rFonts w:cs="Arial"/>
          <w:spacing w:val="6"/>
          <w:sz w:val="26"/>
          <w:szCs w:val="26"/>
        </w:rPr>
        <w:t xml:space="preserve">) </w:t>
      </w:r>
      <w:r w:rsidR="003D7066" w:rsidRPr="002E51DE">
        <w:rPr>
          <w:rFonts w:cs="Arial"/>
          <w:spacing w:val="6"/>
          <w:sz w:val="26"/>
          <w:szCs w:val="26"/>
        </w:rPr>
        <w:t>Contra esta úl</w:t>
      </w:r>
      <w:r>
        <w:rPr>
          <w:rFonts w:cs="Arial"/>
          <w:spacing w:val="6"/>
          <w:sz w:val="26"/>
          <w:szCs w:val="26"/>
        </w:rPr>
        <w:t>tima sentencia el a</w:t>
      </w:r>
      <w:r w:rsidR="003D7066">
        <w:rPr>
          <w:rFonts w:cs="Arial"/>
          <w:spacing w:val="6"/>
          <w:sz w:val="26"/>
          <w:szCs w:val="26"/>
        </w:rPr>
        <w:t xml:space="preserve">yuntamiento interpuso </w:t>
      </w:r>
      <w:r>
        <w:rPr>
          <w:rFonts w:cs="Arial"/>
          <w:spacing w:val="6"/>
          <w:sz w:val="26"/>
          <w:szCs w:val="26"/>
        </w:rPr>
        <w:t xml:space="preserve">el 18 de julio de 2022 </w:t>
      </w:r>
      <w:r w:rsidR="003D7066" w:rsidRPr="002E51DE">
        <w:rPr>
          <w:rFonts w:cs="Arial"/>
          <w:spacing w:val="6"/>
          <w:sz w:val="26"/>
          <w:szCs w:val="26"/>
        </w:rPr>
        <w:t>recurso de casación ante el Tribunal Supremo</w:t>
      </w:r>
      <w:r>
        <w:rPr>
          <w:rFonts w:cs="Arial"/>
          <w:spacing w:val="6"/>
          <w:sz w:val="26"/>
          <w:szCs w:val="26"/>
        </w:rPr>
        <w:t xml:space="preserve">. A la fecha de emisión de este informe se </w:t>
      </w:r>
      <w:r w:rsidR="003D7066" w:rsidRPr="002E51DE">
        <w:rPr>
          <w:rFonts w:cs="Arial"/>
          <w:spacing w:val="6"/>
          <w:sz w:val="26"/>
          <w:szCs w:val="26"/>
        </w:rPr>
        <w:t>encu</w:t>
      </w:r>
      <w:r w:rsidR="003D7066">
        <w:rPr>
          <w:rFonts w:cs="Arial"/>
          <w:spacing w:val="6"/>
          <w:sz w:val="26"/>
          <w:szCs w:val="26"/>
        </w:rPr>
        <w:t>e</w:t>
      </w:r>
      <w:r w:rsidR="003D7066" w:rsidRPr="002E51DE">
        <w:rPr>
          <w:rFonts w:cs="Arial"/>
          <w:spacing w:val="6"/>
          <w:sz w:val="26"/>
          <w:szCs w:val="26"/>
        </w:rPr>
        <w:t xml:space="preserve">ntra pendiente de </w:t>
      </w:r>
      <w:r w:rsidR="0062596E">
        <w:rPr>
          <w:rFonts w:cs="Arial"/>
          <w:spacing w:val="6"/>
          <w:sz w:val="26"/>
          <w:szCs w:val="26"/>
        </w:rPr>
        <w:t xml:space="preserve">admisión para su </w:t>
      </w:r>
      <w:r w:rsidR="003D7066" w:rsidRPr="002E51DE">
        <w:rPr>
          <w:rFonts w:cs="Arial"/>
          <w:spacing w:val="6"/>
          <w:sz w:val="26"/>
          <w:szCs w:val="26"/>
        </w:rPr>
        <w:t>resolución</w:t>
      </w:r>
      <w:r>
        <w:rPr>
          <w:rFonts w:cs="Arial"/>
          <w:spacing w:val="6"/>
          <w:sz w:val="26"/>
          <w:szCs w:val="26"/>
        </w:rPr>
        <w:t xml:space="preserve">. </w:t>
      </w:r>
    </w:p>
    <w:p w14:paraId="3A2D9EA6" w14:textId="77777777" w:rsidR="003D7066" w:rsidRDefault="003D644A" w:rsidP="003D7066">
      <w:pPr>
        <w:tabs>
          <w:tab w:val="center" w:pos="2835"/>
          <w:tab w:val="center" w:pos="3969"/>
          <w:tab w:val="center" w:pos="5103"/>
          <w:tab w:val="center" w:pos="6237"/>
          <w:tab w:val="center" w:pos="7371"/>
        </w:tabs>
        <w:spacing w:before="240"/>
        <w:ind w:firstLine="284"/>
        <w:rPr>
          <w:rFonts w:cs="Arial"/>
          <w:spacing w:val="6"/>
          <w:sz w:val="26"/>
          <w:szCs w:val="26"/>
        </w:rPr>
      </w:pPr>
      <w:r>
        <w:rPr>
          <w:rFonts w:cs="Arial"/>
          <w:spacing w:val="6"/>
          <w:sz w:val="26"/>
          <w:szCs w:val="26"/>
        </w:rPr>
        <w:t>5</w:t>
      </w:r>
      <w:r w:rsidR="003D7066">
        <w:rPr>
          <w:rFonts w:cs="Arial"/>
          <w:spacing w:val="6"/>
          <w:sz w:val="26"/>
          <w:szCs w:val="26"/>
        </w:rPr>
        <w:t xml:space="preserve">) </w:t>
      </w:r>
      <w:r w:rsidR="003D7066" w:rsidRPr="001C7583">
        <w:rPr>
          <w:rFonts w:cs="Arial"/>
          <w:spacing w:val="6"/>
          <w:sz w:val="26"/>
          <w:szCs w:val="26"/>
        </w:rPr>
        <w:t xml:space="preserve">Con fecha 5 de octubre de 2022, se emite Auto del Juzgado de lo Social, por el que se obliga al ayuntamiento a ejecutar la sentencia de 7 de junio de 2022 en el plazo máximo de un mes, lo que supone que el ayuntamiento debe mantener de forma provisional a los trabajadores en sus puestos de trabajo adscritos a la plantilla orgánica del ayuntamiento. </w:t>
      </w:r>
      <w:r w:rsidR="003D7066">
        <w:rPr>
          <w:rFonts w:cs="Arial"/>
          <w:spacing w:val="6"/>
          <w:sz w:val="26"/>
          <w:szCs w:val="26"/>
        </w:rPr>
        <w:t xml:space="preserve">Este auto no ha sido recurrido por el ayuntamiento. </w:t>
      </w:r>
    </w:p>
    <w:p w14:paraId="032C08FF" w14:textId="77777777" w:rsidR="00807992" w:rsidRDefault="00807992" w:rsidP="00807992">
      <w:pPr>
        <w:numPr>
          <w:ilvl w:val="0"/>
          <w:numId w:val="9"/>
        </w:numPr>
        <w:tabs>
          <w:tab w:val="left" w:pos="426"/>
          <w:tab w:val="num" w:pos="4046"/>
        </w:tabs>
        <w:spacing w:after="180"/>
        <w:ind w:left="0" w:firstLine="284"/>
        <w:rPr>
          <w:rFonts w:cs="Arial"/>
          <w:spacing w:val="6"/>
          <w:sz w:val="26"/>
          <w:szCs w:val="24"/>
        </w:rPr>
      </w:pPr>
      <w:r>
        <w:rPr>
          <w:rFonts w:cs="Arial"/>
          <w:spacing w:val="6"/>
          <w:sz w:val="26"/>
          <w:szCs w:val="24"/>
        </w:rPr>
        <w:t>La salvedad correspondiente a la Fundación Teatro Gayarre se refiere a la existencia de dos servicios que se han continuado prestando, sin soporte contractual adecuado al haber superado el plazo máximo de duración de los contratos establecidos en el marco contractual. El importe en 2021 es de 0,24 millones. No obstante, se indica en el informe, los citados servicios han sido licitados de conformidad con el marco contractual a finales de 2021, habiendo sido adjudicados el 27 de diciembre de 2021 y el 8 de febrero de 2022.</w:t>
      </w:r>
    </w:p>
    <w:p w14:paraId="4B61C513" w14:textId="77777777" w:rsidR="00807992" w:rsidRPr="003E6CD5" w:rsidRDefault="00807992" w:rsidP="003E6CD5">
      <w:pPr>
        <w:pStyle w:val="atitulo2"/>
      </w:pPr>
      <w:bookmarkStart w:id="167" w:name="_Toc116300600"/>
      <w:bookmarkStart w:id="168" w:name="_Toc118266044"/>
      <w:bookmarkStart w:id="169" w:name="_Toc129243494"/>
      <w:r w:rsidRPr="003E6CD5">
        <w:t>5.7. Gastos e ingresos relacionados con la COVID-19</w:t>
      </w:r>
      <w:bookmarkEnd w:id="167"/>
      <w:bookmarkEnd w:id="168"/>
      <w:bookmarkEnd w:id="169"/>
    </w:p>
    <w:p w14:paraId="00D24AB7" w14:textId="77777777" w:rsidR="00807992" w:rsidRDefault="00807992" w:rsidP="00807992">
      <w:pPr>
        <w:tabs>
          <w:tab w:val="center" w:pos="2835"/>
          <w:tab w:val="center" w:pos="3969"/>
          <w:tab w:val="center" w:pos="5103"/>
          <w:tab w:val="center" w:pos="6237"/>
          <w:tab w:val="center" w:pos="7371"/>
        </w:tabs>
        <w:ind w:firstLine="284"/>
        <w:rPr>
          <w:color w:val="000000" w:themeColor="text1"/>
          <w:spacing w:val="6"/>
          <w:sz w:val="26"/>
          <w:szCs w:val="24"/>
        </w:rPr>
      </w:pPr>
      <w:r w:rsidRPr="00453A80">
        <w:rPr>
          <w:color w:val="000000" w:themeColor="text1"/>
          <w:spacing w:val="6"/>
          <w:sz w:val="26"/>
          <w:szCs w:val="24"/>
        </w:rPr>
        <w:t xml:space="preserve">La pandemia originada por la COVID-19 produjo desde su inicio en marzo de 2020 y sigue causando un importante desembolso de fondos públicos. El Estado requirió a las </w:t>
      </w:r>
      <w:r>
        <w:rPr>
          <w:color w:val="000000" w:themeColor="text1"/>
          <w:spacing w:val="6"/>
          <w:sz w:val="26"/>
          <w:szCs w:val="24"/>
        </w:rPr>
        <w:t xml:space="preserve">distintas administraciones públicas </w:t>
      </w:r>
      <w:r w:rsidRPr="00453A80">
        <w:rPr>
          <w:color w:val="000000" w:themeColor="text1"/>
          <w:spacing w:val="6"/>
          <w:sz w:val="26"/>
          <w:szCs w:val="24"/>
        </w:rPr>
        <w:t xml:space="preserve">que remitiesen información sobre los gastos realizados para la gestión de la pandemia. </w:t>
      </w:r>
    </w:p>
    <w:p w14:paraId="1E890CAC" w14:textId="77777777" w:rsidR="00807992" w:rsidRPr="00453A80" w:rsidRDefault="00807992" w:rsidP="00807992">
      <w:pPr>
        <w:spacing w:before="240" w:after="160"/>
        <w:ind w:firstLine="284"/>
        <w:rPr>
          <w:rFonts w:ascii="Arial" w:hAnsi="Arial"/>
          <w:i/>
          <w:iCs/>
          <w:color w:val="000000"/>
          <w:spacing w:val="10"/>
          <w:kern w:val="28"/>
          <w:sz w:val="25"/>
          <w:szCs w:val="26"/>
          <w:lang w:val="es-ES"/>
        </w:rPr>
      </w:pPr>
      <w:r w:rsidRPr="00453A80">
        <w:rPr>
          <w:rFonts w:ascii="Arial" w:hAnsi="Arial"/>
          <w:i/>
          <w:iCs/>
          <w:color w:val="000000"/>
          <w:spacing w:val="10"/>
          <w:kern w:val="28"/>
          <w:sz w:val="25"/>
          <w:szCs w:val="26"/>
          <w:lang w:val="es-ES"/>
        </w:rPr>
        <w:t>Gastos asociados a la COVID-19</w:t>
      </w:r>
    </w:p>
    <w:p w14:paraId="0AB7F330" w14:textId="77777777" w:rsidR="00807992" w:rsidRDefault="00807992" w:rsidP="00807992">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pacing w:val="6"/>
          <w:sz w:val="26"/>
          <w:szCs w:val="24"/>
        </w:rPr>
        <w:t>El ayuntamiento agrupa la información en un proyecto contable “Gastos asociados al COVID-19” a través de la exportación de datos de ejecución presupuestaria. Los datos de 2021 y su comparativa con 2020 son los siguientes:</w:t>
      </w:r>
    </w:p>
    <w:tbl>
      <w:tblPr>
        <w:tblW w:w="8789" w:type="dxa"/>
        <w:tblCellMar>
          <w:left w:w="70" w:type="dxa"/>
          <w:right w:w="70" w:type="dxa"/>
        </w:tblCellMar>
        <w:tblLook w:val="04A0" w:firstRow="1" w:lastRow="0" w:firstColumn="1" w:lastColumn="0" w:noHBand="0" w:noVBand="1"/>
      </w:tblPr>
      <w:tblGrid>
        <w:gridCol w:w="4111"/>
        <w:gridCol w:w="1276"/>
        <w:gridCol w:w="1134"/>
        <w:gridCol w:w="1134"/>
        <w:gridCol w:w="1134"/>
      </w:tblGrid>
      <w:tr w:rsidR="00807992" w:rsidRPr="00453A80" w14:paraId="013477BC" w14:textId="77777777" w:rsidTr="006C15C7">
        <w:trPr>
          <w:trHeight w:val="255"/>
        </w:trPr>
        <w:tc>
          <w:tcPr>
            <w:tcW w:w="4111" w:type="dxa"/>
            <w:tcBorders>
              <w:top w:val="single" w:sz="4" w:space="0" w:color="auto"/>
              <w:left w:val="nil"/>
              <w:bottom w:val="single" w:sz="4" w:space="0" w:color="auto"/>
              <w:right w:val="nil"/>
            </w:tcBorders>
            <w:shd w:val="clear" w:color="auto" w:fill="FABF8F" w:themeFill="accent6" w:themeFillTint="99"/>
            <w:vAlign w:val="center"/>
            <w:hideMark/>
          </w:tcPr>
          <w:p w14:paraId="4DF9291A" w14:textId="77777777" w:rsidR="00807992" w:rsidRPr="00453A80" w:rsidRDefault="00807992" w:rsidP="00807992">
            <w:pPr>
              <w:spacing w:after="0"/>
              <w:ind w:firstLine="0"/>
              <w:jc w:val="left"/>
              <w:rPr>
                <w:rFonts w:ascii="Arial" w:hAnsi="Arial" w:cs="Arial"/>
                <w:color w:val="000000"/>
                <w:sz w:val="18"/>
                <w:szCs w:val="18"/>
                <w:lang w:val="es-ES" w:eastAsia="es-ES"/>
              </w:rPr>
            </w:pPr>
            <w:r w:rsidRPr="00453A80">
              <w:rPr>
                <w:rFonts w:ascii="Arial" w:hAnsi="Arial" w:cs="Arial"/>
                <w:color w:val="000000"/>
                <w:sz w:val="18"/>
                <w:szCs w:val="18"/>
                <w:lang w:eastAsia="es-ES"/>
              </w:rPr>
              <w:t>Capítulo de gasto</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14:paraId="6AAAB687" w14:textId="77777777" w:rsidR="00807992" w:rsidRPr="00453A80" w:rsidRDefault="00807992" w:rsidP="00807992">
            <w:pPr>
              <w:spacing w:after="0"/>
              <w:ind w:firstLine="0"/>
              <w:jc w:val="right"/>
              <w:rPr>
                <w:rFonts w:ascii="Arial" w:hAnsi="Arial" w:cs="Arial"/>
                <w:color w:val="000000"/>
                <w:sz w:val="18"/>
                <w:szCs w:val="18"/>
                <w:lang w:val="es-ES" w:eastAsia="es-ES"/>
              </w:rPr>
            </w:pPr>
            <w:r w:rsidRPr="00453A80">
              <w:rPr>
                <w:rFonts w:ascii="Arial" w:hAnsi="Arial" w:cs="Arial"/>
                <w:color w:val="000000"/>
                <w:sz w:val="18"/>
                <w:szCs w:val="18"/>
                <w:lang w:eastAsia="es-ES"/>
              </w:rPr>
              <w:t>ORN 2020</w:t>
            </w:r>
          </w:p>
        </w:tc>
        <w:tc>
          <w:tcPr>
            <w:tcW w:w="1134" w:type="dxa"/>
            <w:tcBorders>
              <w:top w:val="single" w:sz="4" w:space="0" w:color="auto"/>
              <w:left w:val="nil"/>
              <w:bottom w:val="single" w:sz="4" w:space="0" w:color="auto"/>
              <w:right w:val="nil"/>
            </w:tcBorders>
            <w:shd w:val="clear" w:color="auto" w:fill="FABF8F" w:themeFill="accent6" w:themeFillTint="99"/>
            <w:noWrap/>
            <w:vAlign w:val="center"/>
            <w:hideMark/>
          </w:tcPr>
          <w:p w14:paraId="322946BD" w14:textId="77777777" w:rsidR="00807992" w:rsidRPr="00453A80" w:rsidRDefault="00807992" w:rsidP="00807992">
            <w:pPr>
              <w:spacing w:after="0"/>
              <w:ind w:firstLine="0"/>
              <w:jc w:val="right"/>
              <w:rPr>
                <w:rFonts w:ascii="Arial" w:hAnsi="Arial" w:cs="Arial"/>
                <w:color w:val="000000"/>
                <w:sz w:val="18"/>
                <w:szCs w:val="18"/>
                <w:lang w:val="es-ES" w:eastAsia="es-ES"/>
              </w:rPr>
            </w:pPr>
            <w:r w:rsidRPr="00453A80">
              <w:rPr>
                <w:rFonts w:ascii="Arial" w:hAnsi="Arial" w:cs="Arial"/>
                <w:color w:val="000000"/>
                <w:sz w:val="18"/>
                <w:szCs w:val="18"/>
                <w:lang w:eastAsia="es-ES"/>
              </w:rPr>
              <w:t>ORN 2021</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14:paraId="748B9780" w14:textId="77777777" w:rsidR="00807992" w:rsidRPr="00453A80" w:rsidRDefault="00807992" w:rsidP="0080799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Diferencia</w:t>
            </w:r>
          </w:p>
        </w:tc>
        <w:tc>
          <w:tcPr>
            <w:tcW w:w="1134" w:type="dxa"/>
            <w:tcBorders>
              <w:top w:val="single" w:sz="4" w:space="0" w:color="auto"/>
              <w:left w:val="nil"/>
              <w:bottom w:val="single" w:sz="4" w:space="0" w:color="auto"/>
              <w:right w:val="nil"/>
            </w:tcBorders>
            <w:shd w:val="clear" w:color="auto" w:fill="FABF8F" w:themeFill="accent6" w:themeFillTint="99"/>
            <w:noWrap/>
            <w:vAlign w:val="center"/>
            <w:hideMark/>
          </w:tcPr>
          <w:p w14:paraId="2A3FF759" w14:textId="77777777" w:rsidR="00807992" w:rsidRDefault="00807992" w:rsidP="00807992">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 Variación</w:t>
            </w:r>
          </w:p>
          <w:p w14:paraId="7300CFE5" w14:textId="77777777" w:rsidR="00807992" w:rsidRPr="00453A80" w:rsidRDefault="00807992" w:rsidP="00807992">
            <w:pPr>
              <w:spacing w:after="0"/>
              <w:ind w:firstLine="0"/>
              <w:jc w:val="right"/>
              <w:rPr>
                <w:rFonts w:ascii="Arial" w:hAnsi="Arial" w:cs="Arial"/>
                <w:color w:val="000000"/>
                <w:sz w:val="18"/>
                <w:szCs w:val="18"/>
                <w:lang w:val="es-ES" w:eastAsia="es-ES"/>
              </w:rPr>
            </w:pPr>
            <w:r w:rsidRPr="00453A80">
              <w:rPr>
                <w:rFonts w:ascii="Arial" w:hAnsi="Arial" w:cs="Arial"/>
                <w:color w:val="000000"/>
                <w:sz w:val="18"/>
                <w:szCs w:val="18"/>
                <w:lang w:eastAsia="es-ES"/>
              </w:rPr>
              <w:t xml:space="preserve">2021/2020 </w:t>
            </w:r>
          </w:p>
        </w:tc>
      </w:tr>
      <w:tr w:rsidR="00807992" w:rsidRPr="00453A80" w14:paraId="06271924" w14:textId="77777777" w:rsidTr="006C15C7">
        <w:trPr>
          <w:trHeight w:val="198"/>
        </w:trPr>
        <w:tc>
          <w:tcPr>
            <w:tcW w:w="4111" w:type="dxa"/>
            <w:tcBorders>
              <w:top w:val="single" w:sz="4" w:space="0" w:color="auto"/>
              <w:left w:val="nil"/>
              <w:bottom w:val="single" w:sz="2" w:space="0" w:color="auto"/>
              <w:right w:val="nil"/>
            </w:tcBorders>
            <w:shd w:val="clear" w:color="auto" w:fill="auto"/>
            <w:vAlign w:val="center"/>
            <w:hideMark/>
          </w:tcPr>
          <w:p w14:paraId="54E21E5E" w14:textId="77777777" w:rsidR="00807992" w:rsidRPr="00453A80" w:rsidRDefault="00807992" w:rsidP="00807992">
            <w:pPr>
              <w:spacing w:after="0"/>
              <w:ind w:firstLine="0"/>
              <w:jc w:val="left"/>
              <w:rPr>
                <w:rFonts w:ascii="Arial Narrow" w:hAnsi="Arial Narrow" w:cs="Calibri"/>
                <w:color w:val="000000"/>
                <w:lang w:val="es-ES" w:eastAsia="es-ES"/>
              </w:rPr>
            </w:pPr>
            <w:r w:rsidRPr="00453A80">
              <w:rPr>
                <w:rFonts w:ascii="Arial Narrow" w:hAnsi="Arial Narrow" w:cs="Calibri"/>
                <w:color w:val="000000"/>
                <w:lang w:eastAsia="es-ES"/>
              </w:rPr>
              <w:t>Personal</w:t>
            </w:r>
          </w:p>
        </w:tc>
        <w:tc>
          <w:tcPr>
            <w:tcW w:w="1276" w:type="dxa"/>
            <w:tcBorders>
              <w:top w:val="single" w:sz="4" w:space="0" w:color="auto"/>
              <w:left w:val="nil"/>
              <w:bottom w:val="single" w:sz="2" w:space="0" w:color="auto"/>
              <w:right w:val="nil"/>
            </w:tcBorders>
            <w:shd w:val="clear" w:color="auto" w:fill="auto"/>
            <w:vAlign w:val="center"/>
            <w:hideMark/>
          </w:tcPr>
          <w:p w14:paraId="01B3E966"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513.848</w:t>
            </w:r>
          </w:p>
        </w:tc>
        <w:tc>
          <w:tcPr>
            <w:tcW w:w="1134" w:type="dxa"/>
            <w:tcBorders>
              <w:top w:val="single" w:sz="4" w:space="0" w:color="auto"/>
              <w:left w:val="nil"/>
              <w:bottom w:val="single" w:sz="2" w:space="0" w:color="auto"/>
              <w:right w:val="nil"/>
            </w:tcBorders>
            <w:shd w:val="clear" w:color="auto" w:fill="auto"/>
            <w:noWrap/>
            <w:vAlign w:val="center"/>
            <w:hideMark/>
          </w:tcPr>
          <w:p w14:paraId="6E0DA68C"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187.530</w:t>
            </w:r>
          </w:p>
        </w:tc>
        <w:tc>
          <w:tcPr>
            <w:tcW w:w="1134" w:type="dxa"/>
            <w:tcBorders>
              <w:top w:val="single" w:sz="4" w:space="0" w:color="auto"/>
              <w:left w:val="nil"/>
              <w:bottom w:val="single" w:sz="2" w:space="0" w:color="auto"/>
              <w:right w:val="nil"/>
            </w:tcBorders>
            <w:vAlign w:val="center"/>
          </w:tcPr>
          <w:p w14:paraId="1CBB476B" w14:textId="77777777" w:rsidR="00807992" w:rsidRPr="00453A80"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-326.318</w:t>
            </w:r>
          </w:p>
        </w:tc>
        <w:tc>
          <w:tcPr>
            <w:tcW w:w="1134" w:type="dxa"/>
            <w:tcBorders>
              <w:top w:val="single" w:sz="4" w:space="0" w:color="auto"/>
              <w:left w:val="nil"/>
              <w:bottom w:val="single" w:sz="2" w:space="0" w:color="auto"/>
              <w:right w:val="nil"/>
            </w:tcBorders>
            <w:shd w:val="clear" w:color="auto" w:fill="auto"/>
            <w:noWrap/>
            <w:vAlign w:val="center"/>
            <w:hideMark/>
          </w:tcPr>
          <w:p w14:paraId="57AF9655"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-64</w:t>
            </w:r>
          </w:p>
        </w:tc>
      </w:tr>
      <w:tr w:rsidR="00807992" w:rsidRPr="00453A80" w14:paraId="36232117" w14:textId="77777777" w:rsidTr="00011983">
        <w:trPr>
          <w:trHeight w:val="198"/>
        </w:trPr>
        <w:tc>
          <w:tcPr>
            <w:tcW w:w="4111" w:type="dxa"/>
            <w:tcBorders>
              <w:top w:val="single" w:sz="2" w:space="0" w:color="auto"/>
              <w:left w:val="nil"/>
              <w:bottom w:val="single" w:sz="2" w:space="0" w:color="auto"/>
              <w:right w:val="nil"/>
            </w:tcBorders>
            <w:shd w:val="clear" w:color="auto" w:fill="auto"/>
            <w:vAlign w:val="center"/>
            <w:hideMark/>
          </w:tcPr>
          <w:p w14:paraId="24FC40E3" w14:textId="77777777" w:rsidR="00807992" w:rsidRPr="00453A80" w:rsidRDefault="00807992" w:rsidP="00807992">
            <w:pPr>
              <w:spacing w:after="0"/>
              <w:ind w:firstLine="0"/>
              <w:jc w:val="left"/>
              <w:rPr>
                <w:rFonts w:ascii="Arial Narrow" w:hAnsi="Arial Narrow" w:cs="Calibri"/>
                <w:color w:val="000000"/>
                <w:lang w:val="es-ES" w:eastAsia="es-ES"/>
              </w:rPr>
            </w:pPr>
            <w:r w:rsidRPr="00453A80">
              <w:rPr>
                <w:rFonts w:ascii="Arial Narrow" w:hAnsi="Arial Narrow" w:cs="Calibri"/>
                <w:color w:val="000000"/>
                <w:lang w:eastAsia="es-ES"/>
              </w:rPr>
              <w:t>Gastos corrientes en bienes y servicios</w:t>
            </w:r>
          </w:p>
        </w:tc>
        <w:tc>
          <w:tcPr>
            <w:tcW w:w="1276" w:type="dxa"/>
            <w:tcBorders>
              <w:top w:val="single" w:sz="2" w:space="0" w:color="auto"/>
              <w:left w:val="nil"/>
              <w:bottom w:val="single" w:sz="2" w:space="0" w:color="auto"/>
              <w:right w:val="nil"/>
            </w:tcBorders>
            <w:shd w:val="clear" w:color="auto" w:fill="auto"/>
            <w:vAlign w:val="center"/>
            <w:hideMark/>
          </w:tcPr>
          <w:p w14:paraId="7C5210E3"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2.255.127</w:t>
            </w:r>
          </w:p>
        </w:tc>
        <w:tc>
          <w:tcPr>
            <w:tcW w:w="1134" w:type="dxa"/>
            <w:tcBorders>
              <w:top w:val="single" w:sz="2" w:space="0" w:color="auto"/>
              <w:left w:val="nil"/>
              <w:bottom w:val="single" w:sz="2" w:space="0" w:color="auto"/>
              <w:right w:val="nil"/>
            </w:tcBorders>
            <w:shd w:val="clear" w:color="auto" w:fill="auto"/>
            <w:noWrap/>
            <w:vAlign w:val="center"/>
            <w:hideMark/>
          </w:tcPr>
          <w:p w14:paraId="735EDF28"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620.324</w:t>
            </w:r>
          </w:p>
        </w:tc>
        <w:tc>
          <w:tcPr>
            <w:tcW w:w="1134" w:type="dxa"/>
            <w:tcBorders>
              <w:top w:val="single" w:sz="2" w:space="0" w:color="auto"/>
              <w:left w:val="nil"/>
              <w:bottom w:val="single" w:sz="2" w:space="0" w:color="auto"/>
              <w:right w:val="nil"/>
            </w:tcBorders>
            <w:vAlign w:val="center"/>
          </w:tcPr>
          <w:p w14:paraId="19A3E3C4" w14:textId="77777777" w:rsidR="00807992" w:rsidRPr="00453A80"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-1.634.803</w:t>
            </w:r>
          </w:p>
        </w:tc>
        <w:tc>
          <w:tcPr>
            <w:tcW w:w="1134" w:type="dxa"/>
            <w:tcBorders>
              <w:top w:val="single" w:sz="2" w:space="0" w:color="auto"/>
              <w:left w:val="nil"/>
              <w:bottom w:val="single" w:sz="2" w:space="0" w:color="auto"/>
              <w:right w:val="nil"/>
            </w:tcBorders>
            <w:shd w:val="clear" w:color="auto" w:fill="auto"/>
            <w:noWrap/>
            <w:vAlign w:val="center"/>
            <w:hideMark/>
          </w:tcPr>
          <w:p w14:paraId="3F658EC6"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-72</w:t>
            </w:r>
          </w:p>
        </w:tc>
      </w:tr>
      <w:tr w:rsidR="00807992" w:rsidRPr="00453A80" w14:paraId="07EB1974" w14:textId="77777777" w:rsidTr="00011983">
        <w:trPr>
          <w:trHeight w:val="198"/>
        </w:trPr>
        <w:tc>
          <w:tcPr>
            <w:tcW w:w="4111" w:type="dxa"/>
            <w:tcBorders>
              <w:top w:val="single" w:sz="2" w:space="0" w:color="auto"/>
              <w:left w:val="nil"/>
              <w:bottom w:val="single" w:sz="2" w:space="0" w:color="auto"/>
              <w:right w:val="nil"/>
            </w:tcBorders>
            <w:shd w:val="clear" w:color="auto" w:fill="auto"/>
            <w:vAlign w:val="center"/>
            <w:hideMark/>
          </w:tcPr>
          <w:p w14:paraId="7CB93D0D" w14:textId="77777777" w:rsidR="00807992" w:rsidRPr="00453A80" w:rsidRDefault="00807992" w:rsidP="00807992">
            <w:pPr>
              <w:spacing w:after="0"/>
              <w:ind w:firstLine="0"/>
              <w:jc w:val="left"/>
              <w:rPr>
                <w:rFonts w:ascii="Arial Narrow" w:hAnsi="Arial Narrow" w:cs="Calibri"/>
                <w:color w:val="000000"/>
                <w:lang w:val="es-ES" w:eastAsia="es-ES"/>
              </w:rPr>
            </w:pPr>
            <w:r w:rsidRPr="00453A80">
              <w:rPr>
                <w:rFonts w:ascii="Arial Narrow" w:hAnsi="Arial Narrow" w:cs="Calibri"/>
                <w:color w:val="000000"/>
                <w:lang w:eastAsia="es-ES"/>
              </w:rPr>
              <w:t>Transferencias corrientes</w:t>
            </w:r>
          </w:p>
        </w:tc>
        <w:tc>
          <w:tcPr>
            <w:tcW w:w="1276" w:type="dxa"/>
            <w:tcBorders>
              <w:top w:val="single" w:sz="2" w:space="0" w:color="auto"/>
              <w:left w:val="nil"/>
              <w:bottom w:val="single" w:sz="2" w:space="0" w:color="auto"/>
              <w:right w:val="nil"/>
            </w:tcBorders>
            <w:shd w:val="clear" w:color="auto" w:fill="auto"/>
            <w:vAlign w:val="center"/>
            <w:hideMark/>
          </w:tcPr>
          <w:p w14:paraId="696829C9"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3.171.347</w:t>
            </w:r>
          </w:p>
        </w:tc>
        <w:tc>
          <w:tcPr>
            <w:tcW w:w="1134" w:type="dxa"/>
            <w:tcBorders>
              <w:top w:val="single" w:sz="2" w:space="0" w:color="auto"/>
              <w:left w:val="nil"/>
              <w:bottom w:val="single" w:sz="2" w:space="0" w:color="auto"/>
              <w:right w:val="nil"/>
            </w:tcBorders>
            <w:shd w:val="clear" w:color="auto" w:fill="auto"/>
            <w:noWrap/>
            <w:vAlign w:val="center"/>
            <w:hideMark/>
          </w:tcPr>
          <w:p w14:paraId="5C17ECD8"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2.244.317</w:t>
            </w:r>
          </w:p>
        </w:tc>
        <w:tc>
          <w:tcPr>
            <w:tcW w:w="1134" w:type="dxa"/>
            <w:tcBorders>
              <w:top w:val="single" w:sz="2" w:space="0" w:color="auto"/>
              <w:left w:val="nil"/>
              <w:bottom w:val="single" w:sz="2" w:space="0" w:color="auto"/>
              <w:right w:val="nil"/>
            </w:tcBorders>
            <w:vAlign w:val="center"/>
          </w:tcPr>
          <w:p w14:paraId="1CE5F8BB" w14:textId="77777777" w:rsidR="00807992" w:rsidRPr="00453A80"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-927.031</w:t>
            </w:r>
          </w:p>
        </w:tc>
        <w:tc>
          <w:tcPr>
            <w:tcW w:w="1134" w:type="dxa"/>
            <w:tcBorders>
              <w:top w:val="single" w:sz="2" w:space="0" w:color="auto"/>
              <w:left w:val="nil"/>
              <w:bottom w:val="single" w:sz="2" w:space="0" w:color="auto"/>
              <w:right w:val="nil"/>
            </w:tcBorders>
            <w:shd w:val="clear" w:color="auto" w:fill="auto"/>
            <w:noWrap/>
            <w:vAlign w:val="center"/>
            <w:hideMark/>
          </w:tcPr>
          <w:p w14:paraId="3D83E4BE"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-29</w:t>
            </w:r>
          </w:p>
        </w:tc>
      </w:tr>
      <w:tr w:rsidR="00807992" w:rsidRPr="00453A80" w14:paraId="3EAC082E" w14:textId="77777777" w:rsidTr="003F5464">
        <w:trPr>
          <w:trHeight w:val="198"/>
        </w:trPr>
        <w:tc>
          <w:tcPr>
            <w:tcW w:w="4111" w:type="dxa"/>
            <w:tcBorders>
              <w:top w:val="single" w:sz="2" w:space="0" w:color="auto"/>
              <w:left w:val="nil"/>
              <w:bottom w:val="single" w:sz="4" w:space="0" w:color="auto"/>
              <w:right w:val="nil"/>
            </w:tcBorders>
            <w:shd w:val="clear" w:color="auto" w:fill="auto"/>
            <w:vAlign w:val="center"/>
            <w:hideMark/>
          </w:tcPr>
          <w:p w14:paraId="613C351B" w14:textId="77777777" w:rsidR="00807992" w:rsidRPr="00453A80" w:rsidRDefault="00807992" w:rsidP="00807992">
            <w:pPr>
              <w:spacing w:after="0"/>
              <w:ind w:firstLine="0"/>
              <w:jc w:val="left"/>
              <w:rPr>
                <w:rFonts w:ascii="Arial Narrow" w:hAnsi="Arial Narrow" w:cs="Calibri"/>
                <w:color w:val="000000"/>
                <w:lang w:val="es-ES" w:eastAsia="es-ES"/>
              </w:rPr>
            </w:pPr>
            <w:r w:rsidRPr="00453A80">
              <w:rPr>
                <w:rFonts w:ascii="Arial Narrow" w:hAnsi="Arial Narrow" w:cs="Calibri"/>
                <w:color w:val="000000"/>
                <w:lang w:eastAsia="es-ES"/>
              </w:rPr>
              <w:t>Inversiones</w:t>
            </w:r>
          </w:p>
        </w:tc>
        <w:tc>
          <w:tcPr>
            <w:tcW w:w="1276" w:type="dxa"/>
            <w:tcBorders>
              <w:top w:val="single" w:sz="2" w:space="0" w:color="auto"/>
              <w:left w:val="nil"/>
              <w:bottom w:val="single" w:sz="4" w:space="0" w:color="auto"/>
              <w:right w:val="nil"/>
            </w:tcBorders>
            <w:shd w:val="clear" w:color="auto" w:fill="auto"/>
            <w:vAlign w:val="center"/>
            <w:hideMark/>
          </w:tcPr>
          <w:p w14:paraId="5DCE2EF7"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351.818</w:t>
            </w:r>
          </w:p>
        </w:tc>
        <w:tc>
          <w:tcPr>
            <w:tcW w:w="1134" w:type="dxa"/>
            <w:tcBorders>
              <w:top w:val="single" w:sz="2" w:space="0" w:color="auto"/>
              <w:left w:val="nil"/>
              <w:bottom w:val="single" w:sz="4" w:space="0" w:color="auto"/>
              <w:right w:val="nil"/>
            </w:tcBorders>
            <w:shd w:val="clear" w:color="auto" w:fill="auto"/>
            <w:noWrap/>
            <w:vAlign w:val="center"/>
            <w:hideMark/>
          </w:tcPr>
          <w:p w14:paraId="49EC919F"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69.431</w:t>
            </w:r>
          </w:p>
        </w:tc>
        <w:tc>
          <w:tcPr>
            <w:tcW w:w="1134" w:type="dxa"/>
            <w:tcBorders>
              <w:top w:val="single" w:sz="2" w:space="0" w:color="auto"/>
              <w:left w:val="nil"/>
              <w:bottom w:val="single" w:sz="4" w:space="0" w:color="auto"/>
              <w:right w:val="nil"/>
            </w:tcBorders>
            <w:vAlign w:val="center"/>
          </w:tcPr>
          <w:p w14:paraId="139B5D14" w14:textId="77777777" w:rsidR="00807992" w:rsidRPr="00453A80"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-282.387</w:t>
            </w:r>
          </w:p>
        </w:tc>
        <w:tc>
          <w:tcPr>
            <w:tcW w:w="1134" w:type="dxa"/>
            <w:tcBorders>
              <w:top w:val="single" w:sz="2" w:space="0" w:color="auto"/>
              <w:left w:val="nil"/>
              <w:bottom w:val="single" w:sz="4" w:space="0" w:color="auto"/>
              <w:right w:val="nil"/>
            </w:tcBorders>
            <w:shd w:val="clear" w:color="auto" w:fill="auto"/>
            <w:noWrap/>
            <w:vAlign w:val="center"/>
            <w:hideMark/>
          </w:tcPr>
          <w:p w14:paraId="4A4E7359" w14:textId="77777777" w:rsidR="00807992" w:rsidRPr="00453A80" w:rsidRDefault="00807992" w:rsidP="00807992">
            <w:pPr>
              <w:spacing w:after="0"/>
              <w:ind w:firstLine="0"/>
              <w:jc w:val="right"/>
              <w:rPr>
                <w:rFonts w:ascii="Arial Narrow" w:hAnsi="Arial Narrow" w:cs="Calibri"/>
                <w:color w:val="000000"/>
                <w:lang w:val="es-ES" w:eastAsia="es-ES"/>
              </w:rPr>
            </w:pPr>
            <w:r w:rsidRPr="00453A80">
              <w:rPr>
                <w:rFonts w:ascii="Arial Narrow" w:hAnsi="Arial Narrow" w:cs="Calibri"/>
                <w:color w:val="000000"/>
                <w:lang w:val="es-ES" w:eastAsia="es-ES"/>
              </w:rPr>
              <w:t>-80</w:t>
            </w:r>
          </w:p>
        </w:tc>
      </w:tr>
      <w:tr w:rsidR="00807992" w:rsidRPr="003E6CD5" w14:paraId="20B44EAE" w14:textId="77777777" w:rsidTr="003F5464">
        <w:trPr>
          <w:trHeight w:val="255"/>
        </w:trPr>
        <w:tc>
          <w:tcPr>
            <w:tcW w:w="4111" w:type="dxa"/>
            <w:tcBorders>
              <w:top w:val="single" w:sz="4" w:space="0" w:color="auto"/>
              <w:left w:val="nil"/>
              <w:bottom w:val="single" w:sz="4" w:space="0" w:color="auto"/>
              <w:right w:val="nil"/>
            </w:tcBorders>
            <w:shd w:val="clear" w:color="auto" w:fill="FABF8F" w:themeFill="accent6" w:themeFillTint="99"/>
            <w:vAlign w:val="center"/>
            <w:hideMark/>
          </w:tcPr>
          <w:p w14:paraId="68C2A74C" w14:textId="77777777" w:rsidR="00807992" w:rsidRPr="003E6CD5" w:rsidRDefault="00807992" w:rsidP="00807992">
            <w:pPr>
              <w:spacing w:after="0"/>
              <w:ind w:firstLine="0"/>
              <w:jc w:val="left"/>
              <w:rPr>
                <w:rFonts w:ascii="Arial" w:hAnsi="Arial" w:cs="Arial"/>
                <w:color w:val="000000"/>
                <w:sz w:val="18"/>
                <w:szCs w:val="18"/>
                <w:lang w:val="es-ES" w:eastAsia="es-ES"/>
              </w:rPr>
            </w:pPr>
            <w:r w:rsidRPr="003E6CD5">
              <w:rPr>
                <w:rFonts w:ascii="Arial" w:hAnsi="Arial" w:cs="Arial"/>
                <w:color w:val="000000"/>
                <w:sz w:val="18"/>
                <w:szCs w:val="18"/>
                <w:lang w:eastAsia="es-ES"/>
              </w:rPr>
              <w:t>Total</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14:paraId="0E98FF9B" w14:textId="77777777" w:rsidR="00807992" w:rsidRPr="003E6CD5" w:rsidRDefault="00807992" w:rsidP="00807992">
            <w:pPr>
              <w:spacing w:after="0"/>
              <w:ind w:firstLine="0"/>
              <w:jc w:val="right"/>
              <w:rPr>
                <w:rFonts w:ascii="Arial" w:hAnsi="Arial" w:cs="Arial"/>
                <w:color w:val="000000"/>
                <w:sz w:val="18"/>
                <w:szCs w:val="18"/>
                <w:lang w:val="es-ES" w:eastAsia="es-ES"/>
              </w:rPr>
            </w:pPr>
            <w:r w:rsidRPr="003E6CD5">
              <w:rPr>
                <w:rFonts w:ascii="Arial" w:hAnsi="Arial" w:cs="Arial"/>
                <w:color w:val="000000"/>
                <w:sz w:val="18"/>
                <w:szCs w:val="18"/>
                <w:lang w:val="es-ES" w:eastAsia="es-ES"/>
              </w:rPr>
              <w:t>6.292.141</w:t>
            </w:r>
          </w:p>
        </w:tc>
        <w:tc>
          <w:tcPr>
            <w:tcW w:w="1134" w:type="dxa"/>
            <w:tcBorders>
              <w:top w:val="single" w:sz="4" w:space="0" w:color="auto"/>
              <w:left w:val="nil"/>
              <w:bottom w:val="single" w:sz="4" w:space="0" w:color="auto"/>
              <w:right w:val="nil"/>
            </w:tcBorders>
            <w:shd w:val="clear" w:color="auto" w:fill="FABF8F" w:themeFill="accent6" w:themeFillTint="99"/>
            <w:vAlign w:val="center"/>
            <w:hideMark/>
          </w:tcPr>
          <w:p w14:paraId="1E928D7D" w14:textId="77777777" w:rsidR="00807992" w:rsidRPr="003E6CD5" w:rsidRDefault="00807992" w:rsidP="00807992">
            <w:pPr>
              <w:spacing w:after="0"/>
              <w:ind w:firstLine="0"/>
              <w:jc w:val="right"/>
              <w:rPr>
                <w:rFonts w:ascii="Arial" w:hAnsi="Arial" w:cs="Arial"/>
                <w:color w:val="000000"/>
                <w:sz w:val="18"/>
                <w:szCs w:val="18"/>
                <w:lang w:val="es-ES" w:eastAsia="es-ES"/>
              </w:rPr>
            </w:pPr>
            <w:r w:rsidRPr="003E6CD5">
              <w:rPr>
                <w:rFonts w:ascii="Arial" w:hAnsi="Arial" w:cs="Arial"/>
                <w:color w:val="000000"/>
                <w:sz w:val="18"/>
                <w:szCs w:val="18"/>
                <w:lang w:val="es-ES" w:eastAsia="es-ES"/>
              </w:rPr>
              <w:t>3.121.602</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14:paraId="774AC661" w14:textId="77777777" w:rsidR="00807992" w:rsidRPr="003E6CD5" w:rsidRDefault="00807992" w:rsidP="00807992">
            <w:pPr>
              <w:spacing w:after="0"/>
              <w:ind w:firstLine="0"/>
              <w:jc w:val="right"/>
              <w:rPr>
                <w:rFonts w:ascii="Arial" w:hAnsi="Arial" w:cs="Arial"/>
                <w:color w:val="000000"/>
                <w:sz w:val="18"/>
                <w:szCs w:val="18"/>
                <w:lang w:val="es-ES" w:eastAsia="es-ES"/>
              </w:rPr>
            </w:pPr>
            <w:r w:rsidRPr="003E6CD5">
              <w:rPr>
                <w:rFonts w:ascii="Arial" w:hAnsi="Arial" w:cs="Arial"/>
                <w:color w:val="000000"/>
                <w:sz w:val="18"/>
                <w:szCs w:val="18"/>
                <w:lang w:val="es-ES" w:eastAsia="es-ES"/>
              </w:rPr>
              <w:t>-3.170.583</w:t>
            </w:r>
          </w:p>
        </w:tc>
        <w:tc>
          <w:tcPr>
            <w:tcW w:w="1134" w:type="dxa"/>
            <w:tcBorders>
              <w:top w:val="single" w:sz="4" w:space="0" w:color="auto"/>
              <w:left w:val="nil"/>
              <w:bottom w:val="single" w:sz="4" w:space="0" w:color="auto"/>
              <w:right w:val="nil"/>
            </w:tcBorders>
            <w:shd w:val="clear" w:color="auto" w:fill="FABF8F" w:themeFill="accent6" w:themeFillTint="99"/>
            <w:noWrap/>
            <w:vAlign w:val="center"/>
            <w:hideMark/>
          </w:tcPr>
          <w:p w14:paraId="0AA96C81" w14:textId="77777777" w:rsidR="00807992" w:rsidRPr="003E6CD5" w:rsidRDefault="00807992" w:rsidP="00807992">
            <w:pPr>
              <w:spacing w:after="0"/>
              <w:ind w:firstLine="0"/>
              <w:jc w:val="right"/>
              <w:rPr>
                <w:rFonts w:ascii="Arial" w:hAnsi="Arial" w:cs="Arial"/>
                <w:color w:val="000000"/>
                <w:sz w:val="18"/>
                <w:szCs w:val="18"/>
                <w:lang w:val="es-ES" w:eastAsia="es-ES"/>
              </w:rPr>
            </w:pPr>
            <w:r w:rsidRPr="003E6CD5">
              <w:rPr>
                <w:rFonts w:ascii="Arial" w:hAnsi="Arial" w:cs="Arial"/>
                <w:color w:val="000000"/>
                <w:sz w:val="18"/>
                <w:szCs w:val="18"/>
                <w:lang w:val="es-ES" w:eastAsia="es-ES"/>
              </w:rPr>
              <w:t>-50</w:t>
            </w:r>
          </w:p>
        </w:tc>
      </w:tr>
    </w:tbl>
    <w:p w14:paraId="403B3D6E" w14:textId="77777777" w:rsidR="006435CB" w:rsidRDefault="006435CB" w:rsidP="00807992">
      <w:pPr>
        <w:tabs>
          <w:tab w:val="center" w:pos="2835"/>
          <w:tab w:val="center" w:pos="3969"/>
          <w:tab w:val="center" w:pos="5103"/>
          <w:tab w:val="center" w:pos="6237"/>
          <w:tab w:val="center" w:pos="7371"/>
        </w:tabs>
        <w:spacing w:before="240"/>
        <w:ind w:firstLine="284"/>
        <w:rPr>
          <w:color w:val="000000" w:themeColor="text1"/>
          <w:spacing w:val="6"/>
          <w:sz w:val="26"/>
          <w:szCs w:val="24"/>
        </w:rPr>
      </w:pPr>
    </w:p>
    <w:p w14:paraId="3BB08518" w14:textId="77777777" w:rsidR="006435CB" w:rsidRDefault="006435CB" w:rsidP="00807992">
      <w:pPr>
        <w:tabs>
          <w:tab w:val="center" w:pos="2835"/>
          <w:tab w:val="center" w:pos="3969"/>
          <w:tab w:val="center" w:pos="5103"/>
          <w:tab w:val="center" w:pos="6237"/>
          <w:tab w:val="center" w:pos="7371"/>
        </w:tabs>
        <w:spacing w:before="240"/>
        <w:ind w:firstLine="284"/>
        <w:rPr>
          <w:color w:val="000000" w:themeColor="text1"/>
          <w:spacing w:val="6"/>
          <w:sz w:val="26"/>
          <w:szCs w:val="24"/>
        </w:rPr>
      </w:pPr>
    </w:p>
    <w:p w14:paraId="7DEEC547" w14:textId="77777777" w:rsidR="00807992" w:rsidRPr="00453A80" w:rsidRDefault="00807992" w:rsidP="00807992">
      <w:pPr>
        <w:tabs>
          <w:tab w:val="center" w:pos="2835"/>
          <w:tab w:val="center" w:pos="3969"/>
          <w:tab w:val="center" w:pos="5103"/>
          <w:tab w:val="center" w:pos="6237"/>
          <w:tab w:val="center" w:pos="7371"/>
        </w:tabs>
        <w:spacing w:before="240"/>
        <w:ind w:firstLine="284"/>
        <w:rPr>
          <w:color w:val="000000" w:themeColor="text1"/>
          <w:spacing w:val="6"/>
          <w:sz w:val="26"/>
          <w:szCs w:val="24"/>
        </w:rPr>
      </w:pPr>
      <w:r w:rsidRPr="00453A80">
        <w:rPr>
          <w:color w:val="000000" w:themeColor="text1"/>
          <w:spacing w:val="6"/>
          <w:sz w:val="26"/>
          <w:szCs w:val="24"/>
        </w:rPr>
        <w:lastRenderedPageBreak/>
        <w:t>Del análisis de la información del cuadro anterior señalamos los siguientes aspectos:</w:t>
      </w:r>
    </w:p>
    <w:p w14:paraId="4C1333A5" w14:textId="77777777" w:rsidR="00807992" w:rsidRDefault="00807992" w:rsidP="00807992">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color w:val="000000" w:themeColor="text1"/>
          <w:spacing w:val="6"/>
          <w:sz w:val="26"/>
          <w:szCs w:val="24"/>
        </w:rPr>
      </w:pPr>
      <w:r w:rsidRPr="00453A80">
        <w:rPr>
          <w:rFonts w:cs="Arial"/>
          <w:color w:val="000000" w:themeColor="text1"/>
          <w:spacing w:val="6"/>
          <w:sz w:val="26"/>
          <w:szCs w:val="24"/>
        </w:rPr>
        <w:t xml:space="preserve">Los gastos totales de 2021 disminuyen un </w:t>
      </w:r>
      <w:r>
        <w:rPr>
          <w:rFonts w:cs="Arial"/>
          <w:color w:val="000000" w:themeColor="text1"/>
          <w:spacing w:val="6"/>
          <w:sz w:val="26"/>
          <w:szCs w:val="24"/>
        </w:rPr>
        <w:t xml:space="preserve">50 </w:t>
      </w:r>
      <w:r w:rsidRPr="00453A80">
        <w:rPr>
          <w:rFonts w:cs="Arial"/>
          <w:color w:val="000000" w:themeColor="text1"/>
          <w:spacing w:val="6"/>
          <w:sz w:val="26"/>
          <w:szCs w:val="24"/>
        </w:rPr>
        <w:t>por ciento respecto a 2020 (</w:t>
      </w:r>
      <w:r>
        <w:rPr>
          <w:rFonts w:cs="Arial"/>
          <w:color w:val="000000" w:themeColor="text1"/>
          <w:spacing w:val="6"/>
          <w:sz w:val="26"/>
          <w:szCs w:val="24"/>
        </w:rPr>
        <w:t>3,2</w:t>
      </w:r>
      <w:r w:rsidRPr="00453A80">
        <w:rPr>
          <w:rFonts w:cs="Arial"/>
          <w:color w:val="000000" w:themeColor="text1"/>
          <w:spacing w:val="6"/>
          <w:sz w:val="26"/>
          <w:szCs w:val="24"/>
        </w:rPr>
        <w:t xml:space="preserve"> millones) si bien la </w:t>
      </w:r>
      <w:r>
        <w:rPr>
          <w:rFonts w:cs="Arial"/>
          <w:color w:val="000000" w:themeColor="text1"/>
          <w:spacing w:val="6"/>
          <w:sz w:val="26"/>
          <w:szCs w:val="24"/>
        </w:rPr>
        <w:t xml:space="preserve">disminución de cada uno de los </w:t>
      </w:r>
      <w:r w:rsidRPr="00453A80">
        <w:rPr>
          <w:rFonts w:cs="Arial"/>
          <w:color w:val="000000" w:themeColor="text1"/>
          <w:spacing w:val="6"/>
          <w:sz w:val="26"/>
          <w:szCs w:val="24"/>
        </w:rPr>
        <w:t>capítulo</w:t>
      </w:r>
      <w:r>
        <w:rPr>
          <w:rFonts w:cs="Arial"/>
          <w:color w:val="000000" w:themeColor="text1"/>
          <w:spacing w:val="6"/>
          <w:sz w:val="26"/>
          <w:szCs w:val="24"/>
        </w:rPr>
        <w:t xml:space="preserve">s </w:t>
      </w:r>
      <w:r w:rsidRPr="00453A80">
        <w:rPr>
          <w:rFonts w:cs="Arial"/>
          <w:color w:val="000000" w:themeColor="text1"/>
          <w:spacing w:val="6"/>
          <w:sz w:val="26"/>
          <w:szCs w:val="24"/>
        </w:rPr>
        <w:t xml:space="preserve">de gasto es </w:t>
      </w:r>
      <w:r>
        <w:rPr>
          <w:rFonts w:cs="Arial"/>
          <w:color w:val="000000" w:themeColor="text1"/>
          <w:spacing w:val="6"/>
          <w:sz w:val="26"/>
          <w:szCs w:val="24"/>
        </w:rPr>
        <w:t>diferente.</w:t>
      </w:r>
    </w:p>
    <w:p w14:paraId="17B12EB7" w14:textId="77777777" w:rsidR="00807992" w:rsidRDefault="00807992" w:rsidP="00807992">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color w:val="000000" w:themeColor="text1"/>
          <w:spacing w:val="6"/>
          <w:sz w:val="26"/>
          <w:szCs w:val="24"/>
        </w:rPr>
      </w:pPr>
      <w:r>
        <w:rPr>
          <w:rFonts w:cs="Arial"/>
          <w:color w:val="000000" w:themeColor="text1"/>
          <w:spacing w:val="6"/>
          <w:sz w:val="26"/>
          <w:szCs w:val="24"/>
        </w:rPr>
        <w:t xml:space="preserve">En términos absolutos la mayor disminución se localiza en los gastos corrientes en bienes y servicios (1,6 millones) y en las transferencias corrientes (0,93 millones) </w:t>
      </w:r>
    </w:p>
    <w:p w14:paraId="0359D9EE" w14:textId="77777777" w:rsidR="00807992" w:rsidRPr="00AA5033" w:rsidRDefault="00807992" w:rsidP="00807992">
      <w:pPr>
        <w:tabs>
          <w:tab w:val="center" w:pos="2835"/>
          <w:tab w:val="center" w:pos="3969"/>
          <w:tab w:val="center" w:pos="5103"/>
          <w:tab w:val="center" w:pos="6237"/>
          <w:tab w:val="center" w:pos="7371"/>
        </w:tabs>
        <w:ind w:firstLine="284"/>
        <w:rPr>
          <w:color w:val="000000" w:themeColor="text1"/>
          <w:spacing w:val="6"/>
          <w:sz w:val="26"/>
          <w:szCs w:val="24"/>
        </w:rPr>
      </w:pPr>
      <w:r w:rsidRPr="00AA5033">
        <w:rPr>
          <w:color w:val="000000" w:themeColor="text1"/>
          <w:spacing w:val="6"/>
          <w:sz w:val="26"/>
          <w:szCs w:val="24"/>
        </w:rPr>
        <w:t xml:space="preserve">En el ejercicio 2021 gastos asociados a COVID-19, teniendo en cuenta el programa contable al que se adscriben la gestión, es la siguiente: </w:t>
      </w:r>
    </w:p>
    <w:tbl>
      <w:tblPr>
        <w:tblW w:w="8789" w:type="dxa"/>
        <w:tblCellMar>
          <w:left w:w="70" w:type="dxa"/>
          <w:right w:w="70" w:type="dxa"/>
        </w:tblCellMar>
        <w:tblLook w:val="04A0" w:firstRow="1" w:lastRow="0" w:firstColumn="1" w:lastColumn="0" w:noHBand="0" w:noVBand="1"/>
      </w:tblPr>
      <w:tblGrid>
        <w:gridCol w:w="7360"/>
        <w:gridCol w:w="1429"/>
      </w:tblGrid>
      <w:tr w:rsidR="00807992" w:rsidRPr="003E6CD5" w14:paraId="19D16C22" w14:textId="77777777" w:rsidTr="00822784">
        <w:trPr>
          <w:trHeight w:val="255"/>
        </w:trPr>
        <w:tc>
          <w:tcPr>
            <w:tcW w:w="7360" w:type="dxa"/>
            <w:tcBorders>
              <w:top w:val="single" w:sz="4" w:space="0" w:color="auto"/>
              <w:left w:val="nil"/>
              <w:bottom w:val="single" w:sz="2" w:space="0" w:color="auto"/>
              <w:right w:val="nil"/>
            </w:tcBorders>
            <w:shd w:val="clear" w:color="auto" w:fill="FABF8F" w:themeFill="accent6" w:themeFillTint="99"/>
            <w:noWrap/>
            <w:vAlign w:val="bottom"/>
            <w:hideMark/>
          </w:tcPr>
          <w:p w14:paraId="290A42D3" w14:textId="77777777" w:rsidR="00807992" w:rsidRPr="003E6CD5" w:rsidRDefault="00807992" w:rsidP="00807992">
            <w:pPr>
              <w:spacing w:after="0"/>
              <w:ind w:firstLine="0"/>
              <w:jc w:val="left"/>
              <w:rPr>
                <w:rFonts w:ascii="Arial" w:hAnsi="Arial" w:cs="Arial"/>
                <w:color w:val="000000"/>
                <w:sz w:val="18"/>
                <w:szCs w:val="18"/>
                <w:lang w:val="es-ES" w:eastAsia="es-ES"/>
              </w:rPr>
            </w:pPr>
            <w:r w:rsidRPr="003E6CD5">
              <w:rPr>
                <w:rFonts w:ascii="Arial" w:hAnsi="Arial" w:cs="Arial"/>
                <w:color w:val="000000"/>
                <w:sz w:val="18"/>
                <w:szCs w:val="18"/>
                <w:lang w:val="es-ES" w:eastAsia="es-ES"/>
              </w:rPr>
              <w:t>Programa / Grupo de programa descripción</w:t>
            </w:r>
          </w:p>
        </w:tc>
        <w:tc>
          <w:tcPr>
            <w:tcW w:w="1429" w:type="dxa"/>
            <w:tcBorders>
              <w:top w:val="single" w:sz="4" w:space="0" w:color="auto"/>
              <w:left w:val="nil"/>
              <w:bottom w:val="single" w:sz="2" w:space="0" w:color="auto"/>
              <w:right w:val="nil"/>
            </w:tcBorders>
            <w:shd w:val="clear" w:color="auto" w:fill="FABF8F" w:themeFill="accent6" w:themeFillTint="99"/>
            <w:noWrap/>
            <w:vAlign w:val="bottom"/>
            <w:hideMark/>
          </w:tcPr>
          <w:p w14:paraId="09B25772" w14:textId="77777777" w:rsidR="00807992" w:rsidRPr="003E6CD5" w:rsidRDefault="00807992" w:rsidP="00822784">
            <w:pPr>
              <w:spacing w:after="0"/>
              <w:ind w:firstLine="0"/>
              <w:jc w:val="right"/>
              <w:rPr>
                <w:rFonts w:ascii="Arial" w:hAnsi="Arial" w:cs="Arial"/>
                <w:color w:val="000000"/>
                <w:sz w:val="18"/>
                <w:szCs w:val="18"/>
                <w:lang w:val="es-ES" w:eastAsia="es-ES"/>
              </w:rPr>
            </w:pPr>
            <w:r w:rsidRPr="003E6CD5">
              <w:rPr>
                <w:rFonts w:ascii="Arial" w:hAnsi="Arial" w:cs="Arial"/>
                <w:color w:val="000000"/>
                <w:sz w:val="18"/>
                <w:szCs w:val="18"/>
                <w:lang w:val="es-ES" w:eastAsia="es-ES"/>
              </w:rPr>
              <w:t>ORN 2021</w:t>
            </w:r>
          </w:p>
        </w:tc>
      </w:tr>
      <w:tr w:rsidR="00807992" w:rsidRPr="00E808CF" w14:paraId="5D04C55B" w14:textId="77777777" w:rsidTr="00D951F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122E2547"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130: </w:t>
            </w:r>
            <w:proofErr w:type="spellStart"/>
            <w:r w:rsidRPr="00E808CF">
              <w:rPr>
                <w:rFonts w:ascii="Arial Narrow" w:hAnsi="Arial Narrow" w:cs="Calibri"/>
                <w:color w:val="000000"/>
                <w:lang w:val="es-ES" w:eastAsia="es-ES"/>
              </w:rPr>
              <w:t>Admon.gral</w:t>
            </w:r>
            <w:proofErr w:type="spellEnd"/>
            <w:r w:rsidRPr="00E808CF">
              <w:rPr>
                <w:rFonts w:ascii="Arial Narrow" w:hAnsi="Arial Narrow" w:cs="Calibri"/>
                <w:color w:val="000000"/>
                <w:lang w:val="es-ES" w:eastAsia="es-ES"/>
              </w:rPr>
              <w:t xml:space="preserve">. </w:t>
            </w:r>
            <w:proofErr w:type="spellStart"/>
            <w:r w:rsidRPr="00E808CF">
              <w:rPr>
                <w:rFonts w:ascii="Arial Narrow" w:hAnsi="Arial Narrow" w:cs="Calibri"/>
                <w:color w:val="000000"/>
                <w:lang w:val="es-ES" w:eastAsia="es-ES"/>
              </w:rPr>
              <w:t>Area</w:t>
            </w:r>
            <w:proofErr w:type="spellEnd"/>
            <w:r w:rsidRPr="00E808CF">
              <w:rPr>
                <w:rFonts w:ascii="Arial Narrow" w:hAnsi="Arial Narrow" w:cs="Calibri"/>
                <w:color w:val="000000"/>
                <w:lang w:val="es-ES" w:eastAsia="es-ES"/>
              </w:rPr>
              <w:t xml:space="preserve"> </w:t>
            </w:r>
            <w:proofErr w:type="spellStart"/>
            <w:proofErr w:type="gramStart"/>
            <w:r w:rsidRPr="00E808CF">
              <w:rPr>
                <w:rFonts w:ascii="Arial Narrow" w:hAnsi="Arial Narrow" w:cs="Calibri"/>
                <w:color w:val="000000"/>
                <w:lang w:val="es-ES" w:eastAsia="es-ES"/>
              </w:rPr>
              <w:t>seg.ciudadana</w:t>
            </w:r>
            <w:proofErr w:type="spellEnd"/>
            <w:proofErr w:type="gramEnd"/>
            <w:r w:rsidRPr="00E808CF">
              <w:rPr>
                <w:rFonts w:ascii="Arial Narrow" w:hAnsi="Arial Narrow" w:cs="Calibri"/>
                <w:color w:val="000000"/>
                <w:lang w:val="es-ES" w:eastAsia="es-ES"/>
              </w:rPr>
              <w:t xml:space="preserve">          </w:t>
            </w:r>
          </w:p>
        </w:tc>
        <w:tc>
          <w:tcPr>
            <w:tcW w:w="1429" w:type="dxa"/>
            <w:tcBorders>
              <w:top w:val="single" w:sz="2" w:space="0" w:color="auto"/>
              <w:left w:val="nil"/>
              <w:bottom w:val="single" w:sz="2" w:space="0" w:color="auto"/>
              <w:right w:val="nil"/>
            </w:tcBorders>
            <w:shd w:val="clear" w:color="auto" w:fill="auto"/>
            <w:noWrap/>
            <w:vAlign w:val="bottom"/>
            <w:hideMark/>
          </w:tcPr>
          <w:p w14:paraId="0F58CEDE"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81.952</w:t>
            </w:r>
          </w:p>
        </w:tc>
      </w:tr>
      <w:tr w:rsidR="00807992" w:rsidRPr="00E808CF" w14:paraId="4ACD9A80"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1B14226E"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135: </w:t>
            </w:r>
            <w:proofErr w:type="spellStart"/>
            <w:r w:rsidRPr="00E808CF">
              <w:rPr>
                <w:rFonts w:ascii="Arial Narrow" w:hAnsi="Arial Narrow" w:cs="Calibri"/>
                <w:color w:val="000000"/>
                <w:lang w:val="es-ES" w:eastAsia="es-ES"/>
              </w:rPr>
              <w:t>Proteccion</w:t>
            </w:r>
            <w:proofErr w:type="spellEnd"/>
            <w:r w:rsidRPr="00E808CF">
              <w:rPr>
                <w:rFonts w:ascii="Arial Narrow" w:hAnsi="Arial Narrow" w:cs="Calibri"/>
                <w:color w:val="000000"/>
                <w:lang w:val="es-ES" w:eastAsia="es-ES"/>
              </w:rPr>
              <w:t xml:space="preserve"> civil                        </w:t>
            </w:r>
          </w:p>
        </w:tc>
        <w:tc>
          <w:tcPr>
            <w:tcW w:w="1429" w:type="dxa"/>
            <w:tcBorders>
              <w:top w:val="single" w:sz="2" w:space="0" w:color="auto"/>
              <w:left w:val="nil"/>
              <w:bottom w:val="single" w:sz="2" w:space="0" w:color="auto"/>
              <w:right w:val="nil"/>
            </w:tcBorders>
            <w:shd w:val="clear" w:color="auto" w:fill="auto"/>
            <w:noWrap/>
            <w:vAlign w:val="bottom"/>
            <w:hideMark/>
          </w:tcPr>
          <w:p w14:paraId="6E799ECA"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8.496</w:t>
            </w:r>
          </w:p>
        </w:tc>
      </w:tr>
      <w:tr w:rsidR="00807992" w:rsidRPr="00E808CF" w14:paraId="6D2FC130"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4CAD08BA"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211: Pensiones                               </w:t>
            </w:r>
          </w:p>
        </w:tc>
        <w:tc>
          <w:tcPr>
            <w:tcW w:w="1429" w:type="dxa"/>
            <w:tcBorders>
              <w:top w:val="single" w:sz="2" w:space="0" w:color="auto"/>
              <w:left w:val="nil"/>
              <w:bottom w:val="single" w:sz="2" w:space="0" w:color="auto"/>
              <w:right w:val="nil"/>
            </w:tcBorders>
            <w:shd w:val="clear" w:color="auto" w:fill="auto"/>
            <w:noWrap/>
            <w:vAlign w:val="bottom"/>
            <w:hideMark/>
          </w:tcPr>
          <w:p w14:paraId="25349473"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385</w:t>
            </w:r>
          </w:p>
        </w:tc>
      </w:tr>
      <w:tr w:rsidR="00807992" w:rsidRPr="00E808CF" w14:paraId="6C2BC995"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5C133E3B"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231: </w:t>
            </w:r>
            <w:proofErr w:type="spellStart"/>
            <w:r w:rsidRPr="00E808CF">
              <w:rPr>
                <w:rFonts w:ascii="Arial Narrow" w:hAnsi="Arial Narrow" w:cs="Calibri"/>
                <w:color w:val="000000"/>
                <w:lang w:val="es-ES" w:eastAsia="es-ES"/>
              </w:rPr>
              <w:t>Atencion</w:t>
            </w:r>
            <w:proofErr w:type="spellEnd"/>
            <w:r w:rsidRPr="00E808CF">
              <w:rPr>
                <w:rFonts w:ascii="Arial Narrow" w:hAnsi="Arial Narrow" w:cs="Calibri"/>
                <w:color w:val="000000"/>
                <w:lang w:val="es-ES" w:eastAsia="es-ES"/>
              </w:rPr>
              <w:t xml:space="preserve"> primaria servicios sociales         </w:t>
            </w:r>
          </w:p>
        </w:tc>
        <w:tc>
          <w:tcPr>
            <w:tcW w:w="1429" w:type="dxa"/>
            <w:tcBorders>
              <w:top w:val="single" w:sz="2" w:space="0" w:color="auto"/>
              <w:left w:val="nil"/>
              <w:bottom w:val="single" w:sz="2" w:space="0" w:color="auto"/>
              <w:right w:val="nil"/>
            </w:tcBorders>
            <w:shd w:val="clear" w:color="auto" w:fill="auto"/>
            <w:noWrap/>
            <w:vAlign w:val="bottom"/>
            <w:hideMark/>
          </w:tcPr>
          <w:p w14:paraId="69473792"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447.757</w:t>
            </w:r>
          </w:p>
        </w:tc>
      </w:tr>
      <w:tr w:rsidR="00807992" w:rsidRPr="00E808CF" w14:paraId="70FBD631"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66E14865"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241: Fomento del empleo                      </w:t>
            </w:r>
          </w:p>
        </w:tc>
        <w:tc>
          <w:tcPr>
            <w:tcW w:w="1429" w:type="dxa"/>
            <w:tcBorders>
              <w:top w:val="single" w:sz="2" w:space="0" w:color="auto"/>
              <w:left w:val="nil"/>
              <w:bottom w:val="single" w:sz="2" w:space="0" w:color="auto"/>
              <w:right w:val="nil"/>
            </w:tcBorders>
            <w:shd w:val="clear" w:color="auto" w:fill="auto"/>
            <w:noWrap/>
            <w:vAlign w:val="bottom"/>
            <w:hideMark/>
          </w:tcPr>
          <w:p w14:paraId="6BA340DA"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31.512</w:t>
            </w:r>
          </w:p>
        </w:tc>
      </w:tr>
      <w:tr w:rsidR="00807992" w:rsidRPr="00E808CF" w14:paraId="02B8BB16"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0854FE54"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311: </w:t>
            </w:r>
            <w:proofErr w:type="spellStart"/>
            <w:r w:rsidRPr="00E808CF">
              <w:rPr>
                <w:rFonts w:ascii="Arial Narrow" w:hAnsi="Arial Narrow" w:cs="Calibri"/>
                <w:color w:val="000000"/>
                <w:lang w:val="es-ES" w:eastAsia="es-ES"/>
              </w:rPr>
              <w:t>Proteccion</w:t>
            </w:r>
            <w:proofErr w:type="spellEnd"/>
            <w:r w:rsidRPr="00E808CF">
              <w:rPr>
                <w:rFonts w:ascii="Arial Narrow" w:hAnsi="Arial Narrow" w:cs="Calibri"/>
                <w:color w:val="000000"/>
                <w:lang w:val="es-ES" w:eastAsia="es-ES"/>
              </w:rPr>
              <w:t xml:space="preserve"> salubridad publica           </w:t>
            </w:r>
          </w:p>
        </w:tc>
        <w:tc>
          <w:tcPr>
            <w:tcW w:w="1429" w:type="dxa"/>
            <w:tcBorders>
              <w:top w:val="single" w:sz="2" w:space="0" w:color="auto"/>
              <w:left w:val="nil"/>
              <w:bottom w:val="single" w:sz="2" w:space="0" w:color="auto"/>
              <w:right w:val="nil"/>
            </w:tcBorders>
            <w:shd w:val="clear" w:color="auto" w:fill="auto"/>
            <w:noWrap/>
            <w:vAlign w:val="bottom"/>
            <w:hideMark/>
          </w:tcPr>
          <w:p w14:paraId="3FAD9EFA"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19.887</w:t>
            </w:r>
          </w:p>
        </w:tc>
      </w:tr>
      <w:tr w:rsidR="00807992" w:rsidRPr="00E808CF" w14:paraId="6E5E67DB"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03EDDB71"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323: Funcionamiento Centros docentes         </w:t>
            </w:r>
          </w:p>
        </w:tc>
        <w:tc>
          <w:tcPr>
            <w:tcW w:w="1429" w:type="dxa"/>
            <w:tcBorders>
              <w:top w:val="single" w:sz="2" w:space="0" w:color="auto"/>
              <w:left w:val="nil"/>
              <w:bottom w:val="single" w:sz="2" w:space="0" w:color="auto"/>
              <w:right w:val="nil"/>
            </w:tcBorders>
            <w:shd w:val="clear" w:color="auto" w:fill="auto"/>
            <w:noWrap/>
            <w:vAlign w:val="bottom"/>
            <w:hideMark/>
          </w:tcPr>
          <w:p w14:paraId="5708241E"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161.003</w:t>
            </w:r>
          </w:p>
        </w:tc>
      </w:tr>
      <w:tr w:rsidR="00807992" w:rsidRPr="00E808CF" w14:paraId="6E9E943F"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36C32CBA"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326: Servicios complementarios </w:t>
            </w:r>
            <w:proofErr w:type="spellStart"/>
            <w:r w:rsidRPr="00E808CF">
              <w:rPr>
                <w:rFonts w:ascii="Arial Narrow" w:hAnsi="Arial Narrow" w:cs="Calibri"/>
                <w:color w:val="000000"/>
                <w:lang w:val="es-ES" w:eastAsia="es-ES"/>
              </w:rPr>
              <w:t>educacion</w:t>
            </w:r>
            <w:proofErr w:type="spellEnd"/>
            <w:r w:rsidRPr="00E808CF">
              <w:rPr>
                <w:rFonts w:ascii="Arial Narrow" w:hAnsi="Arial Narrow" w:cs="Calibri"/>
                <w:color w:val="000000"/>
                <w:lang w:val="es-ES" w:eastAsia="es-ES"/>
              </w:rPr>
              <w:t xml:space="preserve">          </w:t>
            </w:r>
          </w:p>
        </w:tc>
        <w:tc>
          <w:tcPr>
            <w:tcW w:w="1429" w:type="dxa"/>
            <w:tcBorders>
              <w:top w:val="single" w:sz="2" w:space="0" w:color="auto"/>
              <w:left w:val="nil"/>
              <w:bottom w:val="single" w:sz="2" w:space="0" w:color="auto"/>
              <w:right w:val="nil"/>
            </w:tcBorders>
            <w:shd w:val="clear" w:color="auto" w:fill="auto"/>
            <w:noWrap/>
            <w:vAlign w:val="bottom"/>
            <w:hideMark/>
          </w:tcPr>
          <w:p w14:paraId="7897B242"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6.640</w:t>
            </w:r>
          </w:p>
        </w:tc>
      </w:tr>
      <w:tr w:rsidR="00807992" w:rsidRPr="00E808CF" w14:paraId="416C32CB"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54AA21E8"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335: </w:t>
            </w:r>
            <w:proofErr w:type="gramStart"/>
            <w:r w:rsidRPr="00E808CF">
              <w:rPr>
                <w:rFonts w:ascii="Arial Narrow" w:hAnsi="Arial Narrow" w:cs="Calibri"/>
                <w:color w:val="000000"/>
                <w:lang w:val="es-ES" w:eastAsia="es-ES"/>
              </w:rPr>
              <w:t>Euskera</w:t>
            </w:r>
            <w:proofErr w:type="gramEnd"/>
            <w:r w:rsidRPr="00E808CF">
              <w:rPr>
                <w:rFonts w:ascii="Arial Narrow" w:hAnsi="Arial Narrow" w:cs="Calibri"/>
                <w:color w:val="000000"/>
                <w:lang w:val="es-ES" w:eastAsia="es-ES"/>
              </w:rPr>
              <w:t xml:space="preserve">                                 </w:t>
            </w:r>
          </w:p>
        </w:tc>
        <w:tc>
          <w:tcPr>
            <w:tcW w:w="1429" w:type="dxa"/>
            <w:tcBorders>
              <w:top w:val="single" w:sz="2" w:space="0" w:color="auto"/>
              <w:left w:val="nil"/>
              <w:bottom w:val="single" w:sz="2" w:space="0" w:color="auto"/>
              <w:right w:val="nil"/>
            </w:tcBorders>
            <w:shd w:val="clear" w:color="auto" w:fill="auto"/>
            <w:noWrap/>
            <w:vAlign w:val="bottom"/>
            <w:hideMark/>
          </w:tcPr>
          <w:p w14:paraId="1DE3A636"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9.583</w:t>
            </w:r>
          </w:p>
        </w:tc>
      </w:tr>
      <w:tr w:rsidR="00807992" w:rsidRPr="00E808CF" w14:paraId="4AEBEE9E"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6EE57307"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337: Instalaciones ocupación tiempo libre    </w:t>
            </w:r>
          </w:p>
        </w:tc>
        <w:tc>
          <w:tcPr>
            <w:tcW w:w="1429" w:type="dxa"/>
            <w:tcBorders>
              <w:top w:val="single" w:sz="2" w:space="0" w:color="auto"/>
              <w:left w:val="nil"/>
              <w:bottom w:val="single" w:sz="2" w:space="0" w:color="auto"/>
              <w:right w:val="nil"/>
            </w:tcBorders>
            <w:shd w:val="clear" w:color="auto" w:fill="auto"/>
            <w:noWrap/>
            <w:vAlign w:val="bottom"/>
            <w:hideMark/>
          </w:tcPr>
          <w:p w14:paraId="737AD936"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8.743</w:t>
            </w:r>
          </w:p>
        </w:tc>
      </w:tr>
      <w:tr w:rsidR="00807992" w:rsidRPr="00E808CF" w14:paraId="6450DA75"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582E02EE"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338: Fiestas populares y festejos            </w:t>
            </w:r>
          </w:p>
        </w:tc>
        <w:tc>
          <w:tcPr>
            <w:tcW w:w="1429" w:type="dxa"/>
            <w:tcBorders>
              <w:top w:val="single" w:sz="2" w:space="0" w:color="auto"/>
              <w:left w:val="nil"/>
              <w:bottom w:val="single" w:sz="2" w:space="0" w:color="auto"/>
              <w:right w:val="nil"/>
            </w:tcBorders>
            <w:shd w:val="clear" w:color="auto" w:fill="auto"/>
            <w:noWrap/>
            <w:vAlign w:val="bottom"/>
            <w:hideMark/>
          </w:tcPr>
          <w:p w14:paraId="78335500"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1.810</w:t>
            </w:r>
          </w:p>
        </w:tc>
      </w:tr>
      <w:tr w:rsidR="00807992" w:rsidRPr="00E808CF" w14:paraId="4F007942"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0CD9A548"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342: Instalaciones deportivas          </w:t>
            </w:r>
          </w:p>
        </w:tc>
        <w:tc>
          <w:tcPr>
            <w:tcW w:w="1429" w:type="dxa"/>
            <w:tcBorders>
              <w:top w:val="single" w:sz="2" w:space="0" w:color="auto"/>
              <w:left w:val="nil"/>
              <w:bottom w:val="single" w:sz="2" w:space="0" w:color="auto"/>
              <w:right w:val="nil"/>
            </w:tcBorders>
            <w:shd w:val="clear" w:color="auto" w:fill="auto"/>
            <w:noWrap/>
            <w:vAlign w:val="bottom"/>
            <w:hideMark/>
          </w:tcPr>
          <w:p w14:paraId="14A6686A"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5.868</w:t>
            </w:r>
          </w:p>
        </w:tc>
      </w:tr>
      <w:tr w:rsidR="00807992" w:rsidRPr="00E808CF" w14:paraId="21D1FB55"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6038AF24"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431: Comercio                                </w:t>
            </w:r>
          </w:p>
        </w:tc>
        <w:tc>
          <w:tcPr>
            <w:tcW w:w="1429" w:type="dxa"/>
            <w:tcBorders>
              <w:top w:val="single" w:sz="2" w:space="0" w:color="auto"/>
              <w:left w:val="nil"/>
              <w:bottom w:val="single" w:sz="2" w:space="0" w:color="auto"/>
              <w:right w:val="nil"/>
            </w:tcBorders>
            <w:shd w:val="clear" w:color="auto" w:fill="auto"/>
            <w:noWrap/>
            <w:vAlign w:val="bottom"/>
            <w:hideMark/>
          </w:tcPr>
          <w:p w14:paraId="79A3F3EE"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2.244.801</w:t>
            </w:r>
          </w:p>
        </w:tc>
      </w:tr>
      <w:tr w:rsidR="00807992" w:rsidRPr="00E808CF" w14:paraId="54A62E14" w14:textId="77777777" w:rsidTr="00011983">
        <w:trPr>
          <w:trHeight w:val="198"/>
        </w:trPr>
        <w:tc>
          <w:tcPr>
            <w:tcW w:w="7360" w:type="dxa"/>
            <w:tcBorders>
              <w:top w:val="single" w:sz="2" w:space="0" w:color="auto"/>
              <w:left w:val="nil"/>
              <w:bottom w:val="single" w:sz="2" w:space="0" w:color="auto"/>
              <w:right w:val="nil"/>
            </w:tcBorders>
            <w:shd w:val="clear" w:color="auto" w:fill="auto"/>
            <w:noWrap/>
            <w:vAlign w:val="bottom"/>
            <w:hideMark/>
          </w:tcPr>
          <w:p w14:paraId="0FA3A7C0"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432: </w:t>
            </w:r>
            <w:proofErr w:type="spellStart"/>
            <w:r w:rsidRPr="00E808CF">
              <w:rPr>
                <w:rFonts w:ascii="Arial Narrow" w:hAnsi="Arial Narrow" w:cs="Calibri"/>
                <w:color w:val="000000"/>
                <w:lang w:val="es-ES" w:eastAsia="es-ES"/>
              </w:rPr>
              <w:t>Informacion</w:t>
            </w:r>
            <w:proofErr w:type="spellEnd"/>
            <w:r w:rsidRPr="00E808CF">
              <w:rPr>
                <w:rFonts w:ascii="Arial Narrow" w:hAnsi="Arial Narrow" w:cs="Calibri"/>
                <w:color w:val="000000"/>
                <w:lang w:val="es-ES" w:eastAsia="es-ES"/>
              </w:rPr>
              <w:t xml:space="preserve"> y </w:t>
            </w:r>
            <w:proofErr w:type="spellStart"/>
            <w:r w:rsidRPr="00E808CF">
              <w:rPr>
                <w:rFonts w:ascii="Arial Narrow" w:hAnsi="Arial Narrow" w:cs="Calibri"/>
                <w:color w:val="000000"/>
                <w:lang w:val="es-ES" w:eastAsia="es-ES"/>
              </w:rPr>
              <w:t>promocion</w:t>
            </w:r>
            <w:proofErr w:type="spellEnd"/>
            <w:r w:rsidRPr="00E808CF">
              <w:rPr>
                <w:rFonts w:ascii="Arial Narrow" w:hAnsi="Arial Narrow" w:cs="Calibri"/>
                <w:color w:val="000000"/>
                <w:lang w:val="es-ES" w:eastAsia="es-ES"/>
              </w:rPr>
              <w:t xml:space="preserve"> </w:t>
            </w:r>
            <w:proofErr w:type="spellStart"/>
            <w:r w:rsidRPr="00E808CF">
              <w:rPr>
                <w:rFonts w:ascii="Arial Narrow" w:hAnsi="Arial Narrow" w:cs="Calibri"/>
                <w:color w:val="000000"/>
                <w:lang w:val="es-ES" w:eastAsia="es-ES"/>
              </w:rPr>
              <w:t>turistica</w:t>
            </w:r>
            <w:proofErr w:type="spellEnd"/>
            <w:r w:rsidRPr="00E808CF">
              <w:rPr>
                <w:rFonts w:ascii="Arial Narrow" w:hAnsi="Arial Narrow" w:cs="Calibri"/>
                <w:color w:val="000000"/>
                <w:lang w:val="es-ES" w:eastAsia="es-ES"/>
              </w:rPr>
              <w:t xml:space="preserve">       </w:t>
            </w:r>
          </w:p>
        </w:tc>
        <w:tc>
          <w:tcPr>
            <w:tcW w:w="1429" w:type="dxa"/>
            <w:tcBorders>
              <w:top w:val="single" w:sz="2" w:space="0" w:color="auto"/>
              <w:left w:val="nil"/>
              <w:bottom w:val="single" w:sz="2" w:space="0" w:color="auto"/>
              <w:right w:val="nil"/>
            </w:tcBorders>
            <w:shd w:val="clear" w:color="auto" w:fill="auto"/>
            <w:noWrap/>
            <w:vAlign w:val="bottom"/>
            <w:hideMark/>
          </w:tcPr>
          <w:p w14:paraId="14672940"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8.565</w:t>
            </w:r>
          </w:p>
        </w:tc>
      </w:tr>
      <w:tr w:rsidR="00807992" w:rsidRPr="00E808CF" w14:paraId="187495C6" w14:textId="77777777" w:rsidTr="00822784">
        <w:trPr>
          <w:trHeight w:val="198"/>
        </w:trPr>
        <w:tc>
          <w:tcPr>
            <w:tcW w:w="7360" w:type="dxa"/>
            <w:tcBorders>
              <w:top w:val="single" w:sz="2" w:space="0" w:color="auto"/>
              <w:left w:val="nil"/>
              <w:bottom w:val="single" w:sz="4" w:space="0" w:color="auto"/>
              <w:right w:val="nil"/>
            </w:tcBorders>
            <w:shd w:val="clear" w:color="auto" w:fill="auto"/>
            <w:noWrap/>
            <w:vAlign w:val="bottom"/>
            <w:hideMark/>
          </w:tcPr>
          <w:p w14:paraId="06428717" w14:textId="77777777" w:rsidR="00807992" w:rsidRPr="00E808CF" w:rsidRDefault="00807992" w:rsidP="00807992">
            <w:pPr>
              <w:spacing w:after="0"/>
              <w:ind w:firstLine="0"/>
              <w:jc w:val="left"/>
              <w:rPr>
                <w:rFonts w:ascii="Arial Narrow" w:hAnsi="Arial Narrow" w:cs="Calibri"/>
                <w:color w:val="000000"/>
                <w:lang w:val="es-ES" w:eastAsia="es-ES"/>
              </w:rPr>
            </w:pPr>
            <w:r w:rsidRPr="00E808CF">
              <w:rPr>
                <w:rFonts w:ascii="Arial Narrow" w:hAnsi="Arial Narrow" w:cs="Calibri"/>
                <w:color w:val="000000"/>
                <w:lang w:val="es-ES" w:eastAsia="es-ES"/>
              </w:rPr>
              <w:t xml:space="preserve">920: Administración general                           </w:t>
            </w:r>
          </w:p>
        </w:tc>
        <w:tc>
          <w:tcPr>
            <w:tcW w:w="1429" w:type="dxa"/>
            <w:tcBorders>
              <w:top w:val="single" w:sz="2" w:space="0" w:color="auto"/>
              <w:left w:val="nil"/>
              <w:bottom w:val="single" w:sz="4" w:space="0" w:color="auto"/>
              <w:right w:val="nil"/>
            </w:tcBorders>
            <w:shd w:val="clear" w:color="auto" w:fill="auto"/>
            <w:noWrap/>
            <w:vAlign w:val="bottom"/>
            <w:hideMark/>
          </w:tcPr>
          <w:p w14:paraId="41453E52" w14:textId="77777777" w:rsidR="00807992" w:rsidRPr="00E808CF" w:rsidRDefault="00807992" w:rsidP="00807992">
            <w:pPr>
              <w:spacing w:after="0"/>
              <w:ind w:firstLine="0"/>
              <w:jc w:val="right"/>
              <w:rPr>
                <w:rFonts w:ascii="Arial Narrow" w:hAnsi="Arial Narrow" w:cs="Calibri"/>
                <w:color w:val="000000"/>
                <w:lang w:val="es-ES" w:eastAsia="es-ES"/>
              </w:rPr>
            </w:pPr>
            <w:r w:rsidRPr="00E808CF">
              <w:rPr>
                <w:rFonts w:ascii="Arial Narrow" w:hAnsi="Arial Narrow" w:cs="Calibri"/>
                <w:color w:val="000000"/>
                <w:lang w:val="es-ES" w:eastAsia="es-ES"/>
              </w:rPr>
              <w:t>84.601</w:t>
            </w:r>
          </w:p>
        </w:tc>
      </w:tr>
      <w:tr w:rsidR="00807992" w:rsidRPr="003E6CD5" w14:paraId="66AE4E02" w14:textId="77777777" w:rsidTr="00822784">
        <w:trPr>
          <w:trHeight w:val="255"/>
        </w:trPr>
        <w:tc>
          <w:tcPr>
            <w:tcW w:w="7360" w:type="dxa"/>
            <w:tcBorders>
              <w:top w:val="single" w:sz="4" w:space="0" w:color="auto"/>
              <w:left w:val="nil"/>
              <w:bottom w:val="single" w:sz="4" w:space="0" w:color="auto"/>
              <w:right w:val="nil"/>
            </w:tcBorders>
            <w:shd w:val="clear" w:color="auto" w:fill="FABF8F" w:themeFill="accent6" w:themeFillTint="99"/>
            <w:noWrap/>
            <w:vAlign w:val="bottom"/>
            <w:hideMark/>
          </w:tcPr>
          <w:p w14:paraId="4BA2996E" w14:textId="77777777" w:rsidR="00807992" w:rsidRPr="003E6CD5" w:rsidRDefault="00807992" w:rsidP="00807992">
            <w:pPr>
              <w:spacing w:after="0"/>
              <w:ind w:firstLine="0"/>
              <w:jc w:val="left"/>
              <w:rPr>
                <w:rFonts w:ascii="Arial" w:hAnsi="Arial" w:cs="Arial"/>
                <w:color w:val="000000"/>
                <w:sz w:val="18"/>
                <w:szCs w:val="18"/>
                <w:lang w:val="es-ES" w:eastAsia="es-ES"/>
              </w:rPr>
            </w:pPr>
            <w:r w:rsidRPr="003E6CD5">
              <w:rPr>
                <w:rFonts w:ascii="Arial" w:hAnsi="Arial" w:cs="Arial"/>
                <w:color w:val="000000"/>
                <w:sz w:val="18"/>
                <w:szCs w:val="18"/>
                <w:lang w:val="es-ES" w:eastAsia="es-ES"/>
              </w:rPr>
              <w:t>Total</w:t>
            </w:r>
          </w:p>
        </w:tc>
        <w:tc>
          <w:tcPr>
            <w:tcW w:w="1429" w:type="dxa"/>
            <w:tcBorders>
              <w:top w:val="single" w:sz="4" w:space="0" w:color="auto"/>
              <w:left w:val="nil"/>
              <w:bottom w:val="single" w:sz="4" w:space="0" w:color="auto"/>
              <w:right w:val="nil"/>
            </w:tcBorders>
            <w:shd w:val="clear" w:color="auto" w:fill="FABF8F" w:themeFill="accent6" w:themeFillTint="99"/>
            <w:noWrap/>
            <w:vAlign w:val="bottom"/>
            <w:hideMark/>
          </w:tcPr>
          <w:p w14:paraId="37E4FC42" w14:textId="77777777" w:rsidR="00807992" w:rsidRPr="003E6CD5" w:rsidRDefault="00807992" w:rsidP="00807992">
            <w:pPr>
              <w:spacing w:after="0"/>
              <w:ind w:firstLine="0"/>
              <w:jc w:val="right"/>
              <w:rPr>
                <w:rFonts w:ascii="Arial" w:hAnsi="Arial" w:cs="Arial"/>
                <w:color w:val="000000"/>
                <w:sz w:val="18"/>
                <w:szCs w:val="18"/>
                <w:lang w:val="es-ES" w:eastAsia="es-ES"/>
              </w:rPr>
            </w:pPr>
            <w:r w:rsidRPr="003E6CD5">
              <w:rPr>
                <w:rFonts w:ascii="Arial" w:hAnsi="Arial" w:cs="Arial"/>
                <w:color w:val="000000"/>
                <w:sz w:val="18"/>
                <w:szCs w:val="18"/>
                <w:lang w:val="es-ES" w:eastAsia="es-ES"/>
              </w:rPr>
              <w:t>3.121.602</w:t>
            </w:r>
          </w:p>
        </w:tc>
      </w:tr>
    </w:tbl>
    <w:p w14:paraId="47F3A15B" w14:textId="77777777" w:rsidR="00807992" w:rsidRDefault="00807992" w:rsidP="0012553E">
      <w:pPr>
        <w:tabs>
          <w:tab w:val="center" w:pos="2835"/>
          <w:tab w:val="center" w:pos="3969"/>
          <w:tab w:val="center" w:pos="5103"/>
          <w:tab w:val="center" w:pos="6237"/>
          <w:tab w:val="center" w:pos="7371"/>
        </w:tabs>
        <w:spacing w:before="120"/>
        <w:ind w:firstLine="284"/>
        <w:rPr>
          <w:color w:val="000000" w:themeColor="text1"/>
          <w:spacing w:val="6"/>
          <w:sz w:val="26"/>
          <w:szCs w:val="24"/>
        </w:rPr>
      </w:pPr>
      <w:r w:rsidRPr="00AA5033">
        <w:rPr>
          <w:color w:val="000000" w:themeColor="text1"/>
          <w:spacing w:val="6"/>
          <w:sz w:val="26"/>
          <w:szCs w:val="24"/>
        </w:rPr>
        <w:t>Los programas de Atención primaria de servicios sociales y Comercio son las que recogen la mayor parte de gasto, en concreto un 14 y 72 por ciento respectivamente con el siguiente detalle de los gastos más relevantes:</w:t>
      </w:r>
    </w:p>
    <w:tbl>
      <w:tblPr>
        <w:tblW w:w="8789" w:type="dxa"/>
        <w:tblCellMar>
          <w:left w:w="70" w:type="dxa"/>
          <w:right w:w="70" w:type="dxa"/>
        </w:tblCellMar>
        <w:tblLook w:val="04A0" w:firstRow="1" w:lastRow="0" w:firstColumn="1" w:lastColumn="0" w:noHBand="0" w:noVBand="1"/>
      </w:tblPr>
      <w:tblGrid>
        <w:gridCol w:w="6521"/>
        <w:gridCol w:w="2268"/>
      </w:tblGrid>
      <w:tr w:rsidR="00807992" w:rsidRPr="003E6CD5" w14:paraId="4220C5FE" w14:textId="77777777" w:rsidTr="00A02170">
        <w:trPr>
          <w:trHeight w:val="255"/>
        </w:trPr>
        <w:tc>
          <w:tcPr>
            <w:tcW w:w="6521" w:type="dxa"/>
            <w:tcBorders>
              <w:top w:val="single" w:sz="4" w:space="0" w:color="auto"/>
              <w:left w:val="nil"/>
              <w:bottom w:val="single" w:sz="2" w:space="0" w:color="auto"/>
              <w:right w:val="nil"/>
            </w:tcBorders>
            <w:shd w:val="clear" w:color="auto" w:fill="FABF8F" w:themeFill="accent6" w:themeFillTint="99"/>
            <w:noWrap/>
            <w:vAlign w:val="bottom"/>
            <w:hideMark/>
          </w:tcPr>
          <w:p w14:paraId="6881F8D9" w14:textId="77777777" w:rsidR="00807992" w:rsidRPr="003E6CD5" w:rsidRDefault="00807992" w:rsidP="00807992">
            <w:pPr>
              <w:spacing w:after="0"/>
              <w:ind w:firstLine="0"/>
              <w:jc w:val="left"/>
              <w:rPr>
                <w:rFonts w:ascii="Arial" w:hAnsi="Arial" w:cs="Arial"/>
                <w:color w:val="000000"/>
                <w:sz w:val="18"/>
                <w:szCs w:val="18"/>
                <w:lang w:val="es-ES" w:eastAsia="es-ES"/>
              </w:rPr>
            </w:pPr>
            <w:r w:rsidRPr="003E6CD5">
              <w:rPr>
                <w:rFonts w:ascii="Arial" w:hAnsi="Arial" w:cs="Arial"/>
                <w:color w:val="000000"/>
                <w:sz w:val="18"/>
                <w:szCs w:val="18"/>
                <w:lang w:val="es-ES" w:eastAsia="es-ES"/>
              </w:rPr>
              <w:t>Programa / Grupo de programa descripción</w:t>
            </w:r>
          </w:p>
        </w:tc>
        <w:tc>
          <w:tcPr>
            <w:tcW w:w="2268" w:type="dxa"/>
            <w:tcBorders>
              <w:top w:val="single" w:sz="4" w:space="0" w:color="auto"/>
              <w:left w:val="nil"/>
              <w:bottom w:val="single" w:sz="2" w:space="0" w:color="auto"/>
              <w:right w:val="nil"/>
            </w:tcBorders>
            <w:shd w:val="clear" w:color="auto" w:fill="FABF8F" w:themeFill="accent6" w:themeFillTint="99"/>
            <w:noWrap/>
            <w:vAlign w:val="bottom"/>
            <w:hideMark/>
          </w:tcPr>
          <w:p w14:paraId="5D348009" w14:textId="77777777" w:rsidR="00807992" w:rsidRPr="003E6CD5" w:rsidRDefault="00807992" w:rsidP="00822784">
            <w:pPr>
              <w:spacing w:after="0"/>
              <w:ind w:firstLine="0"/>
              <w:jc w:val="right"/>
              <w:rPr>
                <w:rFonts w:ascii="Arial" w:hAnsi="Arial" w:cs="Arial"/>
                <w:color w:val="000000"/>
                <w:sz w:val="18"/>
                <w:szCs w:val="18"/>
                <w:lang w:val="es-ES" w:eastAsia="es-ES"/>
              </w:rPr>
            </w:pPr>
            <w:r w:rsidRPr="003E6CD5">
              <w:rPr>
                <w:rFonts w:ascii="Arial" w:hAnsi="Arial" w:cs="Arial"/>
                <w:color w:val="000000"/>
                <w:sz w:val="18"/>
                <w:szCs w:val="18"/>
                <w:lang w:val="es-ES" w:eastAsia="es-ES"/>
              </w:rPr>
              <w:t>ORN 2021</w:t>
            </w:r>
          </w:p>
        </w:tc>
      </w:tr>
      <w:tr w:rsidR="00807992" w:rsidRPr="00AD5D44" w14:paraId="5BF18E51" w14:textId="77777777" w:rsidTr="00A02170">
        <w:trPr>
          <w:trHeight w:val="198"/>
        </w:trPr>
        <w:tc>
          <w:tcPr>
            <w:tcW w:w="6521" w:type="dxa"/>
            <w:tcBorders>
              <w:top w:val="single" w:sz="2" w:space="0" w:color="auto"/>
              <w:left w:val="nil"/>
              <w:bottom w:val="single" w:sz="2" w:space="0" w:color="auto"/>
              <w:right w:val="nil"/>
            </w:tcBorders>
            <w:shd w:val="clear" w:color="auto" w:fill="auto"/>
            <w:noWrap/>
            <w:vAlign w:val="bottom"/>
          </w:tcPr>
          <w:p w14:paraId="7E586A40" w14:textId="77777777" w:rsidR="00807992" w:rsidRPr="00AD5D44" w:rsidRDefault="00807992" w:rsidP="00807992">
            <w:pPr>
              <w:spacing w:after="0"/>
              <w:ind w:firstLine="0"/>
              <w:jc w:val="left"/>
              <w:rPr>
                <w:rFonts w:ascii="Arial Narrow" w:hAnsi="Arial Narrow" w:cs="Calibri"/>
                <w:b/>
                <w:color w:val="000000"/>
                <w:lang w:val="es-ES" w:eastAsia="es-ES"/>
              </w:rPr>
            </w:pPr>
            <w:r>
              <w:rPr>
                <w:rFonts w:ascii="Arial Narrow" w:hAnsi="Arial Narrow" w:cs="Calibri"/>
                <w:b/>
                <w:color w:val="000000"/>
                <w:lang w:val="es-ES" w:eastAsia="es-ES"/>
              </w:rPr>
              <w:t>231: Atenció</w:t>
            </w:r>
            <w:r w:rsidRPr="00EF0E25">
              <w:rPr>
                <w:rFonts w:ascii="Arial Narrow" w:hAnsi="Arial Narrow" w:cs="Calibri"/>
                <w:b/>
                <w:color w:val="000000"/>
                <w:lang w:val="es-ES" w:eastAsia="es-ES"/>
              </w:rPr>
              <w:t xml:space="preserve">n primaria servicios sociales         </w:t>
            </w:r>
          </w:p>
        </w:tc>
        <w:tc>
          <w:tcPr>
            <w:tcW w:w="2268" w:type="dxa"/>
            <w:tcBorders>
              <w:top w:val="single" w:sz="2" w:space="0" w:color="auto"/>
              <w:left w:val="nil"/>
              <w:bottom w:val="single" w:sz="2" w:space="0" w:color="auto"/>
              <w:right w:val="nil"/>
            </w:tcBorders>
            <w:shd w:val="clear" w:color="auto" w:fill="auto"/>
            <w:noWrap/>
            <w:vAlign w:val="bottom"/>
          </w:tcPr>
          <w:p w14:paraId="20F1164F" w14:textId="77777777" w:rsidR="00807992" w:rsidRPr="00AD5D44" w:rsidRDefault="00807992" w:rsidP="00807992">
            <w:pPr>
              <w:spacing w:after="0"/>
              <w:ind w:firstLine="0"/>
              <w:jc w:val="right"/>
              <w:rPr>
                <w:rFonts w:ascii="Arial Narrow" w:hAnsi="Arial Narrow" w:cs="Calibri"/>
                <w:b/>
                <w:color w:val="000000"/>
                <w:lang w:val="es-ES" w:eastAsia="es-ES"/>
              </w:rPr>
            </w:pPr>
          </w:p>
        </w:tc>
      </w:tr>
      <w:tr w:rsidR="00807992" w:rsidRPr="00AD5D44" w14:paraId="3BD0BD1B" w14:textId="77777777" w:rsidTr="00A02170">
        <w:trPr>
          <w:trHeight w:val="75"/>
        </w:trPr>
        <w:tc>
          <w:tcPr>
            <w:tcW w:w="6521" w:type="dxa"/>
            <w:tcBorders>
              <w:top w:val="single" w:sz="2" w:space="0" w:color="auto"/>
              <w:left w:val="nil"/>
              <w:bottom w:val="single" w:sz="2" w:space="0" w:color="auto"/>
              <w:right w:val="nil"/>
            </w:tcBorders>
            <w:shd w:val="clear" w:color="auto" w:fill="auto"/>
            <w:noWrap/>
            <w:vAlign w:val="bottom"/>
          </w:tcPr>
          <w:p w14:paraId="5CEDAD6A" w14:textId="77777777" w:rsidR="00807992" w:rsidRPr="00AD5D44" w:rsidRDefault="00807992" w:rsidP="00A02170">
            <w:pPr>
              <w:spacing w:after="0"/>
              <w:ind w:left="492" w:right="3048" w:hanging="283"/>
              <w:jc w:val="right"/>
              <w:rPr>
                <w:rFonts w:ascii="Arial Narrow" w:hAnsi="Arial Narrow" w:cs="Calibri"/>
                <w:color w:val="000000"/>
                <w:lang w:val="es-ES" w:eastAsia="es-ES"/>
              </w:rPr>
            </w:pPr>
            <w:r>
              <w:rPr>
                <w:rFonts w:ascii="Arial Narrow" w:hAnsi="Arial Narrow" w:cs="Calibri"/>
                <w:color w:val="000000"/>
                <w:lang w:val="es-ES" w:eastAsia="es-ES"/>
              </w:rPr>
              <w:t xml:space="preserve">Servicios atención Albergue Jesús y </w:t>
            </w:r>
            <w:r w:rsidR="00A02170">
              <w:rPr>
                <w:rFonts w:ascii="Arial Narrow" w:hAnsi="Arial Narrow" w:cs="Calibri"/>
                <w:color w:val="000000"/>
                <w:lang w:val="es-ES" w:eastAsia="es-ES"/>
              </w:rPr>
              <w:t>María</w:t>
            </w:r>
          </w:p>
        </w:tc>
        <w:tc>
          <w:tcPr>
            <w:tcW w:w="2268" w:type="dxa"/>
            <w:tcBorders>
              <w:top w:val="single" w:sz="2" w:space="0" w:color="auto"/>
              <w:left w:val="nil"/>
              <w:bottom w:val="single" w:sz="2" w:space="0" w:color="auto"/>
              <w:right w:val="nil"/>
            </w:tcBorders>
            <w:shd w:val="clear" w:color="auto" w:fill="auto"/>
            <w:noWrap/>
            <w:vAlign w:val="bottom"/>
          </w:tcPr>
          <w:p w14:paraId="25229C3E" w14:textId="77777777" w:rsidR="00807992" w:rsidRPr="00AD5D44" w:rsidRDefault="00807992" w:rsidP="00A02170">
            <w:pPr>
              <w:spacing w:after="0"/>
              <w:ind w:left="-479" w:firstLine="0"/>
              <w:jc w:val="right"/>
              <w:rPr>
                <w:rFonts w:ascii="Arial Narrow" w:hAnsi="Arial Narrow" w:cs="Calibri"/>
                <w:color w:val="000000"/>
                <w:lang w:val="es-ES" w:eastAsia="es-ES"/>
              </w:rPr>
            </w:pPr>
            <w:r>
              <w:rPr>
                <w:rFonts w:ascii="Arial Narrow" w:hAnsi="Arial Narrow" w:cs="Calibri"/>
                <w:color w:val="000000"/>
                <w:lang w:val="es-ES" w:eastAsia="es-ES"/>
              </w:rPr>
              <w:t>103.530</w:t>
            </w:r>
          </w:p>
        </w:tc>
      </w:tr>
      <w:tr w:rsidR="00807992" w:rsidRPr="00AD5D44" w14:paraId="6D14714E" w14:textId="77777777" w:rsidTr="00A02170">
        <w:trPr>
          <w:trHeight w:val="198"/>
        </w:trPr>
        <w:tc>
          <w:tcPr>
            <w:tcW w:w="6521" w:type="dxa"/>
            <w:tcBorders>
              <w:top w:val="single" w:sz="2" w:space="0" w:color="auto"/>
              <w:left w:val="nil"/>
              <w:bottom w:val="single" w:sz="2" w:space="0" w:color="auto"/>
              <w:right w:val="nil"/>
            </w:tcBorders>
            <w:shd w:val="clear" w:color="auto" w:fill="auto"/>
            <w:noWrap/>
            <w:vAlign w:val="bottom"/>
          </w:tcPr>
          <w:p w14:paraId="51F392B1" w14:textId="77777777" w:rsidR="00807992" w:rsidRPr="00AD5D44" w:rsidRDefault="00807992" w:rsidP="00807992">
            <w:pPr>
              <w:spacing w:after="0"/>
              <w:ind w:firstLine="0"/>
              <w:jc w:val="left"/>
              <w:rPr>
                <w:rFonts w:ascii="Arial Narrow" w:hAnsi="Arial Narrow" w:cs="Calibri"/>
                <w:b/>
                <w:color w:val="000000"/>
                <w:lang w:val="es-ES" w:eastAsia="es-ES"/>
              </w:rPr>
            </w:pPr>
            <w:r w:rsidRPr="00EF0E25">
              <w:rPr>
                <w:rFonts w:ascii="Arial Narrow" w:hAnsi="Arial Narrow" w:cs="Calibri"/>
                <w:b/>
                <w:color w:val="000000"/>
                <w:lang w:val="es-ES" w:eastAsia="es-ES"/>
              </w:rPr>
              <w:t xml:space="preserve">431: Comercio                                </w:t>
            </w:r>
          </w:p>
        </w:tc>
        <w:tc>
          <w:tcPr>
            <w:tcW w:w="2268" w:type="dxa"/>
            <w:tcBorders>
              <w:top w:val="single" w:sz="2" w:space="0" w:color="auto"/>
              <w:left w:val="nil"/>
              <w:bottom w:val="single" w:sz="2" w:space="0" w:color="auto"/>
              <w:right w:val="nil"/>
            </w:tcBorders>
            <w:shd w:val="clear" w:color="auto" w:fill="auto"/>
            <w:noWrap/>
            <w:vAlign w:val="bottom"/>
          </w:tcPr>
          <w:p w14:paraId="084F80FF" w14:textId="77777777" w:rsidR="00807992" w:rsidRPr="00AD5D44" w:rsidRDefault="00807992" w:rsidP="00807992">
            <w:pPr>
              <w:spacing w:after="0"/>
              <w:ind w:firstLine="0"/>
              <w:jc w:val="right"/>
              <w:rPr>
                <w:rFonts w:ascii="Arial Narrow" w:hAnsi="Arial Narrow" w:cs="Calibri"/>
                <w:b/>
                <w:color w:val="000000"/>
                <w:lang w:val="es-ES" w:eastAsia="es-ES"/>
              </w:rPr>
            </w:pPr>
          </w:p>
        </w:tc>
      </w:tr>
      <w:tr w:rsidR="00807992" w:rsidRPr="00AD5D44" w14:paraId="7904C95F" w14:textId="77777777" w:rsidTr="00A02170">
        <w:trPr>
          <w:trHeight w:val="198"/>
        </w:trPr>
        <w:tc>
          <w:tcPr>
            <w:tcW w:w="6521" w:type="dxa"/>
            <w:tcBorders>
              <w:top w:val="single" w:sz="2" w:space="0" w:color="auto"/>
              <w:left w:val="nil"/>
              <w:bottom w:val="single" w:sz="4" w:space="0" w:color="auto"/>
              <w:right w:val="nil"/>
            </w:tcBorders>
            <w:shd w:val="clear" w:color="auto" w:fill="auto"/>
            <w:noWrap/>
            <w:vAlign w:val="bottom"/>
          </w:tcPr>
          <w:p w14:paraId="444B9FCB" w14:textId="77777777" w:rsidR="00807992" w:rsidRPr="00AD5D44" w:rsidRDefault="00A02170" w:rsidP="00A02170">
            <w:pPr>
              <w:tabs>
                <w:tab w:val="left" w:pos="209"/>
                <w:tab w:val="left" w:pos="4603"/>
              </w:tabs>
              <w:spacing w:after="0"/>
              <w:ind w:left="209" w:right="1772" w:firstLine="67"/>
              <w:jc w:val="right"/>
              <w:rPr>
                <w:rFonts w:ascii="Arial Narrow" w:hAnsi="Arial Narrow" w:cs="Calibri"/>
                <w:color w:val="000000"/>
                <w:lang w:val="es-ES" w:eastAsia="es-ES"/>
              </w:rPr>
            </w:pPr>
            <w:r>
              <w:rPr>
                <w:rFonts w:ascii="Arial Narrow" w:hAnsi="Arial Narrow" w:cs="Calibri"/>
                <w:color w:val="000000"/>
                <w:lang w:val="es-ES" w:eastAsia="es-ES"/>
              </w:rPr>
              <w:t>B</w:t>
            </w:r>
            <w:r w:rsidR="00807992">
              <w:rPr>
                <w:rFonts w:ascii="Arial Narrow" w:hAnsi="Arial Narrow" w:cs="Calibri"/>
                <w:color w:val="000000"/>
                <w:lang w:val="es-ES" w:eastAsia="es-ES"/>
              </w:rPr>
              <w:t>onos descuento para incentivar el consumo (</w:t>
            </w:r>
            <w:proofErr w:type="spellStart"/>
            <w:r w:rsidR="00807992">
              <w:rPr>
                <w:rFonts w:ascii="Arial Narrow" w:hAnsi="Arial Narrow" w:cs="Calibri"/>
                <w:color w:val="000000"/>
                <w:lang w:val="es-ES" w:eastAsia="es-ES"/>
              </w:rPr>
              <w:t>Pamplonup</w:t>
            </w:r>
            <w:proofErr w:type="spellEnd"/>
            <w:r w:rsidR="00807992">
              <w:rPr>
                <w:rFonts w:ascii="Arial Narrow" w:hAnsi="Arial Narrow" w:cs="Calibri"/>
                <w:color w:val="000000"/>
                <w:lang w:val="es-ES" w:eastAsia="es-ES"/>
              </w:rPr>
              <w:t>)</w:t>
            </w:r>
          </w:p>
        </w:tc>
        <w:tc>
          <w:tcPr>
            <w:tcW w:w="2268" w:type="dxa"/>
            <w:tcBorders>
              <w:top w:val="single" w:sz="2" w:space="0" w:color="auto"/>
              <w:left w:val="nil"/>
              <w:bottom w:val="single" w:sz="4" w:space="0" w:color="auto"/>
              <w:right w:val="nil"/>
            </w:tcBorders>
            <w:shd w:val="clear" w:color="auto" w:fill="auto"/>
            <w:noWrap/>
            <w:vAlign w:val="bottom"/>
          </w:tcPr>
          <w:p w14:paraId="243DFC4D" w14:textId="77777777" w:rsidR="00807992" w:rsidRPr="00AD5D44"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1.225.503</w:t>
            </w:r>
          </w:p>
        </w:tc>
      </w:tr>
      <w:tr w:rsidR="00807992" w:rsidRPr="00AD5D44" w14:paraId="5B269283" w14:textId="77777777" w:rsidTr="00A02170">
        <w:trPr>
          <w:trHeight w:val="198"/>
        </w:trPr>
        <w:tc>
          <w:tcPr>
            <w:tcW w:w="6521" w:type="dxa"/>
            <w:tcBorders>
              <w:top w:val="single" w:sz="4" w:space="0" w:color="auto"/>
              <w:left w:val="nil"/>
              <w:bottom w:val="single" w:sz="4" w:space="0" w:color="auto"/>
              <w:right w:val="nil"/>
            </w:tcBorders>
            <w:shd w:val="clear" w:color="auto" w:fill="auto"/>
            <w:noWrap/>
            <w:vAlign w:val="bottom"/>
          </w:tcPr>
          <w:p w14:paraId="47AE3294" w14:textId="77777777" w:rsidR="00807992" w:rsidRPr="00AD5D44" w:rsidRDefault="00807992" w:rsidP="00A02170">
            <w:pPr>
              <w:spacing w:after="0"/>
              <w:ind w:right="4749" w:firstLine="0"/>
              <w:jc w:val="right"/>
              <w:rPr>
                <w:rFonts w:ascii="Arial Narrow" w:hAnsi="Arial Narrow" w:cs="Calibri"/>
                <w:color w:val="000000"/>
                <w:lang w:val="es-ES" w:eastAsia="es-ES"/>
              </w:rPr>
            </w:pPr>
            <w:r>
              <w:rPr>
                <w:rFonts w:ascii="Arial Narrow" w:hAnsi="Arial Narrow" w:cs="Calibri"/>
                <w:color w:val="000000"/>
                <w:lang w:val="es-ES" w:eastAsia="es-ES"/>
              </w:rPr>
              <w:t>Ayudas hostelería</w:t>
            </w:r>
          </w:p>
        </w:tc>
        <w:tc>
          <w:tcPr>
            <w:tcW w:w="2268" w:type="dxa"/>
            <w:tcBorders>
              <w:top w:val="single" w:sz="4" w:space="0" w:color="auto"/>
              <w:left w:val="nil"/>
              <w:bottom w:val="single" w:sz="4" w:space="0" w:color="auto"/>
              <w:right w:val="nil"/>
            </w:tcBorders>
            <w:shd w:val="clear" w:color="auto" w:fill="auto"/>
            <w:noWrap/>
            <w:vAlign w:val="bottom"/>
          </w:tcPr>
          <w:p w14:paraId="00D7355B" w14:textId="77777777" w:rsidR="00807992" w:rsidRPr="00AD5D44"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978.000</w:t>
            </w:r>
          </w:p>
        </w:tc>
      </w:tr>
    </w:tbl>
    <w:p w14:paraId="71CF9D1B" w14:textId="77777777" w:rsidR="006435CB" w:rsidRDefault="006435CB" w:rsidP="0012553E">
      <w:pPr>
        <w:spacing w:before="360" w:after="160"/>
        <w:ind w:firstLine="284"/>
        <w:rPr>
          <w:rFonts w:ascii="Arial" w:hAnsi="Arial"/>
          <w:i/>
          <w:iCs/>
          <w:color w:val="000000"/>
          <w:spacing w:val="10"/>
          <w:kern w:val="28"/>
          <w:sz w:val="25"/>
          <w:szCs w:val="26"/>
          <w:lang w:val="es-ES"/>
        </w:rPr>
      </w:pPr>
    </w:p>
    <w:p w14:paraId="44CB013B" w14:textId="77777777" w:rsidR="006435CB" w:rsidRDefault="006435CB">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14:paraId="3AFB07FB" w14:textId="77777777" w:rsidR="00807992" w:rsidRPr="00B01865" w:rsidRDefault="00807992" w:rsidP="0012553E">
      <w:pPr>
        <w:spacing w:before="360" w:after="16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lastRenderedPageBreak/>
        <w:t>Ingresos a</w:t>
      </w:r>
      <w:r w:rsidR="00870C9B">
        <w:rPr>
          <w:rFonts w:ascii="Arial" w:hAnsi="Arial"/>
          <w:i/>
          <w:iCs/>
          <w:color w:val="000000"/>
          <w:spacing w:val="10"/>
          <w:kern w:val="28"/>
          <w:sz w:val="25"/>
          <w:szCs w:val="26"/>
          <w:lang w:val="es-ES"/>
        </w:rPr>
        <w:t>fectados por</w:t>
      </w:r>
      <w:r>
        <w:rPr>
          <w:rFonts w:ascii="Arial" w:hAnsi="Arial"/>
          <w:i/>
          <w:iCs/>
          <w:color w:val="000000"/>
          <w:spacing w:val="10"/>
          <w:kern w:val="28"/>
          <w:sz w:val="25"/>
          <w:szCs w:val="26"/>
          <w:lang w:val="es-ES"/>
        </w:rPr>
        <w:t xml:space="preserve"> la COVID-19</w:t>
      </w:r>
    </w:p>
    <w:p w14:paraId="4B6DEFF7" w14:textId="77777777" w:rsidR="00677E63" w:rsidRDefault="00677E63" w:rsidP="003E6CD5">
      <w:pPr>
        <w:tabs>
          <w:tab w:val="center" w:pos="2835"/>
          <w:tab w:val="center" w:pos="3969"/>
          <w:tab w:val="center" w:pos="5103"/>
          <w:tab w:val="center" w:pos="6237"/>
          <w:tab w:val="center" w:pos="7371"/>
        </w:tabs>
        <w:spacing w:after="240"/>
        <w:ind w:firstLine="284"/>
        <w:rPr>
          <w:color w:val="000000" w:themeColor="text1"/>
          <w:spacing w:val="6"/>
          <w:sz w:val="26"/>
          <w:szCs w:val="24"/>
        </w:rPr>
      </w:pPr>
      <w:r>
        <w:rPr>
          <w:color w:val="000000" w:themeColor="text1"/>
          <w:spacing w:val="6"/>
          <w:sz w:val="26"/>
          <w:szCs w:val="24"/>
        </w:rPr>
        <w:t>La comparativa de los ingresos percibidos por la Covid-19 entre los ejercicios 2021 y 2020 se refleja en el siguiente cuadro. Como puede observarse en 2021 no se han recibido ingresos de esta naturaleza:</w:t>
      </w:r>
    </w:p>
    <w:tbl>
      <w:tblPr>
        <w:tblW w:w="8789" w:type="dxa"/>
        <w:tblCellMar>
          <w:left w:w="70" w:type="dxa"/>
          <w:right w:w="70" w:type="dxa"/>
        </w:tblCellMar>
        <w:tblLook w:val="04A0" w:firstRow="1" w:lastRow="0" w:firstColumn="1" w:lastColumn="0" w:noHBand="0" w:noVBand="1"/>
      </w:tblPr>
      <w:tblGrid>
        <w:gridCol w:w="4111"/>
        <w:gridCol w:w="1276"/>
        <w:gridCol w:w="1134"/>
        <w:gridCol w:w="1134"/>
        <w:gridCol w:w="1134"/>
      </w:tblGrid>
      <w:tr w:rsidR="00677E63" w:rsidRPr="00677E63" w14:paraId="4BD4676E" w14:textId="77777777" w:rsidTr="00317422">
        <w:trPr>
          <w:trHeight w:val="255"/>
        </w:trPr>
        <w:tc>
          <w:tcPr>
            <w:tcW w:w="4111" w:type="dxa"/>
            <w:tcBorders>
              <w:top w:val="single" w:sz="4" w:space="0" w:color="auto"/>
              <w:left w:val="nil"/>
              <w:bottom w:val="single" w:sz="4" w:space="0" w:color="auto"/>
              <w:right w:val="nil"/>
            </w:tcBorders>
            <w:shd w:val="clear" w:color="auto" w:fill="FABF8F" w:themeFill="accent6" w:themeFillTint="99"/>
            <w:vAlign w:val="center"/>
            <w:hideMark/>
          </w:tcPr>
          <w:p w14:paraId="539BB105" w14:textId="77777777" w:rsidR="00677E63" w:rsidRPr="00677E63" w:rsidRDefault="00677E63" w:rsidP="005800E7">
            <w:pPr>
              <w:spacing w:after="0"/>
              <w:ind w:firstLine="0"/>
              <w:jc w:val="left"/>
              <w:rPr>
                <w:rFonts w:ascii="Arial" w:hAnsi="Arial" w:cs="Arial"/>
                <w:sz w:val="18"/>
                <w:szCs w:val="18"/>
                <w:lang w:val="es-ES" w:eastAsia="es-ES"/>
              </w:rPr>
            </w:pPr>
            <w:r w:rsidRPr="00677E63">
              <w:rPr>
                <w:rFonts w:ascii="Arial" w:hAnsi="Arial" w:cs="Arial"/>
                <w:sz w:val="18"/>
                <w:szCs w:val="18"/>
                <w:lang w:eastAsia="es-ES"/>
              </w:rPr>
              <w:t>Ingresos percibidos por transferencias</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14:paraId="16E2E1F0" w14:textId="77777777" w:rsidR="00677E63" w:rsidRPr="00677E63" w:rsidRDefault="00677E63" w:rsidP="005800E7">
            <w:pPr>
              <w:spacing w:after="0"/>
              <w:ind w:firstLine="0"/>
              <w:jc w:val="right"/>
              <w:rPr>
                <w:rFonts w:ascii="Arial" w:hAnsi="Arial" w:cs="Arial"/>
                <w:sz w:val="18"/>
                <w:szCs w:val="18"/>
                <w:lang w:val="es-ES" w:eastAsia="es-ES"/>
              </w:rPr>
            </w:pPr>
            <w:r w:rsidRPr="00677E63">
              <w:rPr>
                <w:rFonts w:ascii="Arial" w:hAnsi="Arial" w:cs="Arial"/>
                <w:sz w:val="18"/>
                <w:szCs w:val="18"/>
                <w:lang w:eastAsia="es-ES"/>
              </w:rPr>
              <w:t>2020</w:t>
            </w:r>
          </w:p>
        </w:tc>
        <w:tc>
          <w:tcPr>
            <w:tcW w:w="1134" w:type="dxa"/>
            <w:tcBorders>
              <w:top w:val="single" w:sz="4" w:space="0" w:color="auto"/>
              <w:left w:val="nil"/>
              <w:bottom w:val="single" w:sz="4" w:space="0" w:color="auto"/>
              <w:right w:val="nil"/>
            </w:tcBorders>
            <w:shd w:val="clear" w:color="auto" w:fill="FABF8F" w:themeFill="accent6" w:themeFillTint="99"/>
            <w:noWrap/>
            <w:vAlign w:val="center"/>
            <w:hideMark/>
          </w:tcPr>
          <w:p w14:paraId="190274DA" w14:textId="77777777" w:rsidR="00677E63" w:rsidRPr="00677E63" w:rsidRDefault="00677E63" w:rsidP="005800E7">
            <w:pPr>
              <w:spacing w:after="0"/>
              <w:ind w:firstLine="0"/>
              <w:jc w:val="right"/>
              <w:rPr>
                <w:rFonts w:ascii="Arial" w:hAnsi="Arial" w:cs="Arial"/>
                <w:sz w:val="18"/>
                <w:szCs w:val="18"/>
                <w:lang w:val="es-ES" w:eastAsia="es-ES"/>
              </w:rPr>
            </w:pPr>
            <w:r w:rsidRPr="00677E63">
              <w:rPr>
                <w:rFonts w:ascii="Arial" w:hAnsi="Arial" w:cs="Arial"/>
                <w:sz w:val="18"/>
                <w:szCs w:val="18"/>
                <w:lang w:eastAsia="es-ES"/>
              </w:rPr>
              <w:t>2021</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14:paraId="0E499FAC" w14:textId="77777777" w:rsidR="00677E63" w:rsidRPr="00677E63" w:rsidRDefault="00677E63" w:rsidP="005800E7">
            <w:pPr>
              <w:spacing w:after="0"/>
              <w:ind w:firstLine="0"/>
              <w:jc w:val="right"/>
              <w:rPr>
                <w:rFonts w:ascii="Arial" w:hAnsi="Arial" w:cs="Arial"/>
                <w:sz w:val="18"/>
                <w:szCs w:val="18"/>
                <w:lang w:val="es-ES" w:eastAsia="es-ES"/>
              </w:rPr>
            </w:pPr>
            <w:r w:rsidRPr="00677E63">
              <w:rPr>
                <w:rFonts w:ascii="Arial" w:hAnsi="Arial" w:cs="Arial"/>
                <w:sz w:val="18"/>
                <w:szCs w:val="18"/>
                <w:lang w:eastAsia="es-ES"/>
              </w:rPr>
              <w:t>Diferencia</w:t>
            </w:r>
          </w:p>
        </w:tc>
        <w:tc>
          <w:tcPr>
            <w:tcW w:w="1134" w:type="dxa"/>
            <w:tcBorders>
              <w:top w:val="single" w:sz="4" w:space="0" w:color="auto"/>
              <w:left w:val="nil"/>
              <w:bottom w:val="single" w:sz="4" w:space="0" w:color="auto"/>
              <w:right w:val="nil"/>
            </w:tcBorders>
            <w:shd w:val="clear" w:color="auto" w:fill="FABF8F" w:themeFill="accent6" w:themeFillTint="99"/>
            <w:noWrap/>
            <w:vAlign w:val="center"/>
            <w:hideMark/>
          </w:tcPr>
          <w:p w14:paraId="397F401C" w14:textId="77777777" w:rsidR="00677E63" w:rsidRPr="00677E63" w:rsidRDefault="00677E63" w:rsidP="005800E7">
            <w:pPr>
              <w:spacing w:after="0"/>
              <w:ind w:firstLine="0"/>
              <w:jc w:val="right"/>
              <w:rPr>
                <w:rFonts w:ascii="Arial" w:hAnsi="Arial" w:cs="Arial"/>
                <w:sz w:val="18"/>
                <w:szCs w:val="18"/>
                <w:lang w:eastAsia="es-ES"/>
              </w:rPr>
            </w:pPr>
            <w:r w:rsidRPr="00677E63">
              <w:rPr>
                <w:rFonts w:ascii="Arial" w:hAnsi="Arial" w:cs="Arial"/>
                <w:sz w:val="18"/>
                <w:szCs w:val="18"/>
                <w:lang w:eastAsia="es-ES"/>
              </w:rPr>
              <w:t>% Variación</w:t>
            </w:r>
          </w:p>
          <w:p w14:paraId="61CB359B" w14:textId="77777777" w:rsidR="00677E63" w:rsidRPr="00677E63" w:rsidRDefault="00677E63" w:rsidP="005800E7">
            <w:pPr>
              <w:spacing w:after="0"/>
              <w:ind w:firstLine="0"/>
              <w:jc w:val="right"/>
              <w:rPr>
                <w:rFonts w:ascii="Arial" w:hAnsi="Arial" w:cs="Arial"/>
                <w:sz w:val="18"/>
                <w:szCs w:val="18"/>
                <w:lang w:val="es-ES" w:eastAsia="es-ES"/>
              </w:rPr>
            </w:pPr>
            <w:r w:rsidRPr="00677E63">
              <w:rPr>
                <w:rFonts w:ascii="Arial" w:hAnsi="Arial" w:cs="Arial"/>
                <w:sz w:val="18"/>
                <w:szCs w:val="18"/>
                <w:lang w:eastAsia="es-ES"/>
              </w:rPr>
              <w:t xml:space="preserve">2021/2020 </w:t>
            </w:r>
          </w:p>
        </w:tc>
      </w:tr>
      <w:tr w:rsidR="00677E63" w:rsidRPr="00677E63" w14:paraId="70B5D6F0" w14:textId="77777777" w:rsidTr="00317422">
        <w:trPr>
          <w:trHeight w:val="198"/>
        </w:trPr>
        <w:tc>
          <w:tcPr>
            <w:tcW w:w="4111" w:type="dxa"/>
            <w:tcBorders>
              <w:top w:val="single" w:sz="4" w:space="0" w:color="auto"/>
              <w:left w:val="nil"/>
              <w:bottom w:val="single" w:sz="2" w:space="0" w:color="auto"/>
              <w:right w:val="nil"/>
            </w:tcBorders>
            <w:shd w:val="clear" w:color="auto" w:fill="auto"/>
            <w:vAlign w:val="center"/>
          </w:tcPr>
          <w:p w14:paraId="2E90C4EC" w14:textId="77777777" w:rsidR="00677E63" w:rsidRPr="00677E63" w:rsidRDefault="00677E63" w:rsidP="005800E7">
            <w:pPr>
              <w:spacing w:after="0"/>
              <w:ind w:firstLine="0"/>
              <w:jc w:val="left"/>
              <w:rPr>
                <w:rFonts w:ascii="Arial Narrow" w:hAnsi="Arial Narrow" w:cs="Calibri"/>
                <w:lang w:val="es-ES" w:eastAsia="es-ES"/>
              </w:rPr>
            </w:pPr>
            <w:r w:rsidRPr="00677E63">
              <w:rPr>
                <w:rFonts w:ascii="Arial Narrow" w:hAnsi="Arial Narrow" w:cs="Calibri"/>
                <w:lang w:val="es-ES" w:eastAsia="es-ES"/>
              </w:rPr>
              <w:t>Transferencias Gobierno de Navarra</w:t>
            </w:r>
          </w:p>
        </w:tc>
        <w:tc>
          <w:tcPr>
            <w:tcW w:w="1276" w:type="dxa"/>
            <w:tcBorders>
              <w:top w:val="single" w:sz="4" w:space="0" w:color="auto"/>
              <w:left w:val="nil"/>
              <w:bottom w:val="single" w:sz="2" w:space="0" w:color="auto"/>
              <w:right w:val="nil"/>
            </w:tcBorders>
            <w:shd w:val="clear" w:color="auto" w:fill="auto"/>
            <w:vAlign w:val="center"/>
          </w:tcPr>
          <w:p w14:paraId="02DF6309" w14:textId="77777777" w:rsidR="00677E63" w:rsidRPr="00677E63" w:rsidRDefault="00677E63" w:rsidP="005800E7">
            <w:pPr>
              <w:spacing w:after="0"/>
              <w:ind w:firstLine="0"/>
              <w:jc w:val="right"/>
              <w:rPr>
                <w:rFonts w:ascii="Arial Narrow" w:hAnsi="Arial Narrow" w:cs="Calibri"/>
                <w:lang w:val="es-ES" w:eastAsia="es-ES"/>
              </w:rPr>
            </w:pPr>
            <w:r w:rsidRPr="00677E63">
              <w:rPr>
                <w:rFonts w:ascii="Arial Narrow" w:hAnsi="Arial Narrow" w:cs="Calibri"/>
                <w:lang w:val="es-ES" w:eastAsia="es-ES"/>
              </w:rPr>
              <w:t>3.163.706</w:t>
            </w:r>
          </w:p>
        </w:tc>
        <w:tc>
          <w:tcPr>
            <w:tcW w:w="1134" w:type="dxa"/>
            <w:tcBorders>
              <w:top w:val="single" w:sz="4" w:space="0" w:color="auto"/>
              <w:left w:val="nil"/>
              <w:bottom w:val="single" w:sz="2" w:space="0" w:color="auto"/>
              <w:right w:val="nil"/>
            </w:tcBorders>
            <w:shd w:val="clear" w:color="auto" w:fill="auto"/>
            <w:noWrap/>
            <w:vAlign w:val="center"/>
          </w:tcPr>
          <w:p w14:paraId="4EE706D1" w14:textId="77777777" w:rsidR="00677E63" w:rsidRPr="00677E63" w:rsidRDefault="00677E63" w:rsidP="005800E7">
            <w:pPr>
              <w:spacing w:after="0"/>
              <w:ind w:firstLine="0"/>
              <w:jc w:val="right"/>
              <w:rPr>
                <w:rFonts w:ascii="Arial Narrow" w:hAnsi="Arial Narrow" w:cs="Calibri"/>
                <w:lang w:val="es-ES" w:eastAsia="es-ES"/>
              </w:rPr>
            </w:pPr>
            <w:r w:rsidRPr="00677E63">
              <w:rPr>
                <w:rFonts w:ascii="Arial Narrow" w:hAnsi="Arial Narrow" w:cs="Calibri"/>
                <w:lang w:val="es-ES" w:eastAsia="es-ES"/>
              </w:rPr>
              <w:t>0</w:t>
            </w:r>
          </w:p>
        </w:tc>
        <w:tc>
          <w:tcPr>
            <w:tcW w:w="1134" w:type="dxa"/>
            <w:tcBorders>
              <w:top w:val="single" w:sz="4" w:space="0" w:color="auto"/>
              <w:left w:val="nil"/>
              <w:bottom w:val="single" w:sz="2" w:space="0" w:color="auto"/>
              <w:right w:val="nil"/>
            </w:tcBorders>
            <w:vAlign w:val="center"/>
          </w:tcPr>
          <w:p w14:paraId="0FFD62C3" w14:textId="77777777" w:rsidR="00677E63" w:rsidRPr="00677E63" w:rsidRDefault="00677E63" w:rsidP="005800E7">
            <w:pPr>
              <w:spacing w:after="0"/>
              <w:ind w:firstLine="0"/>
              <w:jc w:val="right"/>
              <w:rPr>
                <w:rFonts w:ascii="Arial Narrow" w:hAnsi="Arial Narrow" w:cs="Calibri"/>
                <w:lang w:val="es-ES" w:eastAsia="es-ES"/>
              </w:rPr>
            </w:pPr>
            <w:r w:rsidRPr="00677E63">
              <w:rPr>
                <w:rFonts w:ascii="Arial Narrow" w:hAnsi="Arial Narrow" w:cs="Calibri"/>
                <w:lang w:val="es-ES" w:eastAsia="es-ES"/>
              </w:rPr>
              <w:t>-3.163.706</w:t>
            </w:r>
          </w:p>
        </w:tc>
        <w:tc>
          <w:tcPr>
            <w:tcW w:w="1134" w:type="dxa"/>
            <w:tcBorders>
              <w:top w:val="single" w:sz="4" w:space="0" w:color="auto"/>
              <w:left w:val="nil"/>
              <w:bottom w:val="single" w:sz="2" w:space="0" w:color="auto"/>
              <w:right w:val="nil"/>
            </w:tcBorders>
            <w:shd w:val="clear" w:color="auto" w:fill="auto"/>
            <w:noWrap/>
            <w:vAlign w:val="center"/>
          </w:tcPr>
          <w:p w14:paraId="06C28D5D" w14:textId="77777777" w:rsidR="00677E63" w:rsidRPr="00677E63" w:rsidRDefault="00677E63" w:rsidP="005800E7">
            <w:pPr>
              <w:spacing w:after="0"/>
              <w:ind w:firstLine="0"/>
              <w:jc w:val="right"/>
              <w:rPr>
                <w:rFonts w:ascii="Arial Narrow" w:hAnsi="Arial Narrow" w:cs="Calibri"/>
                <w:lang w:val="es-ES" w:eastAsia="es-ES"/>
              </w:rPr>
            </w:pPr>
            <w:r w:rsidRPr="00677E63">
              <w:rPr>
                <w:rFonts w:ascii="Arial Narrow" w:hAnsi="Arial Narrow" w:cs="Calibri"/>
                <w:lang w:val="es-ES" w:eastAsia="es-ES"/>
              </w:rPr>
              <w:t>-100</w:t>
            </w:r>
          </w:p>
        </w:tc>
      </w:tr>
      <w:tr w:rsidR="00677E63" w:rsidRPr="00677E63" w14:paraId="273A8731" w14:textId="77777777" w:rsidTr="005800E7">
        <w:trPr>
          <w:trHeight w:val="255"/>
        </w:trPr>
        <w:tc>
          <w:tcPr>
            <w:tcW w:w="4111" w:type="dxa"/>
            <w:tcBorders>
              <w:top w:val="single" w:sz="2" w:space="0" w:color="auto"/>
              <w:left w:val="nil"/>
              <w:bottom w:val="single" w:sz="4" w:space="0" w:color="auto"/>
              <w:right w:val="nil"/>
            </w:tcBorders>
            <w:shd w:val="clear" w:color="auto" w:fill="FABF8F" w:themeFill="accent6" w:themeFillTint="99"/>
            <w:vAlign w:val="center"/>
            <w:hideMark/>
          </w:tcPr>
          <w:p w14:paraId="0B03B133" w14:textId="77777777" w:rsidR="00677E63" w:rsidRPr="00677E63" w:rsidRDefault="00677E63" w:rsidP="005800E7">
            <w:pPr>
              <w:spacing w:after="0"/>
              <w:ind w:firstLine="0"/>
              <w:jc w:val="left"/>
              <w:rPr>
                <w:rFonts w:ascii="Arial" w:hAnsi="Arial" w:cs="Arial"/>
                <w:sz w:val="18"/>
                <w:szCs w:val="18"/>
                <w:lang w:val="es-ES" w:eastAsia="es-ES"/>
              </w:rPr>
            </w:pPr>
            <w:r w:rsidRPr="00677E63">
              <w:rPr>
                <w:rFonts w:ascii="Arial" w:hAnsi="Arial" w:cs="Arial"/>
                <w:sz w:val="18"/>
                <w:szCs w:val="18"/>
                <w:lang w:eastAsia="es-ES"/>
              </w:rPr>
              <w:t>Total</w:t>
            </w:r>
          </w:p>
        </w:tc>
        <w:tc>
          <w:tcPr>
            <w:tcW w:w="1276" w:type="dxa"/>
            <w:tcBorders>
              <w:top w:val="single" w:sz="2" w:space="0" w:color="auto"/>
              <w:left w:val="nil"/>
              <w:bottom w:val="single" w:sz="4" w:space="0" w:color="auto"/>
              <w:right w:val="nil"/>
            </w:tcBorders>
            <w:shd w:val="clear" w:color="auto" w:fill="FABF8F" w:themeFill="accent6" w:themeFillTint="99"/>
            <w:vAlign w:val="center"/>
          </w:tcPr>
          <w:p w14:paraId="27B19652" w14:textId="77777777" w:rsidR="00677E63" w:rsidRPr="00677E63" w:rsidRDefault="00677E63" w:rsidP="005800E7">
            <w:pPr>
              <w:spacing w:after="0"/>
              <w:ind w:firstLine="0"/>
              <w:jc w:val="right"/>
              <w:rPr>
                <w:rFonts w:ascii="Arial" w:hAnsi="Arial" w:cs="Arial"/>
                <w:sz w:val="18"/>
                <w:szCs w:val="18"/>
                <w:lang w:val="es-ES" w:eastAsia="es-ES"/>
              </w:rPr>
            </w:pPr>
          </w:p>
        </w:tc>
        <w:tc>
          <w:tcPr>
            <w:tcW w:w="1134" w:type="dxa"/>
            <w:tcBorders>
              <w:top w:val="single" w:sz="2" w:space="0" w:color="auto"/>
              <w:left w:val="nil"/>
              <w:bottom w:val="single" w:sz="4" w:space="0" w:color="auto"/>
              <w:right w:val="nil"/>
            </w:tcBorders>
            <w:shd w:val="clear" w:color="auto" w:fill="FABF8F" w:themeFill="accent6" w:themeFillTint="99"/>
            <w:vAlign w:val="center"/>
          </w:tcPr>
          <w:p w14:paraId="62E08262" w14:textId="77777777" w:rsidR="00677E63" w:rsidRPr="00677E63" w:rsidRDefault="00677E63" w:rsidP="005800E7">
            <w:pPr>
              <w:spacing w:after="0"/>
              <w:ind w:firstLine="0"/>
              <w:jc w:val="right"/>
              <w:rPr>
                <w:rFonts w:ascii="Arial" w:hAnsi="Arial" w:cs="Arial"/>
                <w:sz w:val="18"/>
                <w:szCs w:val="18"/>
                <w:lang w:val="es-ES" w:eastAsia="es-ES"/>
              </w:rPr>
            </w:pPr>
          </w:p>
        </w:tc>
        <w:tc>
          <w:tcPr>
            <w:tcW w:w="1134" w:type="dxa"/>
            <w:tcBorders>
              <w:top w:val="single" w:sz="2" w:space="0" w:color="auto"/>
              <w:left w:val="nil"/>
              <w:bottom w:val="single" w:sz="4" w:space="0" w:color="auto"/>
              <w:right w:val="nil"/>
            </w:tcBorders>
            <w:shd w:val="clear" w:color="auto" w:fill="FABF8F" w:themeFill="accent6" w:themeFillTint="99"/>
            <w:vAlign w:val="center"/>
          </w:tcPr>
          <w:p w14:paraId="59F6C516" w14:textId="77777777" w:rsidR="00677E63" w:rsidRPr="00677E63" w:rsidRDefault="00677E63" w:rsidP="005800E7">
            <w:pPr>
              <w:spacing w:after="0"/>
              <w:ind w:firstLine="0"/>
              <w:jc w:val="right"/>
              <w:rPr>
                <w:rFonts w:ascii="Arial" w:hAnsi="Arial" w:cs="Arial"/>
                <w:sz w:val="18"/>
                <w:szCs w:val="18"/>
                <w:lang w:val="es-ES" w:eastAsia="es-ES"/>
              </w:rPr>
            </w:pPr>
          </w:p>
        </w:tc>
        <w:tc>
          <w:tcPr>
            <w:tcW w:w="1134" w:type="dxa"/>
            <w:tcBorders>
              <w:top w:val="single" w:sz="2" w:space="0" w:color="auto"/>
              <w:left w:val="nil"/>
              <w:bottom w:val="single" w:sz="4" w:space="0" w:color="auto"/>
              <w:right w:val="nil"/>
            </w:tcBorders>
            <w:shd w:val="clear" w:color="auto" w:fill="FABF8F" w:themeFill="accent6" w:themeFillTint="99"/>
            <w:noWrap/>
            <w:vAlign w:val="center"/>
          </w:tcPr>
          <w:p w14:paraId="6AF3D4E0" w14:textId="77777777" w:rsidR="00677E63" w:rsidRPr="00677E63" w:rsidRDefault="00677E63" w:rsidP="005800E7">
            <w:pPr>
              <w:spacing w:after="0"/>
              <w:ind w:firstLine="0"/>
              <w:jc w:val="right"/>
              <w:rPr>
                <w:rFonts w:ascii="Arial" w:hAnsi="Arial" w:cs="Arial"/>
                <w:sz w:val="18"/>
                <w:szCs w:val="18"/>
                <w:lang w:val="es-ES" w:eastAsia="es-ES"/>
              </w:rPr>
            </w:pPr>
          </w:p>
        </w:tc>
      </w:tr>
    </w:tbl>
    <w:p w14:paraId="0B613959" w14:textId="77777777" w:rsidR="00807992" w:rsidRDefault="00677E63" w:rsidP="004F7778">
      <w:pPr>
        <w:tabs>
          <w:tab w:val="center" w:pos="2835"/>
          <w:tab w:val="center" w:pos="3969"/>
          <w:tab w:val="center" w:pos="5103"/>
          <w:tab w:val="center" w:pos="6237"/>
          <w:tab w:val="center" w:pos="7371"/>
        </w:tabs>
        <w:spacing w:before="240" w:after="240"/>
        <w:ind w:firstLine="284"/>
        <w:rPr>
          <w:color w:val="000000" w:themeColor="text1"/>
          <w:spacing w:val="6"/>
          <w:sz w:val="26"/>
          <w:szCs w:val="24"/>
        </w:rPr>
      </w:pPr>
      <w:r>
        <w:rPr>
          <w:color w:val="000000" w:themeColor="text1"/>
          <w:spacing w:val="6"/>
          <w:sz w:val="26"/>
          <w:szCs w:val="24"/>
        </w:rPr>
        <w:t>Por otro lado, s</w:t>
      </w:r>
      <w:r w:rsidR="00807992">
        <w:rPr>
          <w:color w:val="000000" w:themeColor="text1"/>
          <w:spacing w:val="6"/>
          <w:sz w:val="26"/>
          <w:szCs w:val="24"/>
        </w:rPr>
        <w:t>egún consta en la Memoria, a</w:t>
      </w:r>
      <w:r w:rsidR="00807992" w:rsidRPr="00414E9F">
        <w:rPr>
          <w:color w:val="000000" w:themeColor="text1"/>
          <w:spacing w:val="6"/>
          <w:sz w:val="26"/>
          <w:szCs w:val="24"/>
        </w:rPr>
        <w:t xml:space="preserve"> pesar de la dificultad de este tipo de estimaciones, se ha</w:t>
      </w:r>
      <w:r w:rsidR="00807992">
        <w:rPr>
          <w:color w:val="000000" w:themeColor="text1"/>
          <w:spacing w:val="6"/>
          <w:sz w:val="26"/>
          <w:szCs w:val="24"/>
        </w:rPr>
        <w:t xml:space="preserve"> </w:t>
      </w:r>
      <w:r w:rsidR="00807992" w:rsidRPr="00414E9F">
        <w:rPr>
          <w:color w:val="000000" w:themeColor="text1"/>
          <w:spacing w:val="6"/>
          <w:sz w:val="26"/>
          <w:szCs w:val="24"/>
        </w:rPr>
        <w:t>calculado, y así se ha informado en las fichas solicitadas por el Ministerio de</w:t>
      </w:r>
      <w:r w:rsidR="00807992">
        <w:rPr>
          <w:color w:val="000000" w:themeColor="text1"/>
          <w:spacing w:val="6"/>
          <w:sz w:val="26"/>
          <w:szCs w:val="24"/>
        </w:rPr>
        <w:t xml:space="preserve"> Administraciones Públicas una estimación de la posible reducción en el presupuesto de ingresos, </w:t>
      </w:r>
      <w:proofErr w:type="gramStart"/>
      <w:r w:rsidR="00807992">
        <w:rPr>
          <w:color w:val="000000" w:themeColor="text1"/>
          <w:spacing w:val="6"/>
          <w:sz w:val="26"/>
          <w:szCs w:val="24"/>
        </w:rPr>
        <w:t>de acuerdo al</w:t>
      </w:r>
      <w:proofErr w:type="gramEnd"/>
      <w:r w:rsidR="00807992">
        <w:rPr>
          <w:color w:val="000000" w:themeColor="text1"/>
          <w:spacing w:val="6"/>
          <w:sz w:val="26"/>
          <w:szCs w:val="24"/>
        </w:rPr>
        <w:t xml:space="preserve"> siguiente detalle: </w:t>
      </w:r>
    </w:p>
    <w:tbl>
      <w:tblPr>
        <w:tblW w:w="8789" w:type="dxa"/>
        <w:tblCellMar>
          <w:left w:w="70" w:type="dxa"/>
          <w:right w:w="70" w:type="dxa"/>
        </w:tblCellMar>
        <w:tblLook w:val="04A0" w:firstRow="1" w:lastRow="0" w:firstColumn="1" w:lastColumn="0" w:noHBand="0" w:noVBand="1"/>
      </w:tblPr>
      <w:tblGrid>
        <w:gridCol w:w="993"/>
        <w:gridCol w:w="6378"/>
        <w:gridCol w:w="1418"/>
      </w:tblGrid>
      <w:tr w:rsidR="00807992" w:rsidRPr="00453A80" w14:paraId="2CF7C85B" w14:textId="77777777" w:rsidTr="00822784">
        <w:trPr>
          <w:trHeight w:val="255"/>
        </w:trPr>
        <w:tc>
          <w:tcPr>
            <w:tcW w:w="993" w:type="dxa"/>
            <w:tcBorders>
              <w:top w:val="single" w:sz="4" w:space="0" w:color="auto"/>
              <w:left w:val="nil"/>
              <w:bottom w:val="single" w:sz="2" w:space="0" w:color="auto"/>
              <w:right w:val="nil"/>
            </w:tcBorders>
            <w:shd w:val="clear" w:color="auto" w:fill="FABF8F" w:themeFill="accent6" w:themeFillTint="99"/>
            <w:vAlign w:val="center"/>
            <w:hideMark/>
          </w:tcPr>
          <w:p w14:paraId="2BE1B6F1" w14:textId="77777777" w:rsidR="00807992" w:rsidRPr="00453A80" w:rsidRDefault="00807992" w:rsidP="00807992">
            <w:pPr>
              <w:spacing w:after="0"/>
              <w:ind w:firstLine="0"/>
              <w:jc w:val="left"/>
              <w:rPr>
                <w:rFonts w:ascii="Arial" w:hAnsi="Arial" w:cs="Arial"/>
                <w:color w:val="000000"/>
                <w:sz w:val="18"/>
                <w:szCs w:val="18"/>
                <w:lang w:val="es-ES" w:eastAsia="es-ES"/>
              </w:rPr>
            </w:pPr>
            <w:r>
              <w:rPr>
                <w:rFonts w:ascii="Arial" w:hAnsi="Arial" w:cs="Arial"/>
                <w:color w:val="000000"/>
                <w:sz w:val="18"/>
                <w:szCs w:val="18"/>
                <w:lang w:eastAsia="es-ES"/>
              </w:rPr>
              <w:t>Concepto</w:t>
            </w:r>
          </w:p>
        </w:tc>
        <w:tc>
          <w:tcPr>
            <w:tcW w:w="6378" w:type="dxa"/>
            <w:tcBorders>
              <w:top w:val="single" w:sz="4" w:space="0" w:color="auto"/>
              <w:left w:val="nil"/>
              <w:bottom w:val="single" w:sz="2" w:space="0" w:color="auto"/>
              <w:right w:val="nil"/>
            </w:tcBorders>
            <w:shd w:val="clear" w:color="auto" w:fill="FABF8F" w:themeFill="accent6" w:themeFillTint="99"/>
            <w:vAlign w:val="center"/>
            <w:hideMark/>
          </w:tcPr>
          <w:p w14:paraId="0D340A74" w14:textId="77777777" w:rsidR="00807992" w:rsidRPr="00453A80" w:rsidRDefault="00807992" w:rsidP="00807992">
            <w:pPr>
              <w:spacing w:after="0"/>
              <w:ind w:firstLine="0"/>
              <w:jc w:val="left"/>
              <w:rPr>
                <w:rFonts w:ascii="Arial" w:hAnsi="Arial" w:cs="Arial"/>
                <w:color w:val="000000"/>
                <w:sz w:val="18"/>
                <w:szCs w:val="18"/>
                <w:lang w:val="es-ES" w:eastAsia="es-ES"/>
              </w:rPr>
            </w:pPr>
            <w:r>
              <w:rPr>
                <w:rFonts w:ascii="Arial" w:hAnsi="Arial" w:cs="Arial"/>
                <w:color w:val="000000"/>
                <w:sz w:val="18"/>
                <w:szCs w:val="18"/>
                <w:lang w:eastAsia="es-ES"/>
              </w:rPr>
              <w:t>Descripción</w:t>
            </w:r>
          </w:p>
        </w:tc>
        <w:tc>
          <w:tcPr>
            <w:tcW w:w="1418" w:type="dxa"/>
            <w:tcBorders>
              <w:top w:val="single" w:sz="4" w:space="0" w:color="auto"/>
              <w:left w:val="nil"/>
              <w:bottom w:val="single" w:sz="2" w:space="0" w:color="auto"/>
              <w:right w:val="nil"/>
            </w:tcBorders>
            <w:shd w:val="clear" w:color="auto" w:fill="FABF8F" w:themeFill="accent6" w:themeFillTint="99"/>
            <w:noWrap/>
            <w:vAlign w:val="center"/>
            <w:hideMark/>
          </w:tcPr>
          <w:p w14:paraId="2081C1E2" w14:textId="77777777" w:rsidR="00807992" w:rsidRPr="00453A80" w:rsidRDefault="00807992" w:rsidP="0080799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Minoración</w:t>
            </w:r>
          </w:p>
        </w:tc>
      </w:tr>
      <w:tr w:rsidR="00807992" w:rsidRPr="00453A80" w14:paraId="6268C875" w14:textId="77777777" w:rsidTr="00822784">
        <w:trPr>
          <w:trHeight w:val="198"/>
        </w:trPr>
        <w:tc>
          <w:tcPr>
            <w:tcW w:w="993" w:type="dxa"/>
            <w:tcBorders>
              <w:top w:val="single" w:sz="2" w:space="0" w:color="auto"/>
              <w:left w:val="nil"/>
              <w:bottom w:val="single" w:sz="2" w:space="0" w:color="auto"/>
              <w:right w:val="nil"/>
            </w:tcBorders>
            <w:shd w:val="clear" w:color="auto" w:fill="auto"/>
            <w:vAlign w:val="center"/>
          </w:tcPr>
          <w:p w14:paraId="38CE08F3" w14:textId="77777777" w:rsidR="00807992" w:rsidRPr="00453A80" w:rsidRDefault="00807992" w:rsidP="0080799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313</w:t>
            </w:r>
          </w:p>
        </w:tc>
        <w:tc>
          <w:tcPr>
            <w:tcW w:w="6378" w:type="dxa"/>
            <w:tcBorders>
              <w:top w:val="single" w:sz="2" w:space="0" w:color="auto"/>
              <w:left w:val="nil"/>
              <w:bottom w:val="single" w:sz="2" w:space="0" w:color="auto"/>
              <w:right w:val="nil"/>
            </w:tcBorders>
            <w:shd w:val="clear" w:color="auto" w:fill="auto"/>
            <w:vAlign w:val="center"/>
          </w:tcPr>
          <w:p w14:paraId="533A2D77" w14:textId="77777777" w:rsidR="00807992" w:rsidRPr="00453A80" w:rsidRDefault="00807992" w:rsidP="0080799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Servicios deportivos</w:t>
            </w:r>
          </w:p>
        </w:tc>
        <w:tc>
          <w:tcPr>
            <w:tcW w:w="1418" w:type="dxa"/>
            <w:tcBorders>
              <w:top w:val="single" w:sz="2" w:space="0" w:color="auto"/>
              <w:left w:val="nil"/>
              <w:bottom w:val="single" w:sz="2" w:space="0" w:color="auto"/>
              <w:right w:val="nil"/>
            </w:tcBorders>
            <w:shd w:val="clear" w:color="auto" w:fill="auto"/>
            <w:noWrap/>
            <w:vAlign w:val="center"/>
          </w:tcPr>
          <w:p w14:paraId="79EF0A3D" w14:textId="77777777" w:rsidR="00807992" w:rsidRPr="00453A80"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200.000</w:t>
            </w:r>
          </w:p>
        </w:tc>
      </w:tr>
      <w:tr w:rsidR="00807992" w:rsidRPr="00453A80" w14:paraId="0EB18A29" w14:textId="77777777" w:rsidTr="00011983">
        <w:trPr>
          <w:trHeight w:val="198"/>
        </w:trPr>
        <w:tc>
          <w:tcPr>
            <w:tcW w:w="993" w:type="dxa"/>
            <w:tcBorders>
              <w:top w:val="single" w:sz="2" w:space="0" w:color="auto"/>
              <w:left w:val="nil"/>
              <w:bottom w:val="single" w:sz="2" w:space="0" w:color="auto"/>
              <w:right w:val="nil"/>
            </w:tcBorders>
            <w:shd w:val="clear" w:color="auto" w:fill="auto"/>
            <w:vAlign w:val="center"/>
          </w:tcPr>
          <w:p w14:paraId="68DF2BE9" w14:textId="77777777" w:rsidR="00807992" w:rsidRPr="00453A80" w:rsidRDefault="00807992" w:rsidP="0080799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330</w:t>
            </w:r>
          </w:p>
        </w:tc>
        <w:tc>
          <w:tcPr>
            <w:tcW w:w="6378" w:type="dxa"/>
            <w:tcBorders>
              <w:top w:val="single" w:sz="2" w:space="0" w:color="auto"/>
              <w:left w:val="nil"/>
              <w:bottom w:val="single" w:sz="2" w:space="0" w:color="auto"/>
              <w:right w:val="nil"/>
            </w:tcBorders>
            <w:shd w:val="clear" w:color="auto" w:fill="auto"/>
            <w:vAlign w:val="center"/>
          </w:tcPr>
          <w:p w14:paraId="54A469B4" w14:textId="77777777" w:rsidR="00807992" w:rsidRPr="00453A80" w:rsidRDefault="00807992" w:rsidP="0080799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Tasa estacionamiento vehículos (Contrato ORA)</w:t>
            </w:r>
          </w:p>
        </w:tc>
        <w:tc>
          <w:tcPr>
            <w:tcW w:w="1418" w:type="dxa"/>
            <w:tcBorders>
              <w:top w:val="single" w:sz="2" w:space="0" w:color="auto"/>
              <w:left w:val="nil"/>
              <w:bottom w:val="single" w:sz="2" w:space="0" w:color="auto"/>
              <w:right w:val="nil"/>
            </w:tcBorders>
            <w:shd w:val="clear" w:color="auto" w:fill="auto"/>
            <w:noWrap/>
            <w:vAlign w:val="center"/>
          </w:tcPr>
          <w:p w14:paraId="4277F2FC" w14:textId="77777777" w:rsidR="00807992" w:rsidRPr="00453A80"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600.000</w:t>
            </w:r>
          </w:p>
        </w:tc>
      </w:tr>
      <w:tr w:rsidR="00807992" w:rsidRPr="00453A80" w14:paraId="67DBCC2C" w14:textId="77777777" w:rsidTr="00011983">
        <w:trPr>
          <w:trHeight w:val="198"/>
        </w:trPr>
        <w:tc>
          <w:tcPr>
            <w:tcW w:w="993" w:type="dxa"/>
            <w:tcBorders>
              <w:top w:val="single" w:sz="2" w:space="0" w:color="auto"/>
              <w:left w:val="nil"/>
              <w:bottom w:val="single" w:sz="2" w:space="0" w:color="auto"/>
              <w:right w:val="nil"/>
            </w:tcBorders>
            <w:shd w:val="clear" w:color="auto" w:fill="auto"/>
            <w:vAlign w:val="center"/>
          </w:tcPr>
          <w:p w14:paraId="4C0E0DDA" w14:textId="77777777" w:rsidR="00807992" w:rsidRPr="00453A80" w:rsidRDefault="00807992" w:rsidP="0080799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335</w:t>
            </w:r>
          </w:p>
        </w:tc>
        <w:tc>
          <w:tcPr>
            <w:tcW w:w="6378" w:type="dxa"/>
            <w:tcBorders>
              <w:top w:val="single" w:sz="2" w:space="0" w:color="auto"/>
              <w:left w:val="nil"/>
              <w:bottom w:val="single" w:sz="2" w:space="0" w:color="auto"/>
              <w:right w:val="nil"/>
            </w:tcBorders>
            <w:shd w:val="clear" w:color="auto" w:fill="auto"/>
            <w:vAlign w:val="center"/>
          </w:tcPr>
          <w:p w14:paraId="52363E8F" w14:textId="77777777" w:rsidR="00807992" w:rsidRPr="00453A80" w:rsidRDefault="00807992" w:rsidP="0080799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Tasa ocupación vía pública (terrazas hostelería)</w:t>
            </w:r>
          </w:p>
        </w:tc>
        <w:tc>
          <w:tcPr>
            <w:tcW w:w="1418" w:type="dxa"/>
            <w:tcBorders>
              <w:top w:val="single" w:sz="2" w:space="0" w:color="auto"/>
              <w:left w:val="nil"/>
              <w:bottom w:val="single" w:sz="2" w:space="0" w:color="auto"/>
              <w:right w:val="nil"/>
            </w:tcBorders>
            <w:shd w:val="clear" w:color="auto" w:fill="auto"/>
            <w:noWrap/>
            <w:vAlign w:val="center"/>
          </w:tcPr>
          <w:p w14:paraId="060AD00A" w14:textId="77777777" w:rsidR="00807992" w:rsidRPr="00453A80"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580.000</w:t>
            </w:r>
          </w:p>
        </w:tc>
      </w:tr>
      <w:tr w:rsidR="00807992" w:rsidRPr="00453A80" w14:paraId="09CA67F3" w14:textId="77777777" w:rsidTr="00822784">
        <w:trPr>
          <w:trHeight w:val="198"/>
        </w:trPr>
        <w:tc>
          <w:tcPr>
            <w:tcW w:w="993" w:type="dxa"/>
            <w:tcBorders>
              <w:top w:val="single" w:sz="2" w:space="0" w:color="auto"/>
              <w:left w:val="nil"/>
              <w:bottom w:val="single" w:sz="4" w:space="0" w:color="auto"/>
              <w:right w:val="nil"/>
            </w:tcBorders>
            <w:shd w:val="clear" w:color="auto" w:fill="auto"/>
            <w:vAlign w:val="center"/>
          </w:tcPr>
          <w:p w14:paraId="7634AB31" w14:textId="77777777" w:rsidR="00807992" w:rsidRPr="00453A80" w:rsidRDefault="00807992" w:rsidP="0080799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339</w:t>
            </w:r>
          </w:p>
        </w:tc>
        <w:tc>
          <w:tcPr>
            <w:tcW w:w="6378" w:type="dxa"/>
            <w:tcBorders>
              <w:top w:val="single" w:sz="2" w:space="0" w:color="auto"/>
              <w:left w:val="nil"/>
              <w:bottom w:val="single" w:sz="4" w:space="0" w:color="auto"/>
              <w:right w:val="nil"/>
            </w:tcBorders>
            <w:shd w:val="clear" w:color="auto" w:fill="auto"/>
            <w:vAlign w:val="center"/>
          </w:tcPr>
          <w:p w14:paraId="5D9876A1" w14:textId="77777777" w:rsidR="00807992" w:rsidRPr="00453A80" w:rsidRDefault="00807992" w:rsidP="00807992">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Otras tasas ocupación vía pública</w:t>
            </w:r>
          </w:p>
        </w:tc>
        <w:tc>
          <w:tcPr>
            <w:tcW w:w="1418" w:type="dxa"/>
            <w:tcBorders>
              <w:top w:val="single" w:sz="2" w:space="0" w:color="auto"/>
              <w:left w:val="nil"/>
              <w:bottom w:val="single" w:sz="4" w:space="0" w:color="auto"/>
              <w:right w:val="nil"/>
            </w:tcBorders>
            <w:shd w:val="clear" w:color="auto" w:fill="auto"/>
            <w:noWrap/>
            <w:vAlign w:val="center"/>
          </w:tcPr>
          <w:p w14:paraId="3D0BD3D5" w14:textId="77777777" w:rsidR="00807992" w:rsidRPr="00453A80" w:rsidRDefault="00807992" w:rsidP="00807992">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100.000</w:t>
            </w:r>
          </w:p>
        </w:tc>
      </w:tr>
      <w:tr w:rsidR="00807992" w:rsidRPr="00453A80" w14:paraId="79513C61" w14:textId="77777777" w:rsidTr="00822784">
        <w:trPr>
          <w:trHeight w:val="255"/>
        </w:trPr>
        <w:tc>
          <w:tcPr>
            <w:tcW w:w="993" w:type="dxa"/>
            <w:tcBorders>
              <w:top w:val="single" w:sz="4" w:space="0" w:color="auto"/>
              <w:left w:val="nil"/>
              <w:bottom w:val="single" w:sz="4" w:space="0" w:color="auto"/>
              <w:right w:val="nil"/>
            </w:tcBorders>
            <w:shd w:val="clear" w:color="auto" w:fill="FABF8F" w:themeFill="accent6" w:themeFillTint="99"/>
            <w:vAlign w:val="center"/>
          </w:tcPr>
          <w:p w14:paraId="35029963" w14:textId="77777777" w:rsidR="00807992" w:rsidRPr="00453A80" w:rsidRDefault="00807992" w:rsidP="00807992">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 xml:space="preserve">Total </w:t>
            </w:r>
          </w:p>
        </w:tc>
        <w:tc>
          <w:tcPr>
            <w:tcW w:w="6378" w:type="dxa"/>
            <w:tcBorders>
              <w:top w:val="single" w:sz="4" w:space="0" w:color="auto"/>
              <w:left w:val="nil"/>
              <w:bottom w:val="single" w:sz="4" w:space="0" w:color="auto"/>
              <w:right w:val="nil"/>
            </w:tcBorders>
            <w:shd w:val="clear" w:color="auto" w:fill="FABF8F" w:themeFill="accent6" w:themeFillTint="99"/>
            <w:vAlign w:val="center"/>
          </w:tcPr>
          <w:p w14:paraId="3FC34913" w14:textId="77777777" w:rsidR="00807992" w:rsidRPr="00453A80" w:rsidRDefault="00807992" w:rsidP="00807992">
            <w:pPr>
              <w:spacing w:after="0"/>
              <w:ind w:firstLine="0"/>
              <w:jc w:val="right"/>
              <w:rPr>
                <w:rFonts w:ascii="Arial" w:hAnsi="Arial" w:cs="Arial"/>
                <w:color w:val="000000"/>
                <w:sz w:val="18"/>
                <w:szCs w:val="18"/>
                <w:lang w:val="es-ES" w:eastAsia="es-ES"/>
              </w:rPr>
            </w:pPr>
          </w:p>
        </w:tc>
        <w:tc>
          <w:tcPr>
            <w:tcW w:w="1418" w:type="dxa"/>
            <w:tcBorders>
              <w:top w:val="single" w:sz="4" w:space="0" w:color="auto"/>
              <w:left w:val="nil"/>
              <w:bottom w:val="single" w:sz="4" w:space="0" w:color="auto"/>
              <w:right w:val="nil"/>
            </w:tcBorders>
            <w:shd w:val="clear" w:color="auto" w:fill="FABF8F" w:themeFill="accent6" w:themeFillTint="99"/>
            <w:vAlign w:val="center"/>
          </w:tcPr>
          <w:p w14:paraId="41D73D23" w14:textId="77777777" w:rsidR="00807992" w:rsidRPr="00453A80" w:rsidRDefault="00807992" w:rsidP="00807992">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1.480.000</w:t>
            </w:r>
          </w:p>
        </w:tc>
      </w:tr>
    </w:tbl>
    <w:p w14:paraId="3C865F2F" w14:textId="77777777" w:rsidR="00870C9B" w:rsidRPr="00677E63" w:rsidRDefault="00870C9B" w:rsidP="004F7778">
      <w:pPr>
        <w:tabs>
          <w:tab w:val="center" w:pos="2835"/>
          <w:tab w:val="center" w:pos="3969"/>
          <w:tab w:val="center" w:pos="5103"/>
          <w:tab w:val="center" w:pos="6237"/>
          <w:tab w:val="center" w:pos="7371"/>
        </w:tabs>
        <w:spacing w:before="240" w:after="240"/>
        <w:ind w:firstLine="284"/>
        <w:rPr>
          <w:spacing w:val="6"/>
          <w:sz w:val="26"/>
          <w:szCs w:val="24"/>
        </w:rPr>
      </w:pPr>
      <w:r w:rsidRPr="00677E63">
        <w:rPr>
          <w:spacing w:val="6"/>
          <w:sz w:val="26"/>
          <w:szCs w:val="24"/>
        </w:rPr>
        <w:t xml:space="preserve">La comparativa con el </w:t>
      </w:r>
      <w:r w:rsidR="006D4233" w:rsidRPr="00677E63">
        <w:rPr>
          <w:spacing w:val="6"/>
          <w:sz w:val="26"/>
          <w:szCs w:val="24"/>
        </w:rPr>
        <w:t>ejercicio 2020 es la siguiente:</w:t>
      </w:r>
    </w:p>
    <w:tbl>
      <w:tblPr>
        <w:tblW w:w="8789" w:type="dxa"/>
        <w:tblCellMar>
          <w:left w:w="70" w:type="dxa"/>
          <w:right w:w="70" w:type="dxa"/>
        </w:tblCellMar>
        <w:tblLook w:val="04A0" w:firstRow="1" w:lastRow="0" w:firstColumn="1" w:lastColumn="0" w:noHBand="0" w:noVBand="1"/>
      </w:tblPr>
      <w:tblGrid>
        <w:gridCol w:w="4111"/>
        <w:gridCol w:w="1276"/>
        <w:gridCol w:w="1134"/>
        <w:gridCol w:w="1134"/>
        <w:gridCol w:w="1134"/>
      </w:tblGrid>
      <w:tr w:rsidR="00121A33" w:rsidRPr="00677E63" w14:paraId="332FAEC7" w14:textId="77777777" w:rsidTr="00EF14D2">
        <w:trPr>
          <w:trHeight w:val="255"/>
        </w:trPr>
        <w:tc>
          <w:tcPr>
            <w:tcW w:w="4111" w:type="dxa"/>
            <w:tcBorders>
              <w:top w:val="single" w:sz="4" w:space="0" w:color="auto"/>
              <w:left w:val="nil"/>
              <w:bottom w:val="single" w:sz="4" w:space="0" w:color="auto"/>
              <w:right w:val="nil"/>
            </w:tcBorders>
            <w:shd w:val="clear" w:color="auto" w:fill="FABF8F" w:themeFill="accent6" w:themeFillTint="99"/>
            <w:vAlign w:val="center"/>
            <w:hideMark/>
          </w:tcPr>
          <w:p w14:paraId="09FE50FD" w14:textId="77777777" w:rsidR="00121A33" w:rsidRPr="00677E63" w:rsidRDefault="00870C9B" w:rsidP="004E56AA">
            <w:pPr>
              <w:spacing w:after="0"/>
              <w:ind w:firstLine="0"/>
              <w:jc w:val="left"/>
              <w:rPr>
                <w:rFonts w:ascii="Arial" w:hAnsi="Arial" w:cs="Arial"/>
                <w:sz w:val="18"/>
                <w:szCs w:val="18"/>
                <w:lang w:val="es-ES" w:eastAsia="es-ES"/>
              </w:rPr>
            </w:pPr>
            <w:r w:rsidRPr="00677E63">
              <w:rPr>
                <w:rFonts w:ascii="Arial" w:hAnsi="Arial" w:cs="Arial"/>
                <w:sz w:val="18"/>
                <w:szCs w:val="18"/>
                <w:lang w:eastAsia="es-ES"/>
              </w:rPr>
              <w:t>Estimaciones pérdidas de ingresos</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14:paraId="7C75B540" w14:textId="77777777" w:rsidR="00121A33" w:rsidRPr="00677E63" w:rsidRDefault="00121A33" w:rsidP="004E56AA">
            <w:pPr>
              <w:spacing w:after="0"/>
              <w:ind w:firstLine="0"/>
              <w:jc w:val="right"/>
              <w:rPr>
                <w:rFonts w:ascii="Arial" w:hAnsi="Arial" w:cs="Arial"/>
                <w:sz w:val="18"/>
                <w:szCs w:val="18"/>
                <w:lang w:val="es-ES" w:eastAsia="es-ES"/>
              </w:rPr>
            </w:pPr>
            <w:r w:rsidRPr="00677E63">
              <w:rPr>
                <w:rFonts w:ascii="Arial" w:hAnsi="Arial" w:cs="Arial"/>
                <w:sz w:val="18"/>
                <w:szCs w:val="18"/>
                <w:lang w:eastAsia="es-ES"/>
              </w:rPr>
              <w:t>2020</w:t>
            </w:r>
          </w:p>
        </w:tc>
        <w:tc>
          <w:tcPr>
            <w:tcW w:w="1134" w:type="dxa"/>
            <w:tcBorders>
              <w:top w:val="single" w:sz="4" w:space="0" w:color="auto"/>
              <w:left w:val="nil"/>
              <w:bottom w:val="single" w:sz="4" w:space="0" w:color="auto"/>
              <w:right w:val="nil"/>
            </w:tcBorders>
            <w:shd w:val="clear" w:color="auto" w:fill="FABF8F" w:themeFill="accent6" w:themeFillTint="99"/>
            <w:noWrap/>
            <w:vAlign w:val="center"/>
            <w:hideMark/>
          </w:tcPr>
          <w:p w14:paraId="4AB7530F" w14:textId="77777777" w:rsidR="00121A33" w:rsidRPr="00677E63" w:rsidRDefault="00121A33" w:rsidP="004E56AA">
            <w:pPr>
              <w:spacing w:after="0"/>
              <w:ind w:firstLine="0"/>
              <w:jc w:val="right"/>
              <w:rPr>
                <w:rFonts w:ascii="Arial" w:hAnsi="Arial" w:cs="Arial"/>
                <w:sz w:val="18"/>
                <w:szCs w:val="18"/>
                <w:lang w:val="es-ES" w:eastAsia="es-ES"/>
              </w:rPr>
            </w:pPr>
            <w:r w:rsidRPr="00677E63">
              <w:rPr>
                <w:rFonts w:ascii="Arial" w:hAnsi="Arial" w:cs="Arial"/>
                <w:sz w:val="18"/>
                <w:szCs w:val="18"/>
                <w:lang w:eastAsia="es-ES"/>
              </w:rPr>
              <w:t>2021</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14:paraId="75FA3532" w14:textId="77777777" w:rsidR="00121A33" w:rsidRPr="00677E63" w:rsidRDefault="00121A33" w:rsidP="004E56AA">
            <w:pPr>
              <w:spacing w:after="0"/>
              <w:ind w:firstLine="0"/>
              <w:jc w:val="right"/>
              <w:rPr>
                <w:rFonts w:ascii="Arial" w:hAnsi="Arial" w:cs="Arial"/>
                <w:sz w:val="18"/>
                <w:szCs w:val="18"/>
                <w:lang w:val="es-ES" w:eastAsia="es-ES"/>
              </w:rPr>
            </w:pPr>
            <w:r w:rsidRPr="00677E63">
              <w:rPr>
                <w:rFonts w:ascii="Arial" w:hAnsi="Arial" w:cs="Arial"/>
                <w:sz w:val="18"/>
                <w:szCs w:val="18"/>
                <w:lang w:eastAsia="es-ES"/>
              </w:rPr>
              <w:t>Diferencia</w:t>
            </w:r>
          </w:p>
        </w:tc>
        <w:tc>
          <w:tcPr>
            <w:tcW w:w="1134" w:type="dxa"/>
            <w:tcBorders>
              <w:top w:val="single" w:sz="4" w:space="0" w:color="auto"/>
              <w:left w:val="nil"/>
              <w:bottom w:val="single" w:sz="4" w:space="0" w:color="auto"/>
              <w:right w:val="nil"/>
            </w:tcBorders>
            <w:shd w:val="clear" w:color="auto" w:fill="FABF8F" w:themeFill="accent6" w:themeFillTint="99"/>
            <w:noWrap/>
            <w:vAlign w:val="center"/>
            <w:hideMark/>
          </w:tcPr>
          <w:p w14:paraId="1AD7BBB3" w14:textId="77777777" w:rsidR="00121A33" w:rsidRPr="00677E63" w:rsidRDefault="00121A33" w:rsidP="004E56AA">
            <w:pPr>
              <w:spacing w:after="0"/>
              <w:ind w:firstLine="0"/>
              <w:jc w:val="right"/>
              <w:rPr>
                <w:rFonts w:ascii="Arial" w:hAnsi="Arial" w:cs="Arial"/>
                <w:sz w:val="18"/>
                <w:szCs w:val="18"/>
                <w:lang w:eastAsia="es-ES"/>
              </w:rPr>
            </w:pPr>
            <w:r w:rsidRPr="00677E63">
              <w:rPr>
                <w:rFonts w:ascii="Arial" w:hAnsi="Arial" w:cs="Arial"/>
                <w:sz w:val="18"/>
                <w:szCs w:val="18"/>
                <w:lang w:eastAsia="es-ES"/>
              </w:rPr>
              <w:t>% Variación</w:t>
            </w:r>
          </w:p>
          <w:p w14:paraId="6148714E" w14:textId="77777777" w:rsidR="00121A33" w:rsidRPr="00677E63" w:rsidRDefault="00121A33" w:rsidP="004E56AA">
            <w:pPr>
              <w:spacing w:after="0"/>
              <w:ind w:firstLine="0"/>
              <w:jc w:val="right"/>
              <w:rPr>
                <w:rFonts w:ascii="Arial" w:hAnsi="Arial" w:cs="Arial"/>
                <w:sz w:val="18"/>
                <w:szCs w:val="18"/>
                <w:lang w:val="es-ES" w:eastAsia="es-ES"/>
              </w:rPr>
            </w:pPr>
            <w:r w:rsidRPr="00677E63">
              <w:rPr>
                <w:rFonts w:ascii="Arial" w:hAnsi="Arial" w:cs="Arial"/>
                <w:sz w:val="18"/>
                <w:szCs w:val="18"/>
                <w:lang w:eastAsia="es-ES"/>
              </w:rPr>
              <w:t xml:space="preserve">2021/2020 </w:t>
            </w:r>
          </w:p>
        </w:tc>
      </w:tr>
      <w:tr w:rsidR="00121A33" w:rsidRPr="00677E63" w14:paraId="2F36CC5F" w14:textId="77777777" w:rsidTr="00EF14D2">
        <w:trPr>
          <w:trHeight w:val="198"/>
        </w:trPr>
        <w:tc>
          <w:tcPr>
            <w:tcW w:w="4111" w:type="dxa"/>
            <w:tcBorders>
              <w:top w:val="single" w:sz="4" w:space="0" w:color="auto"/>
              <w:left w:val="nil"/>
              <w:bottom w:val="single" w:sz="2" w:space="0" w:color="auto"/>
              <w:right w:val="nil"/>
            </w:tcBorders>
            <w:shd w:val="clear" w:color="auto" w:fill="auto"/>
            <w:vAlign w:val="center"/>
          </w:tcPr>
          <w:p w14:paraId="4750E248" w14:textId="77777777" w:rsidR="00121A33" w:rsidRPr="00677E63" w:rsidRDefault="00870C9B" w:rsidP="004E56AA">
            <w:pPr>
              <w:spacing w:after="0"/>
              <w:ind w:firstLine="0"/>
              <w:jc w:val="left"/>
              <w:rPr>
                <w:rFonts w:ascii="Arial Narrow" w:hAnsi="Arial Narrow" w:cs="Calibri"/>
                <w:lang w:val="es-ES" w:eastAsia="es-ES"/>
              </w:rPr>
            </w:pPr>
            <w:r w:rsidRPr="00677E63">
              <w:rPr>
                <w:rFonts w:ascii="Arial Narrow" w:hAnsi="Arial Narrow" w:cs="Calibri"/>
                <w:lang w:val="es-ES" w:eastAsia="es-ES"/>
              </w:rPr>
              <w:t>Impuestos</w:t>
            </w:r>
          </w:p>
        </w:tc>
        <w:tc>
          <w:tcPr>
            <w:tcW w:w="1276" w:type="dxa"/>
            <w:tcBorders>
              <w:top w:val="single" w:sz="4" w:space="0" w:color="auto"/>
              <w:left w:val="nil"/>
              <w:bottom w:val="single" w:sz="2" w:space="0" w:color="auto"/>
              <w:right w:val="nil"/>
            </w:tcBorders>
            <w:shd w:val="clear" w:color="auto" w:fill="auto"/>
            <w:vAlign w:val="center"/>
          </w:tcPr>
          <w:p w14:paraId="0505C3C5" w14:textId="77777777" w:rsidR="00121A33" w:rsidRPr="00677E63" w:rsidRDefault="00870C9B" w:rsidP="004E56AA">
            <w:pPr>
              <w:spacing w:after="0"/>
              <w:ind w:firstLine="0"/>
              <w:jc w:val="right"/>
              <w:rPr>
                <w:rFonts w:ascii="Arial Narrow" w:hAnsi="Arial Narrow" w:cs="Calibri"/>
                <w:lang w:val="es-ES" w:eastAsia="es-ES"/>
              </w:rPr>
            </w:pPr>
            <w:r w:rsidRPr="00677E63">
              <w:rPr>
                <w:rFonts w:ascii="Arial Narrow" w:hAnsi="Arial Narrow" w:cs="Calibri"/>
                <w:lang w:val="es-ES" w:eastAsia="es-ES"/>
              </w:rPr>
              <w:t>1.140.000</w:t>
            </w:r>
          </w:p>
        </w:tc>
        <w:tc>
          <w:tcPr>
            <w:tcW w:w="1134" w:type="dxa"/>
            <w:tcBorders>
              <w:top w:val="single" w:sz="4" w:space="0" w:color="auto"/>
              <w:left w:val="nil"/>
              <w:bottom w:val="single" w:sz="2" w:space="0" w:color="auto"/>
              <w:right w:val="nil"/>
            </w:tcBorders>
            <w:shd w:val="clear" w:color="auto" w:fill="auto"/>
            <w:noWrap/>
            <w:vAlign w:val="center"/>
          </w:tcPr>
          <w:p w14:paraId="4934075A" w14:textId="77777777" w:rsidR="00121A33" w:rsidRPr="00677E63" w:rsidRDefault="00870C9B" w:rsidP="004E56AA">
            <w:pPr>
              <w:spacing w:after="0"/>
              <w:ind w:firstLine="0"/>
              <w:jc w:val="right"/>
              <w:rPr>
                <w:rFonts w:ascii="Arial Narrow" w:hAnsi="Arial Narrow" w:cs="Calibri"/>
                <w:lang w:val="es-ES" w:eastAsia="es-ES"/>
              </w:rPr>
            </w:pPr>
            <w:r w:rsidRPr="00677E63">
              <w:rPr>
                <w:rFonts w:ascii="Arial Narrow" w:hAnsi="Arial Narrow" w:cs="Calibri"/>
                <w:lang w:val="es-ES" w:eastAsia="es-ES"/>
              </w:rPr>
              <w:t>0</w:t>
            </w:r>
          </w:p>
        </w:tc>
        <w:tc>
          <w:tcPr>
            <w:tcW w:w="1134" w:type="dxa"/>
            <w:tcBorders>
              <w:top w:val="single" w:sz="4" w:space="0" w:color="auto"/>
              <w:left w:val="nil"/>
              <w:bottom w:val="single" w:sz="2" w:space="0" w:color="auto"/>
              <w:right w:val="nil"/>
            </w:tcBorders>
            <w:vAlign w:val="center"/>
          </w:tcPr>
          <w:p w14:paraId="6C0AD6AB" w14:textId="77777777" w:rsidR="00121A33" w:rsidRPr="00677E63" w:rsidRDefault="00870C9B" w:rsidP="004E56AA">
            <w:pPr>
              <w:spacing w:after="0"/>
              <w:ind w:firstLine="0"/>
              <w:jc w:val="right"/>
              <w:rPr>
                <w:rFonts w:ascii="Arial Narrow" w:hAnsi="Arial Narrow" w:cs="Calibri"/>
                <w:lang w:val="es-ES" w:eastAsia="es-ES"/>
              </w:rPr>
            </w:pPr>
            <w:r w:rsidRPr="00677E63">
              <w:rPr>
                <w:rFonts w:ascii="Arial Narrow" w:hAnsi="Arial Narrow" w:cs="Calibri"/>
                <w:lang w:val="es-ES" w:eastAsia="es-ES"/>
              </w:rPr>
              <w:t>-1.140.000</w:t>
            </w:r>
          </w:p>
        </w:tc>
        <w:tc>
          <w:tcPr>
            <w:tcW w:w="1134" w:type="dxa"/>
            <w:tcBorders>
              <w:top w:val="single" w:sz="4" w:space="0" w:color="auto"/>
              <w:left w:val="nil"/>
              <w:bottom w:val="single" w:sz="2" w:space="0" w:color="auto"/>
              <w:right w:val="nil"/>
            </w:tcBorders>
            <w:shd w:val="clear" w:color="auto" w:fill="auto"/>
            <w:noWrap/>
            <w:vAlign w:val="center"/>
          </w:tcPr>
          <w:p w14:paraId="76DA4931" w14:textId="77777777" w:rsidR="00121A33" w:rsidRPr="00677E63" w:rsidRDefault="00870C9B" w:rsidP="004E56AA">
            <w:pPr>
              <w:spacing w:after="0"/>
              <w:ind w:firstLine="0"/>
              <w:jc w:val="right"/>
              <w:rPr>
                <w:rFonts w:ascii="Arial Narrow" w:hAnsi="Arial Narrow" w:cs="Calibri"/>
                <w:lang w:val="es-ES" w:eastAsia="es-ES"/>
              </w:rPr>
            </w:pPr>
            <w:r w:rsidRPr="00677E63">
              <w:rPr>
                <w:rFonts w:ascii="Arial Narrow" w:hAnsi="Arial Narrow" w:cs="Calibri"/>
                <w:lang w:val="es-ES" w:eastAsia="es-ES"/>
              </w:rPr>
              <w:t>-100</w:t>
            </w:r>
          </w:p>
        </w:tc>
      </w:tr>
      <w:tr w:rsidR="00121A33" w:rsidRPr="00677E63" w14:paraId="05AC0DF7" w14:textId="77777777" w:rsidTr="00822784">
        <w:trPr>
          <w:trHeight w:val="198"/>
        </w:trPr>
        <w:tc>
          <w:tcPr>
            <w:tcW w:w="4111" w:type="dxa"/>
            <w:tcBorders>
              <w:top w:val="single" w:sz="2" w:space="0" w:color="auto"/>
              <w:left w:val="nil"/>
              <w:bottom w:val="single" w:sz="4" w:space="0" w:color="auto"/>
              <w:right w:val="nil"/>
            </w:tcBorders>
            <w:shd w:val="clear" w:color="auto" w:fill="auto"/>
            <w:vAlign w:val="center"/>
          </w:tcPr>
          <w:p w14:paraId="644B1DD2" w14:textId="77777777" w:rsidR="00121A33" w:rsidRPr="00677E63" w:rsidRDefault="00870C9B" w:rsidP="004E56AA">
            <w:pPr>
              <w:spacing w:after="0"/>
              <w:ind w:firstLine="0"/>
              <w:jc w:val="left"/>
              <w:rPr>
                <w:rFonts w:ascii="Arial Narrow" w:hAnsi="Arial Narrow" w:cs="Calibri"/>
                <w:lang w:val="es-ES" w:eastAsia="es-ES"/>
              </w:rPr>
            </w:pPr>
            <w:r w:rsidRPr="00677E63">
              <w:rPr>
                <w:rFonts w:ascii="Arial Narrow" w:hAnsi="Arial Narrow" w:cs="Calibri"/>
                <w:lang w:val="es-ES" w:eastAsia="es-ES"/>
              </w:rPr>
              <w:t>Tasas y otros ingresos</w:t>
            </w:r>
          </w:p>
        </w:tc>
        <w:tc>
          <w:tcPr>
            <w:tcW w:w="1276" w:type="dxa"/>
            <w:tcBorders>
              <w:top w:val="single" w:sz="2" w:space="0" w:color="auto"/>
              <w:left w:val="nil"/>
              <w:bottom w:val="single" w:sz="4" w:space="0" w:color="auto"/>
              <w:right w:val="nil"/>
            </w:tcBorders>
            <w:shd w:val="clear" w:color="auto" w:fill="auto"/>
            <w:vAlign w:val="center"/>
          </w:tcPr>
          <w:p w14:paraId="30C3DBCE" w14:textId="77777777" w:rsidR="00121A33" w:rsidRPr="00677E63" w:rsidRDefault="00870C9B" w:rsidP="004E56AA">
            <w:pPr>
              <w:spacing w:after="0"/>
              <w:ind w:firstLine="0"/>
              <w:jc w:val="right"/>
              <w:rPr>
                <w:rFonts w:ascii="Arial Narrow" w:hAnsi="Arial Narrow" w:cs="Calibri"/>
                <w:lang w:val="es-ES" w:eastAsia="es-ES"/>
              </w:rPr>
            </w:pPr>
            <w:r w:rsidRPr="00677E63">
              <w:rPr>
                <w:rFonts w:ascii="Arial Narrow" w:hAnsi="Arial Narrow" w:cs="Calibri"/>
                <w:lang w:val="es-ES" w:eastAsia="es-ES"/>
              </w:rPr>
              <w:t>5.494.000</w:t>
            </w:r>
          </w:p>
        </w:tc>
        <w:tc>
          <w:tcPr>
            <w:tcW w:w="1134" w:type="dxa"/>
            <w:tcBorders>
              <w:top w:val="single" w:sz="2" w:space="0" w:color="auto"/>
              <w:left w:val="nil"/>
              <w:bottom w:val="single" w:sz="4" w:space="0" w:color="auto"/>
              <w:right w:val="nil"/>
            </w:tcBorders>
            <w:shd w:val="clear" w:color="auto" w:fill="auto"/>
            <w:noWrap/>
            <w:vAlign w:val="center"/>
          </w:tcPr>
          <w:p w14:paraId="64D4317F" w14:textId="77777777" w:rsidR="00121A33" w:rsidRPr="00677E63" w:rsidRDefault="00870C9B" w:rsidP="004E56AA">
            <w:pPr>
              <w:spacing w:after="0"/>
              <w:ind w:firstLine="0"/>
              <w:jc w:val="right"/>
              <w:rPr>
                <w:rFonts w:ascii="Arial Narrow" w:hAnsi="Arial Narrow" w:cs="Calibri"/>
                <w:lang w:val="es-ES" w:eastAsia="es-ES"/>
              </w:rPr>
            </w:pPr>
            <w:r w:rsidRPr="00677E63">
              <w:rPr>
                <w:rFonts w:ascii="Arial Narrow" w:hAnsi="Arial Narrow" w:cs="Calibri"/>
                <w:lang w:val="es-ES" w:eastAsia="es-ES"/>
              </w:rPr>
              <w:t>1.480.000</w:t>
            </w:r>
          </w:p>
        </w:tc>
        <w:tc>
          <w:tcPr>
            <w:tcW w:w="1134" w:type="dxa"/>
            <w:tcBorders>
              <w:top w:val="single" w:sz="2" w:space="0" w:color="auto"/>
              <w:left w:val="nil"/>
              <w:bottom w:val="single" w:sz="4" w:space="0" w:color="auto"/>
              <w:right w:val="nil"/>
            </w:tcBorders>
            <w:vAlign w:val="center"/>
          </w:tcPr>
          <w:p w14:paraId="3B7BAFCD" w14:textId="77777777" w:rsidR="00121A33" w:rsidRPr="00677E63" w:rsidRDefault="00870C9B" w:rsidP="004E56AA">
            <w:pPr>
              <w:spacing w:after="0"/>
              <w:ind w:firstLine="0"/>
              <w:jc w:val="right"/>
              <w:rPr>
                <w:rFonts w:ascii="Arial Narrow" w:hAnsi="Arial Narrow" w:cs="Calibri"/>
                <w:lang w:val="es-ES" w:eastAsia="es-ES"/>
              </w:rPr>
            </w:pPr>
            <w:r w:rsidRPr="00677E63">
              <w:rPr>
                <w:rFonts w:ascii="Arial Narrow" w:hAnsi="Arial Narrow" w:cs="Calibri"/>
                <w:lang w:val="es-ES" w:eastAsia="es-ES"/>
              </w:rPr>
              <w:t>-4.014.000</w:t>
            </w:r>
          </w:p>
        </w:tc>
        <w:tc>
          <w:tcPr>
            <w:tcW w:w="1134" w:type="dxa"/>
            <w:tcBorders>
              <w:top w:val="single" w:sz="2" w:space="0" w:color="auto"/>
              <w:left w:val="nil"/>
              <w:bottom w:val="single" w:sz="4" w:space="0" w:color="auto"/>
              <w:right w:val="nil"/>
            </w:tcBorders>
            <w:shd w:val="clear" w:color="auto" w:fill="auto"/>
            <w:noWrap/>
            <w:vAlign w:val="center"/>
          </w:tcPr>
          <w:p w14:paraId="13141D13" w14:textId="77777777" w:rsidR="00121A33" w:rsidRPr="00677E63" w:rsidRDefault="00870C9B" w:rsidP="004E56AA">
            <w:pPr>
              <w:spacing w:after="0"/>
              <w:ind w:firstLine="0"/>
              <w:jc w:val="right"/>
              <w:rPr>
                <w:rFonts w:ascii="Arial Narrow" w:hAnsi="Arial Narrow" w:cs="Calibri"/>
                <w:lang w:val="es-ES" w:eastAsia="es-ES"/>
              </w:rPr>
            </w:pPr>
            <w:r w:rsidRPr="00677E63">
              <w:rPr>
                <w:rFonts w:ascii="Arial Narrow" w:hAnsi="Arial Narrow" w:cs="Calibri"/>
                <w:lang w:val="es-ES" w:eastAsia="es-ES"/>
              </w:rPr>
              <w:t>-73</w:t>
            </w:r>
          </w:p>
        </w:tc>
      </w:tr>
      <w:tr w:rsidR="00121A33" w:rsidRPr="00677E63" w14:paraId="595E9F6D" w14:textId="77777777" w:rsidTr="00822784">
        <w:trPr>
          <w:trHeight w:val="255"/>
        </w:trPr>
        <w:tc>
          <w:tcPr>
            <w:tcW w:w="4111" w:type="dxa"/>
            <w:tcBorders>
              <w:top w:val="single" w:sz="4" w:space="0" w:color="auto"/>
              <w:left w:val="nil"/>
              <w:bottom w:val="single" w:sz="4" w:space="0" w:color="auto"/>
              <w:right w:val="nil"/>
            </w:tcBorders>
            <w:shd w:val="clear" w:color="auto" w:fill="FABF8F" w:themeFill="accent6" w:themeFillTint="99"/>
            <w:vAlign w:val="center"/>
            <w:hideMark/>
          </w:tcPr>
          <w:p w14:paraId="34A068B7" w14:textId="77777777" w:rsidR="00121A33" w:rsidRPr="00677E63" w:rsidRDefault="00121A33" w:rsidP="004E56AA">
            <w:pPr>
              <w:spacing w:after="0"/>
              <w:ind w:firstLine="0"/>
              <w:jc w:val="left"/>
              <w:rPr>
                <w:rFonts w:ascii="Arial" w:hAnsi="Arial" w:cs="Arial"/>
                <w:sz w:val="18"/>
                <w:szCs w:val="18"/>
                <w:lang w:val="es-ES" w:eastAsia="es-ES"/>
              </w:rPr>
            </w:pPr>
            <w:r w:rsidRPr="00677E63">
              <w:rPr>
                <w:rFonts w:ascii="Arial" w:hAnsi="Arial" w:cs="Arial"/>
                <w:sz w:val="18"/>
                <w:szCs w:val="18"/>
                <w:lang w:eastAsia="es-ES"/>
              </w:rPr>
              <w:t>Total</w:t>
            </w:r>
          </w:p>
        </w:tc>
        <w:tc>
          <w:tcPr>
            <w:tcW w:w="1276" w:type="dxa"/>
            <w:tcBorders>
              <w:top w:val="single" w:sz="4" w:space="0" w:color="auto"/>
              <w:left w:val="nil"/>
              <w:bottom w:val="single" w:sz="4" w:space="0" w:color="auto"/>
              <w:right w:val="nil"/>
            </w:tcBorders>
            <w:shd w:val="clear" w:color="auto" w:fill="FABF8F" w:themeFill="accent6" w:themeFillTint="99"/>
            <w:vAlign w:val="center"/>
          </w:tcPr>
          <w:p w14:paraId="08DDFFDD" w14:textId="77777777" w:rsidR="00121A33" w:rsidRPr="00677E63" w:rsidRDefault="00121A33" w:rsidP="004E56AA">
            <w:pPr>
              <w:spacing w:after="0"/>
              <w:ind w:firstLine="0"/>
              <w:jc w:val="right"/>
              <w:rPr>
                <w:rFonts w:ascii="Arial" w:hAnsi="Arial" w:cs="Arial"/>
                <w:sz w:val="18"/>
                <w:szCs w:val="18"/>
                <w:lang w:val="es-ES" w:eastAsia="es-ES"/>
              </w:rPr>
            </w:pPr>
          </w:p>
        </w:tc>
        <w:tc>
          <w:tcPr>
            <w:tcW w:w="1134" w:type="dxa"/>
            <w:tcBorders>
              <w:top w:val="single" w:sz="4" w:space="0" w:color="auto"/>
              <w:left w:val="nil"/>
              <w:bottom w:val="single" w:sz="4" w:space="0" w:color="auto"/>
              <w:right w:val="nil"/>
            </w:tcBorders>
            <w:shd w:val="clear" w:color="auto" w:fill="FABF8F" w:themeFill="accent6" w:themeFillTint="99"/>
            <w:vAlign w:val="center"/>
          </w:tcPr>
          <w:p w14:paraId="47AD6A6C" w14:textId="77777777" w:rsidR="00121A33" w:rsidRPr="00677E63" w:rsidRDefault="00121A33" w:rsidP="004E56AA">
            <w:pPr>
              <w:spacing w:after="0"/>
              <w:ind w:firstLine="0"/>
              <w:jc w:val="right"/>
              <w:rPr>
                <w:rFonts w:ascii="Arial" w:hAnsi="Arial" w:cs="Arial"/>
                <w:sz w:val="18"/>
                <w:szCs w:val="18"/>
                <w:lang w:val="es-ES" w:eastAsia="es-ES"/>
              </w:rPr>
            </w:pPr>
          </w:p>
        </w:tc>
        <w:tc>
          <w:tcPr>
            <w:tcW w:w="1134" w:type="dxa"/>
            <w:tcBorders>
              <w:top w:val="single" w:sz="4" w:space="0" w:color="auto"/>
              <w:left w:val="nil"/>
              <w:bottom w:val="single" w:sz="4" w:space="0" w:color="auto"/>
              <w:right w:val="nil"/>
            </w:tcBorders>
            <w:shd w:val="clear" w:color="auto" w:fill="FABF8F" w:themeFill="accent6" w:themeFillTint="99"/>
            <w:vAlign w:val="center"/>
          </w:tcPr>
          <w:p w14:paraId="62D8805B" w14:textId="77777777" w:rsidR="00121A33" w:rsidRPr="00677E63" w:rsidRDefault="00121A33" w:rsidP="004E56AA">
            <w:pPr>
              <w:spacing w:after="0"/>
              <w:ind w:firstLine="0"/>
              <w:jc w:val="right"/>
              <w:rPr>
                <w:rFonts w:ascii="Arial" w:hAnsi="Arial" w:cs="Arial"/>
                <w:sz w:val="18"/>
                <w:szCs w:val="18"/>
                <w:lang w:val="es-ES" w:eastAsia="es-ES"/>
              </w:rPr>
            </w:pPr>
          </w:p>
        </w:tc>
        <w:tc>
          <w:tcPr>
            <w:tcW w:w="1134" w:type="dxa"/>
            <w:tcBorders>
              <w:top w:val="single" w:sz="4" w:space="0" w:color="auto"/>
              <w:left w:val="nil"/>
              <w:bottom w:val="single" w:sz="4" w:space="0" w:color="auto"/>
              <w:right w:val="nil"/>
            </w:tcBorders>
            <w:shd w:val="clear" w:color="auto" w:fill="FABF8F" w:themeFill="accent6" w:themeFillTint="99"/>
            <w:noWrap/>
            <w:vAlign w:val="center"/>
          </w:tcPr>
          <w:p w14:paraId="26C11C12" w14:textId="77777777" w:rsidR="00121A33" w:rsidRPr="00677E63" w:rsidRDefault="00121A33" w:rsidP="004E56AA">
            <w:pPr>
              <w:spacing w:after="0"/>
              <w:ind w:firstLine="0"/>
              <w:jc w:val="right"/>
              <w:rPr>
                <w:rFonts w:ascii="Arial" w:hAnsi="Arial" w:cs="Arial"/>
                <w:sz w:val="18"/>
                <w:szCs w:val="18"/>
                <w:lang w:val="es-ES" w:eastAsia="es-ES"/>
              </w:rPr>
            </w:pPr>
          </w:p>
        </w:tc>
      </w:tr>
    </w:tbl>
    <w:p w14:paraId="1E16FDFA" w14:textId="77777777" w:rsidR="00807992" w:rsidRPr="00677E63" w:rsidRDefault="00807992" w:rsidP="00807992">
      <w:pPr>
        <w:tabs>
          <w:tab w:val="center" w:pos="2835"/>
          <w:tab w:val="center" w:pos="3969"/>
          <w:tab w:val="center" w:pos="5103"/>
          <w:tab w:val="center" w:pos="6237"/>
          <w:tab w:val="center" w:pos="7371"/>
        </w:tabs>
        <w:spacing w:after="240"/>
        <w:ind w:firstLine="284"/>
        <w:rPr>
          <w:spacing w:val="6"/>
          <w:sz w:val="26"/>
          <w:szCs w:val="24"/>
        </w:rPr>
      </w:pPr>
    </w:p>
    <w:p w14:paraId="731A3071" w14:textId="77777777" w:rsidR="00870C9B" w:rsidRDefault="00870C9B" w:rsidP="00807992">
      <w:pPr>
        <w:tabs>
          <w:tab w:val="center" w:pos="2835"/>
          <w:tab w:val="center" w:pos="3969"/>
          <w:tab w:val="center" w:pos="5103"/>
          <w:tab w:val="center" w:pos="6237"/>
          <w:tab w:val="center" w:pos="7371"/>
        </w:tabs>
        <w:spacing w:after="240"/>
        <w:ind w:firstLine="284"/>
        <w:rPr>
          <w:color w:val="000000" w:themeColor="text1"/>
          <w:spacing w:val="6"/>
          <w:sz w:val="26"/>
          <w:szCs w:val="24"/>
        </w:rPr>
      </w:pPr>
    </w:p>
    <w:p w14:paraId="4EC149F9" w14:textId="77777777" w:rsidR="00807992" w:rsidRDefault="00807992" w:rsidP="00807992">
      <w:pPr>
        <w:spacing w:after="0"/>
        <w:ind w:firstLine="0"/>
        <w:jc w:val="left"/>
        <w:rPr>
          <w:rFonts w:cs="Arial"/>
          <w:color w:val="000000" w:themeColor="text1"/>
        </w:rPr>
      </w:pPr>
      <w:r>
        <w:rPr>
          <w:rFonts w:cs="Arial"/>
          <w:color w:val="000000" w:themeColor="text1"/>
        </w:rPr>
        <w:br w:type="page"/>
      </w:r>
    </w:p>
    <w:p w14:paraId="683FB716" w14:textId="77777777" w:rsidR="00807992" w:rsidRDefault="00807992" w:rsidP="00807992">
      <w:pPr>
        <w:pStyle w:val="atitulo1"/>
      </w:pPr>
      <w:bookmarkStart w:id="170" w:name="_Toc118266046"/>
      <w:bookmarkStart w:id="171" w:name="_Toc129243495"/>
      <w:r>
        <w:lastRenderedPageBreak/>
        <w:t xml:space="preserve">Apéndice </w:t>
      </w:r>
      <w:r w:rsidR="00D542B5">
        <w:t>6</w:t>
      </w:r>
      <w:r>
        <w:t xml:space="preserve">. </w:t>
      </w:r>
      <w:r w:rsidR="00D164A2">
        <w:t>Relación cronológica de hechos y estimación del coste de las o</w:t>
      </w:r>
      <w:r>
        <w:t>bras de refuerzo de la pasarela de Labrit.</w:t>
      </w:r>
      <w:bookmarkEnd w:id="170"/>
      <w:bookmarkEnd w:id="171"/>
    </w:p>
    <w:p w14:paraId="6F5FBAD4" w14:textId="77777777" w:rsidR="00D164A2" w:rsidRPr="00677E63" w:rsidRDefault="00D164A2" w:rsidP="00D164A2">
      <w:pPr>
        <w:tabs>
          <w:tab w:val="center" w:pos="2835"/>
          <w:tab w:val="center" w:pos="3969"/>
          <w:tab w:val="center" w:pos="5103"/>
          <w:tab w:val="center" w:pos="6237"/>
          <w:tab w:val="center" w:pos="7371"/>
        </w:tabs>
        <w:spacing w:before="120"/>
        <w:ind w:firstLine="284"/>
        <w:rPr>
          <w:spacing w:val="6"/>
          <w:sz w:val="26"/>
          <w:szCs w:val="24"/>
        </w:rPr>
      </w:pPr>
      <w:r w:rsidRPr="00677E63">
        <w:rPr>
          <w:spacing w:val="6"/>
          <w:sz w:val="26"/>
          <w:szCs w:val="24"/>
        </w:rPr>
        <w:t>En los contratos que hemos fiscalizado en nuestro informe se ha incluido la revisión de la adjudicación del contrato “Obras de refuerzo estructural y acondicionamiento de</w:t>
      </w:r>
      <w:r w:rsidR="00677E63">
        <w:rPr>
          <w:spacing w:val="6"/>
          <w:sz w:val="26"/>
          <w:szCs w:val="24"/>
        </w:rPr>
        <w:t xml:space="preserve"> la pasarela Labrit”, así como su</w:t>
      </w:r>
      <w:r w:rsidRPr="00677E63">
        <w:rPr>
          <w:spacing w:val="6"/>
          <w:sz w:val="26"/>
          <w:szCs w:val="24"/>
        </w:rPr>
        <w:t xml:space="preserve"> redacción del proyecto y dirección de obra. </w:t>
      </w:r>
    </w:p>
    <w:p w14:paraId="468F502D" w14:textId="77777777" w:rsidR="00D164A2" w:rsidRPr="00677E63" w:rsidRDefault="00D164A2" w:rsidP="008941BF">
      <w:pPr>
        <w:tabs>
          <w:tab w:val="center" w:pos="2835"/>
          <w:tab w:val="center" w:pos="3969"/>
          <w:tab w:val="center" w:pos="5103"/>
          <w:tab w:val="center" w:pos="6237"/>
          <w:tab w:val="center" w:pos="7371"/>
        </w:tabs>
        <w:spacing w:before="120"/>
        <w:ind w:firstLine="284"/>
      </w:pPr>
      <w:r w:rsidRPr="00677E63">
        <w:rPr>
          <w:spacing w:val="6"/>
          <w:sz w:val="26"/>
          <w:szCs w:val="24"/>
        </w:rPr>
        <w:t xml:space="preserve">En el contexto de nuestro informe hemos considerado apropiado incluir una </w:t>
      </w:r>
      <w:r w:rsidRPr="0062596E">
        <w:rPr>
          <w:spacing w:val="6"/>
          <w:sz w:val="26"/>
          <w:szCs w:val="24"/>
        </w:rPr>
        <w:t xml:space="preserve">relación cronológica de los distintos acontecimientos que han afectado a esta obra </w:t>
      </w:r>
      <w:r w:rsidR="006D4233" w:rsidRPr="0062596E">
        <w:rPr>
          <w:spacing w:val="6"/>
          <w:sz w:val="26"/>
          <w:szCs w:val="24"/>
        </w:rPr>
        <w:t xml:space="preserve">a pesar de exceder </w:t>
      </w:r>
      <w:r w:rsidR="008941BF" w:rsidRPr="0062596E">
        <w:rPr>
          <w:spacing w:val="6"/>
          <w:sz w:val="26"/>
          <w:szCs w:val="24"/>
        </w:rPr>
        <w:t xml:space="preserve">el alcance temporal del ejercicio 2021, así como </w:t>
      </w:r>
      <w:r w:rsidRPr="0062596E">
        <w:rPr>
          <w:spacing w:val="6"/>
          <w:sz w:val="26"/>
          <w:szCs w:val="24"/>
        </w:rPr>
        <w:t>reflejar una estimación del coste</w:t>
      </w:r>
      <w:r w:rsidR="008941BF" w:rsidRPr="0062596E">
        <w:rPr>
          <w:spacing w:val="6"/>
          <w:sz w:val="26"/>
          <w:szCs w:val="24"/>
        </w:rPr>
        <w:t xml:space="preserve"> acumulado </w:t>
      </w:r>
      <w:r w:rsidR="002E248F" w:rsidRPr="0062596E">
        <w:rPr>
          <w:spacing w:val="6"/>
          <w:sz w:val="26"/>
          <w:szCs w:val="24"/>
        </w:rPr>
        <w:t xml:space="preserve">de la reparación y la estimación económica de las reclamaciones efectuadas </w:t>
      </w:r>
      <w:r w:rsidR="008941BF" w:rsidRPr="0062596E">
        <w:rPr>
          <w:spacing w:val="6"/>
          <w:sz w:val="26"/>
          <w:szCs w:val="24"/>
        </w:rPr>
        <w:t xml:space="preserve">a la fecha de </w:t>
      </w:r>
      <w:r w:rsidR="00DF0BDD">
        <w:rPr>
          <w:spacing w:val="6"/>
          <w:sz w:val="26"/>
          <w:szCs w:val="24"/>
        </w:rPr>
        <w:t xml:space="preserve">finalización del trabajo de campo </w:t>
      </w:r>
      <w:r w:rsidR="008941BF" w:rsidRPr="0062596E">
        <w:rPr>
          <w:spacing w:val="6"/>
          <w:sz w:val="26"/>
          <w:szCs w:val="24"/>
        </w:rPr>
        <w:t xml:space="preserve">de este informe, por lo que </w:t>
      </w:r>
      <w:r w:rsidR="008941BF" w:rsidRPr="00677E63">
        <w:rPr>
          <w:spacing w:val="6"/>
          <w:sz w:val="26"/>
          <w:szCs w:val="24"/>
        </w:rPr>
        <w:t xml:space="preserve">hemos incluido un apéndice que contemple esta información. </w:t>
      </w:r>
    </w:p>
    <w:p w14:paraId="03039D40" w14:textId="77777777" w:rsidR="00807992" w:rsidRPr="00186C8C" w:rsidRDefault="00807992" w:rsidP="00BC7A19">
      <w:pPr>
        <w:pStyle w:val="atitulo2"/>
      </w:pPr>
      <w:bookmarkStart w:id="172" w:name="_Toc129243496"/>
      <w:r>
        <w:t>7.</w:t>
      </w:r>
      <w:proofErr w:type="gramStart"/>
      <w:r w:rsidRPr="00186C8C">
        <w:t>1.Antecedentes</w:t>
      </w:r>
      <w:bookmarkEnd w:id="172"/>
      <w:proofErr w:type="gramEnd"/>
    </w:p>
    <w:p w14:paraId="3CB45DFE" w14:textId="77777777" w:rsidR="00807992" w:rsidRPr="00186C8C" w:rsidRDefault="00807992" w:rsidP="00EF14D2">
      <w:pPr>
        <w:ind w:firstLine="0"/>
        <w:rPr>
          <w:b/>
          <w:sz w:val="26"/>
          <w:szCs w:val="26"/>
        </w:rPr>
      </w:pPr>
      <w:r>
        <w:rPr>
          <w:b/>
          <w:sz w:val="26"/>
          <w:szCs w:val="26"/>
        </w:rPr>
        <w:t>7.</w:t>
      </w:r>
      <w:r w:rsidRPr="00186C8C">
        <w:rPr>
          <w:b/>
          <w:sz w:val="26"/>
          <w:szCs w:val="26"/>
        </w:rPr>
        <w:t xml:space="preserve">1.1 Adjudicación y detección de daños en la pasarela </w:t>
      </w:r>
    </w:p>
    <w:p w14:paraId="6E86A686" w14:textId="77777777" w:rsidR="00807992" w:rsidRPr="00A553BC"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pPr>
      <w:r w:rsidRPr="00A553BC">
        <w:rPr>
          <w:rFonts w:cs="Arial"/>
          <w:spacing w:val="6"/>
          <w:sz w:val="26"/>
          <w:szCs w:val="24"/>
        </w:rPr>
        <w:t>Mediante Acuerdo de Junta de Gobierno Local de 10 noviembre 2009 se adjudic</w:t>
      </w:r>
      <w:r w:rsidR="000023DA">
        <w:rPr>
          <w:rFonts w:cs="Arial"/>
          <w:spacing w:val="6"/>
          <w:sz w:val="26"/>
          <w:szCs w:val="24"/>
        </w:rPr>
        <w:t>ó</w:t>
      </w:r>
      <w:r w:rsidRPr="00A553BC">
        <w:rPr>
          <w:rFonts w:cs="Arial"/>
          <w:spacing w:val="6"/>
          <w:sz w:val="26"/>
          <w:szCs w:val="24"/>
        </w:rPr>
        <w:t xml:space="preserve"> la redacción del proyecto constructivo de la pasarela </w:t>
      </w:r>
      <w:r>
        <w:rPr>
          <w:rFonts w:cs="Arial"/>
          <w:spacing w:val="6"/>
          <w:sz w:val="26"/>
          <w:szCs w:val="24"/>
        </w:rPr>
        <w:t xml:space="preserve">y su posterior dirección </w:t>
      </w:r>
      <w:r w:rsidRPr="00A553BC">
        <w:rPr>
          <w:rFonts w:cs="Arial"/>
          <w:spacing w:val="6"/>
          <w:sz w:val="26"/>
          <w:szCs w:val="24"/>
        </w:rPr>
        <w:t xml:space="preserve">por un importe de </w:t>
      </w:r>
      <w:r>
        <w:rPr>
          <w:rFonts w:cs="Arial"/>
          <w:spacing w:val="6"/>
          <w:sz w:val="26"/>
          <w:szCs w:val="24"/>
        </w:rPr>
        <w:t>69.600</w:t>
      </w:r>
      <w:r w:rsidRPr="00A553BC">
        <w:rPr>
          <w:rFonts w:cs="Arial"/>
          <w:spacing w:val="6"/>
          <w:sz w:val="26"/>
          <w:szCs w:val="24"/>
        </w:rPr>
        <w:t xml:space="preserve"> euros</w:t>
      </w:r>
      <w:r>
        <w:rPr>
          <w:rFonts w:cs="Arial"/>
          <w:spacing w:val="6"/>
          <w:sz w:val="26"/>
          <w:szCs w:val="24"/>
        </w:rPr>
        <w:t>.</w:t>
      </w:r>
      <w:r w:rsidRPr="00A553BC">
        <w:rPr>
          <w:rFonts w:cs="Arial"/>
          <w:spacing w:val="6"/>
          <w:sz w:val="26"/>
          <w:szCs w:val="24"/>
        </w:rPr>
        <w:t xml:space="preserve"> </w:t>
      </w:r>
    </w:p>
    <w:p w14:paraId="3EAF5DF0" w14:textId="77777777" w:rsidR="00807992"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A553BC">
        <w:rPr>
          <w:rFonts w:cs="Arial"/>
          <w:spacing w:val="6"/>
          <w:sz w:val="26"/>
          <w:szCs w:val="24"/>
        </w:rPr>
        <w:t xml:space="preserve">Mediante Acuerdo de la Junta de Gobierno Local del 4 de mayo de 2010 </w:t>
      </w:r>
      <w:r>
        <w:rPr>
          <w:rFonts w:cs="Arial"/>
          <w:spacing w:val="6"/>
          <w:sz w:val="26"/>
          <w:szCs w:val="24"/>
        </w:rPr>
        <w:t xml:space="preserve">la obra </w:t>
      </w:r>
      <w:r w:rsidR="006D4233">
        <w:rPr>
          <w:rFonts w:cs="Arial"/>
          <w:spacing w:val="6"/>
          <w:sz w:val="26"/>
          <w:szCs w:val="24"/>
        </w:rPr>
        <w:t>se adjudicó</w:t>
      </w:r>
      <w:r w:rsidRPr="00A553BC">
        <w:rPr>
          <w:rFonts w:cs="Arial"/>
          <w:spacing w:val="6"/>
          <w:sz w:val="26"/>
          <w:szCs w:val="24"/>
        </w:rPr>
        <w:t xml:space="preserve"> </w:t>
      </w:r>
      <w:r>
        <w:rPr>
          <w:rFonts w:cs="Arial"/>
          <w:spacing w:val="6"/>
          <w:sz w:val="26"/>
          <w:szCs w:val="24"/>
        </w:rPr>
        <w:t xml:space="preserve">por un importe de 1.124.383 </w:t>
      </w:r>
      <w:r w:rsidRPr="00A553BC">
        <w:rPr>
          <w:rFonts w:cs="Arial"/>
          <w:spacing w:val="6"/>
          <w:sz w:val="26"/>
          <w:szCs w:val="24"/>
        </w:rPr>
        <w:t xml:space="preserve">euros. </w:t>
      </w:r>
      <w:r w:rsidRPr="008936C1">
        <w:rPr>
          <w:rFonts w:cs="Arial"/>
          <w:spacing w:val="6"/>
          <w:sz w:val="26"/>
          <w:szCs w:val="24"/>
        </w:rPr>
        <w:t>El importe total de los trabajos ejecutados, incluyendo la única modifi</w:t>
      </w:r>
      <w:r>
        <w:rPr>
          <w:rFonts w:cs="Arial"/>
          <w:spacing w:val="6"/>
          <w:sz w:val="26"/>
          <w:szCs w:val="24"/>
        </w:rPr>
        <w:t xml:space="preserve">cación contractual aprobada en </w:t>
      </w:r>
      <w:r w:rsidRPr="008936C1">
        <w:rPr>
          <w:rFonts w:cs="Arial"/>
          <w:spacing w:val="6"/>
          <w:sz w:val="26"/>
          <w:szCs w:val="24"/>
        </w:rPr>
        <w:t xml:space="preserve">diciembre </w:t>
      </w:r>
      <w:r>
        <w:rPr>
          <w:rFonts w:cs="Arial"/>
          <w:spacing w:val="6"/>
          <w:sz w:val="26"/>
          <w:szCs w:val="24"/>
        </w:rPr>
        <w:t xml:space="preserve">de </w:t>
      </w:r>
      <w:r w:rsidRPr="008936C1">
        <w:rPr>
          <w:rFonts w:cs="Arial"/>
          <w:spacing w:val="6"/>
          <w:sz w:val="26"/>
          <w:szCs w:val="24"/>
        </w:rPr>
        <w:t xml:space="preserve">2010 </w:t>
      </w:r>
      <w:r>
        <w:rPr>
          <w:rFonts w:cs="Arial"/>
          <w:spacing w:val="6"/>
          <w:sz w:val="26"/>
          <w:szCs w:val="24"/>
        </w:rPr>
        <w:t>ascendió a 1.203.847 euros</w:t>
      </w:r>
      <w:r w:rsidRPr="008936C1">
        <w:rPr>
          <w:rFonts w:cs="Arial"/>
          <w:spacing w:val="6"/>
          <w:sz w:val="26"/>
          <w:szCs w:val="24"/>
        </w:rPr>
        <w:t xml:space="preserve">. De ellos, </w:t>
      </w:r>
      <w:r>
        <w:rPr>
          <w:rFonts w:cs="Arial"/>
          <w:spacing w:val="6"/>
          <w:sz w:val="26"/>
          <w:szCs w:val="24"/>
        </w:rPr>
        <w:t xml:space="preserve">643.521 </w:t>
      </w:r>
      <w:r w:rsidRPr="008936C1">
        <w:rPr>
          <w:rFonts w:cs="Arial"/>
          <w:spacing w:val="6"/>
          <w:sz w:val="26"/>
          <w:szCs w:val="24"/>
        </w:rPr>
        <w:t xml:space="preserve">correspondían a la ejecución de la pasarela. </w:t>
      </w:r>
    </w:p>
    <w:p w14:paraId="68B39262" w14:textId="77777777" w:rsidR="00807992" w:rsidRPr="00A553BC"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t>El</w:t>
      </w:r>
      <w:r w:rsidRPr="00A553BC">
        <w:rPr>
          <w:rFonts w:cs="Arial"/>
          <w:spacing w:val="6"/>
          <w:sz w:val="26"/>
          <w:szCs w:val="24"/>
        </w:rPr>
        <w:t xml:space="preserve"> 9 febrero 2016 </w:t>
      </w:r>
      <w:r>
        <w:rPr>
          <w:rFonts w:cs="Arial"/>
          <w:spacing w:val="6"/>
          <w:sz w:val="26"/>
          <w:szCs w:val="24"/>
        </w:rPr>
        <w:t xml:space="preserve">la </w:t>
      </w:r>
      <w:r w:rsidRPr="00A553BC">
        <w:rPr>
          <w:rFonts w:cs="Arial"/>
          <w:spacing w:val="6"/>
          <w:sz w:val="26"/>
          <w:szCs w:val="24"/>
        </w:rPr>
        <w:t>Policía Municipal avisó de</w:t>
      </w:r>
      <w:r>
        <w:rPr>
          <w:rFonts w:cs="Arial"/>
          <w:spacing w:val="6"/>
          <w:sz w:val="26"/>
          <w:szCs w:val="24"/>
        </w:rPr>
        <w:t xml:space="preserve"> varios desprendimientos. Tras d</w:t>
      </w:r>
      <w:r w:rsidRPr="00A553BC">
        <w:rPr>
          <w:rFonts w:cs="Arial"/>
          <w:spacing w:val="6"/>
          <w:sz w:val="26"/>
          <w:szCs w:val="24"/>
        </w:rPr>
        <w:t>iversas actuaciones y observaciones en días posteriores, se constató un notable grado de oxidación de las soldaduras de las chapas estructurales.</w:t>
      </w:r>
    </w:p>
    <w:p w14:paraId="4C039D68" w14:textId="77777777" w:rsidR="00807992" w:rsidRPr="00A553BC"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t>El</w:t>
      </w:r>
      <w:r w:rsidRPr="00A553BC">
        <w:rPr>
          <w:rFonts w:cs="Arial"/>
          <w:spacing w:val="6"/>
          <w:sz w:val="26"/>
          <w:szCs w:val="24"/>
        </w:rPr>
        <w:t xml:space="preserve"> 7 marzo 2016 se requirió a la dirección facultativa informe sobre las causas de los desprendimientos y las posibles afecciones a la estructura portante, recibiéndose el 15 abril </w:t>
      </w:r>
      <w:r>
        <w:rPr>
          <w:rFonts w:cs="Arial"/>
          <w:spacing w:val="6"/>
          <w:sz w:val="26"/>
          <w:szCs w:val="24"/>
        </w:rPr>
        <w:t xml:space="preserve">de </w:t>
      </w:r>
      <w:r w:rsidRPr="00A553BC">
        <w:rPr>
          <w:rFonts w:cs="Arial"/>
          <w:spacing w:val="6"/>
          <w:sz w:val="26"/>
          <w:szCs w:val="24"/>
        </w:rPr>
        <w:t xml:space="preserve">2016 tal informe. Paralelamente, el 23 febrero 2016 se solicita a la UTE constructora información respecto de las labores preventivas del servicio </w:t>
      </w:r>
      <w:proofErr w:type="spellStart"/>
      <w:r w:rsidRPr="00A553BC">
        <w:rPr>
          <w:rFonts w:cs="Arial"/>
          <w:spacing w:val="6"/>
          <w:sz w:val="26"/>
          <w:szCs w:val="24"/>
        </w:rPr>
        <w:t>post-construcción</w:t>
      </w:r>
      <w:proofErr w:type="spellEnd"/>
      <w:r w:rsidRPr="00A553BC">
        <w:rPr>
          <w:rFonts w:cs="Arial"/>
          <w:spacing w:val="6"/>
          <w:sz w:val="26"/>
          <w:szCs w:val="24"/>
        </w:rPr>
        <w:t xml:space="preserve">, conforme a su oferta realizada. </w:t>
      </w:r>
      <w:r w:rsidR="006D4233">
        <w:rPr>
          <w:rFonts w:cs="Arial"/>
          <w:spacing w:val="6"/>
          <w:sz w:val="26"/>
          <w:szCs w:val="24"/>
        </w:rPr>
        <w:t>El ayuntamiento a</w:t>
      </w:r>
      <w:r w:rsidRPr="00A553BC">
        <w:rPr>
          <w:rFonts w:cs="Arial"/>
          <w:spacing w:val="6"/>
          <w:sz w:val="26"/>
          <w:szCs w:val="24"/>
        </w:rPr>
        <w:t xml:space="preserve"> </w:t>
      </w:r>
      <w:r w:rsidR="000023DA">
        <w:rPr>
          <w:rFonts w:cs="Arial"/>
          <w:spacing w:val="6"/>
          <w:sz w:val="26"/>
          <w:szCs w:val="24"/>
        </w:rPr>
        <w:t xml:space="preserve">la fecha de </w:t>
      </w:r>
      <w:r w:rsidR="00DF0BDD">
        <w:rPr>
          <w:rFonts w:cs="Arial"/>
          <w:spacing w:val="6"/>
          <w:sz w:val="26"/>
          <w:szCs w:val="24"/>
        </w:rPr>
        <w:t xml:space="preserve">finalización del trabajo de campo </w:t>
      </w:r>
      <w:r w:rsidR="000023DA">
        <w:rPr>
          <w:rFonts w:cs="Arial"/>
          <w:spacing w:val="6"/>
          <w:sz w:val="26"/>
          <w:szCs w:val="24"/>
        </w:rPr>
        <w:t xml:space="preserve">de este </w:t>
      </w:r>
      <w:proofErr w:type="gramStart"/>
      <w:r w:rsidR="000023DA">
        <w:rPr>
          <w:rFonts w:cs="Arial"/>
          <w:spacing w:val="6"/>
          <w:sz w:val="26"/>
          <w:szCs w:val="24"/>
        </w:rPr>
        <w:t>informe,</w:t>
      </w:r>
      <w:proofErr w:type="gramEnd"/>
      <w:r w:rsidR="000023DA">
        <w:rPr>
          <w:rFonts w:cs="Arial"/>
          <w:spacing w:val="6"/>
          <w:sz w:val="26"/>
          <w:szCs w:val="24"/>
        </w:rPr>
        <w:t xml:space="preserve"> </w:t>
      </w:r>
      <w:r w:rsidR="006D4233">
        <w:rPr>
          <w:rFonts w:cs="Arial"/>
          <w:spacing w:val="6"/>
          <w:sz w:val="26"/>
          <w:szCs w:val="24"/>
        </w:rPr>
        <w:t xml:space="preserve">declara que </w:t>
      </w:r>
      <w:r w:rsidR="000023DA">
        <w:rPr>
          <w:rFonts w:cs="Arial"/>
          <w:spacing w:val="6"/>
          <w:sz w:val="26"/>
          <w:szCs w:val="24"/>
        </w:rPr>
        <w:t xml:space="preserve">sigue </w:t>
      </w:r>
      <w:r w:rsidRPr="00A553BC">
        <w:rPr>
          <w:rFonts w:cs="Arial"/>
          <w:spacing w:val="6"/>
          <w:sz w:val="26"/>
          <w:szCs w:val="24"/>
        </w:rPr>
        <w:t xml:space="preserve">sin disponer de </w:t>
      </w:r>
      <w:r w:rsidR="000023DA">
        <w:rPr>
          <w:rFonts w:cs="Arial"/>
          <w:spacing w:val="6"/>
          <w:sz w:val="26"/>
          <w:szCs w:val="24"/>
        </w:rPr>
        <w:t xml:space="preserve">la citada </w:t>
      </w:r>
      <w:r w:rsidRPr="00A553BC">
        <w:rPr>
          <w:rFonts w:cs="Arial"/>
          <w:spacing w:val="6"/>
          <w:sz w:val="26"/>
          <w:szCs w:val="24"/>
        </w:rPr>
        <w:t xml:space="preserve">información. </w:t>
      </w:r>
    </w:p>
    <w:p w14:paraId="41BA7686" w14:textId="77777777" w:rsidR="00807992" w:rsidRPr="00A553BC"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t>Ante</w:t>
      </w:r>
      <w:r w:rsidRPr="00A553BC">
        <w:rPr>
          <w:rFonts w:cs="Arial"/>
          <w:spacing w:val="6"/>
          <w:sz w:val="26"/>
          <w:szCs w:val="24"/>
        </w:rPr>
        <w:t xml:space="preserve"> la falta de un informe detallado el ayuntamiento estim</w:t>
      </w:r>
      <w:r>
        <w:rPr>
          <w:rFonts w:cs="Arial"/>
          <w:spacing w:val="6"/>
          <w:sz w:val="26"/>
          <w:szCs w:val="24"/>
        </w:rPr>
        <w:t>ó</w:t>
      </w:r>
      <w:r w:rsidRPr="00A553BC">
        <w:rPr>
          <w:rFonts w:cs="Arial"/>
          <w:spacing w:val="6"/>
          <w:sz w:val="26"/>
          <w:szCs w:val="24"/>
        </w:rPr>
        <w:t xml:space="preserve"> conveniente disponer de un informe independiente que señalara los motivos del deterioro observado, la realidad del estado de la pasarela, su seguridad y funcionalidad. El 18 de mayo de 2016 se adjudic</w:t>
      </w:r>
      <w:r w:rsidR="006D4233">
        <w:rPr>
          <w:rFonts w:cs="Arial"/>
          <w:spacing w:val="6"/>
          <w:sz w:val="26"/>
          <w:szCs w:val="24"/>
        </w:rPr>
        <w:t>ó</w:t>
      </w:r>
      <w:r w:rsidRPr="00A553BC">
        <w:rPr>
          <w:rFonts w:cs="Arial"/>
          <w:spacing w:val="6"/>
          <w:sz w:val="26"/>
          <w:szCs w:val="24"/>
        </w:rPr>
        <w:t xml:space="preserve"> el in</w:t>
      </w:r>
      <w:r>
        <w:rPr>
          <w:rFonts w:cs="Arial"/>
          <w:spacing w:val="6"/>
          <w:sz w:val="26"/>
          <w:szCs w:val="24"/>
        </w:rPr>
        <w:t>forme y las pruebas de carga po</w:t>
      </w:r>
      <w:r w:rsidRPr="00A553BC">
        <w:rPr>
          <w:rFonts w:cs="Arial"/>
          <w:spacing w:val="6"/>
          <w:sz w:val="26"/>
          <w:szCs w:val="24"/>
        </w:rPr>
        <w:t>r un importe de 27.</w:t>
      </w:r>
      <w:r>
        <w:rPr>
          <w:rFonts w:cs="Arial"/>
          <w:spacing w:val="6"/>
          <w:sz w:val="26"/>
          <w:szCs w:val="24"/>
        </w:rPr>
        <w:t>056 euros.</w:t>
      </w:r>
    </w:p>
    <w:p w14:paraId="2961C10E" w14:textId="77777777" w:rsidR="00807992"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lastRenderedPageBreak/>
        <w:t>El</w:t>
      </w:r>
      <w:r w:rsidRPr="00A553BC">
        <w:rPr>
          <w:rFonts w:cs="Arial"/>
          <w:spacing w:val="6"/>
          <w:sz w:val="26"/>
          <w:szCs w:val="24"/>
        </w:rPr>
        <w:t xml:space="preserve"> 21 de julio de 2016 se recib</w:t>
      </w:r>
      <w:r w:rsidR="006D4233">
        <w:rPr>
          <w:rFonts w:cs="Arial"/>
          <w:spacing w:val="6"/>
          <w:sz w:val="26"/>
          <w:szCs w:val="24"/>
        </w:rPr>
        <w:t>ió</w:t>
      </w:r>
      <w:r w:rsidRPr="00A553BC">
        <w:rPr>
          <w:rFonts w:cs="Arial"/>
          <w:spacing w:val="6"/>
          <w:sz w:val="26"/>
          <w:szCs w:val="24"/>
        </w:rPr>
        <w:t xml:space="preserve"> el informe reflejando la existencia de graves deficiencias en la estructura, achacables tanto al proyecto de diseño como a la ejecución de las obras. No se llegó a efectuar la prueba de carga, ya que ello podía suponer un riesgo para la estabilidad de la estructura.</w:t>
      </w:r>
    </w:p>
    <w:p w14:paraId="26380FC7" w14:textId="77777777" w:rsidR="00807992" w:rsidRDefault="00807992" w:rsidP="00807992">
      <w:pPr>
        <w:pStyle w:val="Sinespaciado"/>
        <w:jc w:val="both"/>
        <w:rPr>
          <w:lang w:val="es-ES_tradnl"/>
        </w:rPr>
      </w:pPr>
    </w:p>
    <w:p w14:paraId="4FC20907" w14:textId="77777777" w:rsidR="00807992" w:rsidRPr="00A553BC" w:rsidRDefault="00807992" w:rsidP="007C4E17">
      <w:pPr>
        <w:ind w:firstLine="0"/>
        <w:rPr>
          <w:b/>
          <w:sz w:val="26"/>
          <w:szCs w:val="26"/>
        </w:rPr>
      </w:pPr>
      <w:r w:rsidRPr="00A553BC">
        <w:rPr>
          <w:b/>
          <w:sz w:val="26"/>
          <w:szCs w:val="26"/>
        </w:rPr>
        <w:t>7.1.2. Procedimiento para determinar la responsabilidad de los distintos intervinientes en el proceso constructivo</w:t>
      </w:r>
    </w:p>
    <w:p w14:paraId="61E1332C" w14:textId="77777777" w:rsidR="00807992" w:rsidRDefault="00807992" w:rsidP="00807992">
      <w:pPr>
        <w:pStyle w:val="Sinespaciado"/>
        <w:jc w:val="both"/>
        <w:rPr>
          <w:b/>
          <w:lang w:val="es-ES_tradnl"/>
        </w:rPr>
      </w:pPr>
    </w:p>
    <w:p w14:paraId="177512D4" w14:textId="77777777" w:rsidR="00807992" w:rsidRPr="00D865AA"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t>Mediante</w:t>
      </w:r>
      <w:r w:rsidRPr="00D865AA">
        <w:rPr>
          <w:rFonts w:cs="Arial"/>
          <w:spacing w:val="6"/>
          <w:sz w:val="26"/>
          <w:szCs w:val="24"/>
        </w:rPr>
        <w:t xml:space="preserve"> Acuerdo de la Junta de Gobierno Local del 30 septiembre 2016, y como consecuencia de lo descrito, se incoó un primer procedimiento </w:t>
      </w:r>
      <w:r>
        <w:rPr>
          <w:rFonts w:cs="Arial"/>
          <w:spacing w:val="6"/>
          <w:sz w:val="26"/>
          <w:szCs w:val="24"/>
        </w:rPr>
        <w:t xml:space="preserve">para </w:t>
      </w:r>
      <w:r w:rsidRPr="00D865AA">
        <w:rPr>
          <w:rFonts w:cs="Arial"/>
          <w:spacing w:val="6"/>
          <w:sz w:val="26"/>
          <w:szCs w:val="24"/>
        </w:rPr>
        <w:t xml:space="preserve">determinar la responsabilidad de los distintos intervinientes en el proceso constructivo. El expediente </w:t>
      </w:r>
      <w:r>
        <w:rPr>
          <w:rFonts w:cs="Arial"/>
          <w:spacing w:val="6"/>
          <w:sz w:val="26"/>
          <w:szCs w:val="24"/>
        </w:rPr>
        <w:t xml:space="preserve">caducó </w:t>
      </w:r>
      <w:r w:rsidRPr="00D865AA">
        <w:rPr>
          <w:rFonts w:cs="Arial"/>
          <w:spacing w:val="6"/>
          <w:sz w:val="26"/>
          <w:szCs w:val="24"/>
        </w:rPr>
        <w:t xml:space="preserve">sin concluir con resolución expresa. </w:t>
      </w:r>
    </w:p>
    <w:p w14:paraId="015FFB74" w14:textId="77777777" w:rsidR="00807992"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t>Mediante</w:t>
      </w:r>
      <w:r w:rsidRPr="00D865AA">
        <w:rPr>
          <w:rFonts w:cs="Arial"/>
          <w:spacing w:val="6"/>
          <w:sz w:val="26"/>
          <w:szCs w:val="24"/>
        </w:rPr>
        <w:t xml:space="preserve"> Acuerdo de la Junta de Gobierno Local de 30 mayo 2017 se aprobó la apertura de un nuevo procedimiento para determinar la responsabilidad de los defectos de la pasarela, al que se incorporó la documentación hasta entonces elaborada. </w:t>
      </w:r>
      <w:r>
        <w:rPr>
          <w:rFonts w:cs="Arial"/>
          <w:spacing w:val="6"/>
          <w:sz w:val="26"/>
          <w:szCs w:val="24"/>
        </w:rPr>
        <w:t>La dirección de obra</w:t>
      </w:r>
      <w:r w:rsidRPr="00D865AA">
        <w:rPr>
          <w:rFonts w:cs="Arial"/>
          <w:spacing w:val="6"/>
          <w:sz w:val="26"/>
          <w:szCs w:val="24"/>
        </w:rPr>
        <w:t>, en sus alegaciones frente al anterior Acuerdo, solicitó la confección de un informe dirimente sobre la estabilidad estructural y la capacidad portante de la pasarela. El ayuntamiento acept</w:t>
      </w:r>
      <w:r>
        <w:rPr>
          <w:rFonts w:cs="Arial"/>
          <w:spacing w:val="6"/>
          <w:sz w:val="26"/>
          <w:szCs w:val="24"/>
        </w:rPr>
        <w:t>ó</w:t>
      </w:r>
      <w:r w:rsidRPr="00D865AA">
        <w:rPr>
          <w:rFonts w:cs="Arial"/>
          <w:spacing w:val="6"/>
          <w:sz w:val="26"/>
          <w:szCs w:val="24"/>
        </w:rPr>
        <w:t xml:space="preserve"> tal solicitud y suspend</w:t>
      </w:r>
      <w:r>
        <w:rPr>
          <w:rFonts w:cs="Arial"/>
          <w:spacing w:val="6"/>
          <w:sz w:val="26"/>
          <w:szCs w:val="24"/>
        </w:rPr>
        <w:t>ió</w:t>
      </w:r>
      <w:r w:rsidRPr="00D865AA">
        <w:rPr>
          <w:rFonts w:cs="Arial"/>
          <w:spacing w:val="6"/>
          <w:sz w:val="26"/>
          <w:szCs w:val="24"/>
        </w:rPr>
        <w:t xml:space="preserve"> el procedimiento durante el tiempo necesario para la confección de</w:t>
      </w:r>
      <w:r>
        <w:rPr>
          <w:rFonts w:cs="Arial"/>
          <w:spacing w:val="6"/>
          <w:sz w:val="26"/>
          <w:szCs w:val="24"/>
        </w:rPr>
        <w:t xml:space="preserve"> un </w:t>
      </w:r>
      <w:r w:rsidRPr="00D865AA">
        <w:rPr>
          <w:rFonts w:cs="Arial"/>
          <w:spacing w:val="6"/>
          <w:sz w:val="26"/>
          <w:szCs w:val="24"/>
        </w:rPr>
        <w:t xml:space="preserve">informe </w:t>
      </w:r>
      <w:r>
        <w:rPr>
          <w:rFonts w:cs="Arial"/>
          <w:spacing w:val="6"/>
          <w:sz w:val="26"/>
          <w:szCs w:val="24"/>
        </w:rPr>
        <w:t xml:space="preserve">que </w:t>
      </w:r>
      <w:r w:rsidR="006D4233">
        <w:rPr>
          <w:rFonts w:cs="Arial"/>
          <w:spacing w:val="6"/>
          <w:sz w:val="26"/>
          <w:szCs w:val="24"/>
        </w:rPr>
        <w:t>encargó</w:t>
      </w:r>
      <w:r w:rsidRPr="00D865AA">
        <w:rPr>
          <w:rFonts w:cs="Arial"/>
          <w:spacing w:val="6"/>
          <w:sz w:val="26"/>
          <w:szCs w:val="24"/>
        </w:rPr>
        <w:t xml:space="preserve"> </w:t>
      </w:r>
      <w:r>
        <w:rPr>
          <w:rFonts w:cs="Arial"/>
          <w:spacing w:val="6"/>
          <w:sz w:val="26"/>
          <w:szCs w:val="24"/>
        </w:rPr>
        <w:t xml:space="preserve">una empresa de ingeniería civil. </w:t>
      </w:r>
    </w:p>
    <w:p w14:paraId="5A3E399A" w14:textId="77777777" w:rsidR="00807992" w:rsidRPr="00D865AA" w:rsidRDefault="00807992" w:rsidP="00807992">
      <w:pPr>
        <w:tabs>
          <w:tab w:val="left" w:pos="142"/>
          <w:tab w:val="center" w:pos="2835"/>
          <w:tab w:val="center" w:pos="3969"/>
          <w:tab w:val="center" w:pos="5103"/>
          <w:tab w:val="center" w:pos="6237"/>
          <w:tab w:val="center" w:pos="7371"/>
        </w:tabs>
        <w:spacing w:before="120" w:after="240"/>
        <w:ind w:firstLine="284"/>
        <w:rPr>
          <w:spacing w:val="6"/>
          <w:sz w:val="26"/>
          <w:szCs w:val="26"/>
          <w:lang w:val="es-ES" w:eastAsia="es-ES"/>
        </w:rPr>
      </w:pPr>
      <w:r w:rsidRPr="00D865AA">
        <w:rPr>
          <w:spacing w:val="6"/>
          <w:sz w:val="26"/>
          <w:szCs w:val="26"/>
          <w:lang w:val="es-ES" w:eastAsia="es-ES"/>
        </w:rPr>
        <w:t>Entre otr</w:t>
      </w:r>
      <w:r>
        <w:rPr>
          <w:spacing w:val="6"/>
          <w:sz w:val="26"/>
          <w:szCs w:val="26"/>
          <w:lang w:val="es-ES" w:eastAsia="es-ES"/>
        </w:rPr>
        <w:t>as cuestiones, esta empresa ent</w:t>
      </w:r>
      <w:r w:rsidRPr="00D865AA">
        <w:rPr>
          <w:spacing w:val="6"/>
          <w:sz w:val="26"/>
          <w:szCs w:val="26"/>
          <w:lang w:val="es-ES" w:eastAsia="es-ES"/>
        </w:rPr>
        <w:t>end</w:t>
      </w:r>
      <w:r>
        <w:rPr>
          <w:spacing w:val="6"/>
          <w:sz w:val="26"/>
          <w:szCs w:val="26"/>
          <w:lang w:val="es-ES" w:eastAsia="es-ES"/>
        </w:rPr>
        <w:t>ió que la pasarela no permitía</w:t>
      </w:r>
      <w:r w:rsidRPr="00D865AA">
        <w:rPr>
          <w:spacing w:val="6"/>
          <w:sz w:val="26"/>
          <w:szCs w:val="26"/>
          <w:lang w:val="es-ES" w:eastAsia="es-ES"/>
        </w:rPr>
        <w:t xml:space="preserve"> garantizar los niveles de seguridad y funcionalidad exigibles de acuerdo con el marco reglamentario y normativo vigente</w:t>
      </w:r>
      <w:r w:rsidR="00047EBC">
        <w:rPr>
          <w:spacing w:val="6"/>
          <w:sz w:val="26"/>
          <w:szCs w:val="26"/>
          <w:lang w:val="es-ES" w:eastAsia="es-ES"/>
        </w:rPr>
        <w:t>.</w:t>
      </w:r>
      <w:r>
        <w:rPr>
          <w:spacing w:val="6"/>
          <w:sz w:val="26"/>
          <w:szCs w:val="26"/>
          <w:lang w:val="es-ES" w:eastAsia="es-ES"/>
        </w:rPr>
        <w:t xml:space="preserve"> </w:t>
      </w:r>
      <w:r w:rsidR="00047EBC">
        <w:rPr>
          <w:spacing w:val="6"/>
          <w:sz w:val="26"/>
          <w:szCs w:val="26"/>
          <w:lang w:val="es-ES" w:eastAsia="es-ES"/>
        </w:rPr>
        <w:t>C</w:t>
      </w:r>
      <w:r>
        <w:rPr>
          <w:spacing w:val="6"/>
          <w:sz w:val="26"/>
          <w:szCs w:val="26"/>
          <w:lang w:val="es-ES" w:eastAsia="es-ES"/>
        </w:rPr>
        <w:t>oncluyó que no era</w:t>
      </w:r>
      <w:r w:rsidRPr="00D865AA">
        <w:rPr>
          <w:spacing w:val="6"/>
          <w:sz w:val="26"/>
          <w:szCs w:val="26"/>
          <w:lang w:val="es-ES" w:eastAsia="es-ES"/>
        </w:rPr>
        <w:t xml:space="preserve"> viable técnica ni económicamente </w:t>
      </w:r>
      <w:r>
        <w:rPr>
          <w:spacing w:val="6"/>
          <w:sz w:val="26"/>
          <w:szCs w:val="26"/>
          <w:lang w:val="es-ES" w:eastAsia="es-ES"/>
        </w:rPr>
        <w:t>su reparación, por lo que propuso</w:t>
      </w:r>
      <w:r w:rsidRPr="00D865AA">
        <w:rPr>
          <w:spacing w:val="6"/>
          <w:sz w:val="26"/>
          <w:szCs w:val="26"/>
          <w:lang w:val="es-ES" w:eastAsia="es-ES"/>
        </w:rPr>
        <w:t xml:space="preserve"> su pronta retirada y plantear un nuevo diseño. </w:t>
      </w:r>
    </w:p>
    <w:p w14:paraId="2034A616" w14:textId="77777777" w:rsidR="00807992" w:rsidRDefault="00807992" w:rsidP="00807992">
      <w:pPr>
        <w:tabs>
          <w:tab w:val="left" w:pos="142"/>
          <w:tab w:val="center" w:pos="2835"/>
          <w:tab w:val="center" w:pos="3969"/>
          <w:tab w:val="center" w:pos="5103"/>
          <w:tab w:val="center" w:pos="6237"/>
          <w:tab w:val="center" w:pos="7371"/>
        </w:tabs>
        <w:spacing w:before="120" w:after="240"/>
        <w:ind w:firstLine="284"/>
        <w:rPr>
          <w:spacing w:val="6"/>
          <w:sz w:val="26"/>
          <w:szCs w:val="26"/>
          <w:lang w:val="es-ES" w:eastAsia="es-ES"/>
        </w:rPr>
      </w:pPr>
      <w:r w:rsidRPr="00EF0E25">
        <w:rPr>
          <w:spacing w:val="6"/>
          <w:sz w:val="26"/>
          <w:szCs w:val="26"/>
          <w:lang w:val="es-ES" w:eastAsia="es-ES"/>
        </w:rPr>
        <w:t>A continuación</w:t>
      </w:r>
      <w:r w:rsidR="006D4233">
        <w:rPr>
          <w:spacing w:val="6"/>
          <w:sz w:val="26"/>
          <w:szCs w:val="26"/>
          <w:lang w:val="es-ES" w:eastAsia="es-ES"/>
        </w:rPr>
        <w:t>, se reanudó</w:t>
      </w:r>
      <w:r w:rsidRPr="00EF0E25">
        <w:rPr>
          <w:spacing w:val="6"/>
          <w:sz w:val="26"/>
          <w:szCs w:val="26"/>
          <w:lang w:val="es-ES" w:eastAsia="es-ES"/>
        </w:rPr>
        <w:t xml:space="preserve"> el expediente de exigencia de responsabilidad </w:t>
      </w:r>
      <w:r w:rsidR="006D4233">
        <w:rPr>
          <w:spacing w:val="6"/>
          <w:sz w:val="26"/>
          <w:szCs w:val="26"/>
          <w:lang w:val="es-ES" w:eastAsia="es-ES"/>
        </w:rPr>
        <w:t>y los técnicos municipales emitieron</w:t>
      </w:r>
      <w:r w:rsidRPr="00EF0E25">
        <w:rPr>
          <w:spacing w:val="6"/>
          <w:sz w:val="26"/>
          <w:szCs w:val="26"/>
          <w:lang w:val="es-ES" w:eastAsia="es-ES"/>
        </w:rPr>
        <w:t xml:space="preserve"> informes siguiendo la línea del informe de la empresa de ingeniería citado anteriormente. </w:t>
      </w:r>
    </w:p>
    <w:p w14:paraId="1ED45078" w14:textId="77777777" w:rsidR="00807992" w:rsidRPr="00D865AA" w:rsidRDefault="006D4233" w:rsidP="00807992">
      <w:pPr>
        <w:tabs>
          <w:tab w:val="left" w:pos="142"/>
          <w:tab w:val="center" w:pos="2835"/>
          <w:tab w:val="center" w:pos="3969"/>
          <w:tab w:val="center" w:pos="5103"/>
          <w:tab w:val="center" w:pos="6237"/>
          <w:tab w:val="center" w:pos="7371"/>
        </w:tabs>
        <w:spacing w:before="120" w:after="240"/>
        <w:ind w:firstLine="284"/>
        <w:rPr>
          <w:spacing w:val="6"/>
          <w:sz w:val="26"/>
          <w:szCs w:val="26"/>
          <w:lang w:val="es-ES" w:eastAsia="es-ES"/>
        </w:rPr>
      </w:pPr>
      <w:r>
        <w:rPr>
          <w:spacing w:val="6"/>
          <w:sz w:val="26"/>
          <w:szCs w:val="26"/>
          <w:lang w:val="es-ES" w:eastAsia="es-ES"/>
        </w:rPr>
        <w:t>El expediente finalizó</w:t>
      </w:r>
      <w:r w:rsidR="00807992" w:rsidRPr="00A5335E">
        <w:rPr>
          <w:spacing w:val="6"/>
          <w:sz w:val="26"/>
          <w:szCs w:val="26"/>
          <w:lang w:val="es-ES" w:eastAsia="es-ES"/>
        </w:rPr>
        <w:t xml:space="preserve"> mediante Acuerdo de 30 de abril de 2019 declarando la </w:t>
      </w:r>
      <w:r w:rsidR="00807992" w:rsidRPr="00D865AA">
        <w:rPr>
          <w:spacing w:val="6"/>
          <w:sz w:val="26"/>
          <w:szCs w:val="26"/>
          <w:lang w:val="es-ES" w:eastAsia="es-ES"/>
        </w:rPr>
        <w:t>responsabilidad solidaria de todos los partícipes y cua</w:t>
      </w:r>
      <w:r w:rsidR="00807992">
        <w:rPr>
          <w:spacing w:val="6"/>
          <w:sz w:val="26"/>
          <w:szCs w:val="26"/>
          <w:lang w:val="es-ES" w:eastAsia="es-ES"/>
        </w:rPr>
        <w:t>ntific</w:t>
      </w:r>
      <w:r>
        <w:rPr>
          <w:spacing w:val="6"/>
          <w:sz w:val="26"/>
          <w:szCs w:val="26"/>
          <w:lang w:val="es-ES" w:eastAsia="es-ES"/>
        </w:rPr>
        <w:t>ó</w:t>
      </w:r>
      <w:r w:rsidR="00807992">
        <w:rPr>
          <w:spacing w:val="6"/>
          <w:sz w:val="26"/>
          <w:szCs w:val="26"/>
          <w:lang w:val="es-ES" w:eastAsia="es-ES"/>
        </w:rPr>
        <w:t xml:space="preserve"> los daños en 794.769 euros </w:t>
      </w:r>
      <w:r w:rsidR="00807992" w:rsidRPr="00D865AA">
        <w:rPr>
          <w:spacing w:val="6"/>
          <w:sz w:val="26"/>
          <w:szCs w:val="26"/>
          <w:lang w:val="es-ES" w:eastAsia="es-ES"/>
        </w:rPr>
        <w:t>más los gastos que el Ayuntamiento debiera abonar en un futuro como consecuencia de los vicios constructivos.</w:t>
      </w:r>
    </w:p>
    <w:p w14:paraId="521FC117" w14:textId="77777777" w:rsidR="00807992" w:rsidRPr="00A5335E"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t>El</w:t>
      </w:r>
      <w:r w:rsidRPr="00D865AA">
        <w:rPr>
          <w:rFonts w:cs="Arial"/>
          <w:spacing w:val="6"/>
          <w:sz w:val="26"/>
          <w:szCs w:val="24"/>
        </w:rPr>
        <w:t xml:space="preserve"> 12 marzo </w:t>
      </w:r>
      <w:r w:rsidR="006D4233">
        <w:rPr>
          <w:rFonts w:cs="Arial"/>
          <w:spacing w:val="6"/>
          <w:sz w:val="26"/>
          <w:szCs w:val="24"/>
        </w:rPr>
        <w:t xml:space="preserve">de </w:t>
      </w:r>
      <w:r w:rsidRPr="00D865AA">
        <w:rPr>
          <w:rFonts w:cs="Arial"/>
          <w:spacing w:val="6"/>
          <w:sz w:val="26"/>
          <w:szCs w:val="24"/>
        </w:rPr>
        <w:t>2019</w:t>
      </w:r>
      <w:r w:rsidR="00047EBC">
        <w:rPr>
          <w:rFonts w:cs="Arial"/>
          <w:spacing w:val="6"/>
          <w:sz w:val="26"/>
          <w:szCs w:val="24"/>
        </w:rPr>
        <w:t>,</w:t>
      </w:r>
      <w:r w:rsidRPr="00D865AA">
        <w:rPr>
          <w:rFonts w:cs="Arial"/>
          <w:spacing w:val="6"/>
          <w:sz w:val="26"/>
          <w:szCs w:val="24"/>
        </w:rPr>
        <w:t xml:space="preserve"> la</w:t>
      </w:r>
      <w:r>
        <w:rPr>
          <w:rFonts w:cs="Arial"/>
          <w:spacing w:val="6"/>
          <w:sz w:val="26"/>
          <w:szCs w:val="24"/>
        </w:rPr>
        <w:t xml:space="preserve"> compañía </w:t>
      </w:r>
      <w:r w:rsidRPr="00D865AA">
        <w:rPr>
          <w:rFonts w:cs="Arial"/>
          <w:spacing w:val="6"/>
          <w:sz w:val="26"/>
          <w:szCs w:val="24"/>
        </w:rPr>
        <w:t xml:space="preserve">aseguradora de los proyectistas solicitó la realización de una prueba de carga, siendo </w:t>
      </w:r>
      <w:r w:rsidRPr="00A5335E">
        <w:rPr>
          <w:rFonts w:cs="Arial"/>
          <w:spacing w:val="6"/>
          <w:sz w:val="26"/>
          <w:szCs w:val="24"/>
        </w:rPr>
        <w:t>desestimada mediante Acuerdo de Junta de Gobierno Local de 2 abril 2019</w:t>
      </w:r>
      <w:r w:rsidRPr="001C7583">
        <w:rPr>
          <w:rFonts w:cs="Arial"/>
          <w:color w:val="FF0000"/>
          <w:spacing w:val="6"/>
          <w:sz w:val="26"/>
          <w:szCs w:val="24"/>
        </w:rPr>
        <w:t>.</w:t>
      </w:r>
      <w:r>
        <w:rPr>
          <w:rFonts w:cs="Arial"/>
          <w:spacing w:val="6"/>
          <w:sz w:val="26"/>
          <w:szCs w:val="24"/>
        </w:rPr>
        <w:t xml:space="preserve"> Contra este acuerdo, la compañía recurrió la decisión de denegar la </w:t>
      </w:r>
      <w:r w:rsidRPr="00D865AA">
        <w:rPr>
          <w:rFonts w:cs="Arial"/>
          <w:spacing w:val="6"/>
          <w:sz w:val="26"/>
          <w:szCs w:val="24"/>
        </w:rPr>
        <w:t xml:space="preserve">prueba de carga y el Tribunal Administrativo de Navarra </w:t>
      </w:r>
      <w:r>
        <w:rPr>
          <w:rFonts w:cs="Arial"/>
          <w:spacing w:val="6"/>
          <w:sz w:val="26"/>
          <w:szCs w:val="24"/>
        </w:rPr>
        <w:t>admitió sus pretensiones y anuló el 7 de septiembre de 2020, los Acuerdos de 2 y 30 de abril de 2019</w:t>
      </w:r>
      <w:bookmarkStart w:id="173" w:name="TMB1326286597"/>
      <w:bookmarkEnd w:id="173"/>
      <w:r>
        <w:rPr>
          <w:rFonts w:cs="Arial"/>
          <w:spacing w:val="6"/>
          <w:sz w:val="26"/>
          <w:szCs w:val="24"/>
        </w:rPr>
        <w:t xml:space="preserve"> citados anteriormente.</w:t>
      </w:r>
    </w:p>
    <w:p w14:paraId="273F83B9" w14:textId="77777777" w:rsidR="00807992" w:rsidRPr="000D1CBA"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lastRenderedPageBreak/>
        <w:t>Mediante</w:t>
      </w:r>
      <w:r w:rsidRPr="000D1CBA">
        <w:rPr>
          <w:rFonts w:cs="Arial"/>
          <w:spacing w:val="6"/>
          <w:sz w:val="26"/>
          <w:szCs w:val="24"/>
        </w:rPr>
        <w:t xml:space="preserve"> Acuerdo </w:t>
      </w:r>
      <w:r>
        <w:rPr>
          <w:rFonts w:cs="Arial"/>
          <w:spacing w:val="6"/>
          <w:sz w:val="26"/>
          <w:szCs w:val="24"/>
        </w:rPr>
        <w:t xml:space="preserve">de la Junta de Gobierno Local, el </w:t>
      </w:r>
      <w:r w:rsidRPr="000D1CBA">
        <w:rPr>
          <w:rFonts w:cs="Arial"/>
          <w:spacing w:val="6"/>
          <w:sz w:val="26"/>
          <w:szCs w:val="24"/>
        </w:rPr>
        <w:t xml:space="preserve">4 </w:t>
      </w:r>
      <w:r>
        <w:rPr>
          <w:rFonts w:cs="Arial"/>
          <w:spacing w:val="6"/>
          <w:sz w:val="26"/>
          <w:szCs w:val="24"/>
        </w:rPr>
        <w:t xml:space="preserve">de </w:t>
      </w:r>
      <w:r w:rsidRPr="000D1CBA">
        <w:rPr>
          <w:rFonts w:cs="Arial"/>
          <w:spacing w:val="6"/>
          <w:sz w:val="26"/>
          <w:szCs w:val="24"/>
        </w:rPr>
        <w:t xml:space="preserve">noviembre </w:t>
      </w:r>
      <w:r>
        <w:rPr>
          <w:rFonts w:cs="Arial"/>
          <w:spacing w:val="6"/>
          <w:sz w:val="26"/>
          <w:szCs w:val="24"/>
        </w:rPr>
        <w:t xml:space="preserve">de </w:t>
      </w:r>
      <w:r w:rsidRPr="000D1CBA">
        <w:rPr>
          <w:rFonts w:cs="Arial"/>
          <w:spacing w:val="6"/>
          <w:sz w:val="26"/>
          <w:szCs w:val="24"/>
        </w:rPr>
        <w:t>2019</w:t>
      </w:r>
      <w:r>
        <w:rPr>
          <w:rFonts w:cs="Arial"/>
          <w:spacing w:val="6"/>
          <w:sz w:val="26"/>
          <w:szCs w:val="24"/>
        </w:rPr>
        <w:t xml:space="preserve"> se adjudicó</w:t>
      </w:r>
      <w:r w:rsidRPr="000D1CBA">
        <w:rPr>
          <w:rFonts w:cs="Arial"/>
          <w:spacing w:val="6"/>
          <w:sz w:val="26"/>
          <w:szCs w:val="24"/>
        </w:rPr>
        <w:t xml:space="preserve"> al Colegio Oficial de Ingenieros de Caminos, Canales y Puertos</w:t>
      </w:r>
      <w:r w:rsidR="00BF48C6">
        <w:rPr>
          <w:rStyle w:val="Refdenotaalpie"/>
          <w:spacing w:val="6"/>
          <w:sz w:val="26"/>
          <w:szCs w:val="24"/>
        </w:rPr>
        <w:footnoteReference w:id="13"/>
      </w:r>
      <w:r w:rsidR="00BF48C6">
        <w:rPr>
          <w:rFonts w:cs="Arial"/>
          <w:spacing w:val="6"/>
          <w:sz w:val="26"/>
          <w:szCs w:val="24"/>
        </w:rPr>
        <w:t xml:space="preserve"> </w:t>
      </w:r>
      <w:r w:rsidRPr="000D1CBA">
        <w:rPr>
          <w:rFonts w:cs="Arial"/>
          <w:spacing w:val="6"/>
          <w:sz w:val="26"/>
          <w:szCs w:val="24"/>
        </w:rPr>
        <w:t xml:space="preserve"> </w:t>
      </w:r>
      <w:r w:rsidR="00BF48C6">
        <w:rPr>
          <w:rFonts w:cs="Arial"/>
          <w:spacing w:val="6"/>
          <w:sz w:val="26"/>
          <w:szCs w:val="24"/>
        </w:rPr>
        <w:t xml:space="preserve">(en adelante COICCP) </w:t>
      </w:r>
      <w:r w:rsidRPr="000D1CBA">
        <w:rPr>
          <w:rFonts w:cs="Arial"/>
          <w:spacing w:val="6"/>
          <w:sz w:val="26"/>
          <w:szCs w:val="24"/>
        </w:rPr>
        <w:t xml:space="preserve">la realización de “Ensayos sobre la estructura de la Pasarela de Labrit” y el informe correspondiente, al objeto de determinar </w:t>
      </w:r>
      <w:r>
        <w:rPr>
          <w:rFonts w:cs="Arial"/>
          <w:spacing w:val="6"/>
          <w:sz w:val="26"/>
          <w:szCs w:val="24"/>
        </w:rPr>
        <w:t xml:space="preserve">las causas de la problemática </w:t>
      </w:r>
      <w:r w:rsidRPr="000D1CBA">
        <w:rPr>
          <w:rFonts w:cs="Arial"/>
          <w:spacing w:val="6"/>
          <w:sz w:val="26"/>
          <w:szCs w:val="24"/>
        </w:rPr>
        <w:t>y la atribución de responsabilidades entre los agentes intervinientes en la materialización de la pasarela.</w:t>
      </w:r>
    </w:p>
    <w:p w14:paraId="4AAD070E" w14:textId="77777777" w:rsidR="00807992" w:rsidRPr="00497D9E" w:rsidRDefault="00807992" w:rsidP="00BC7A19">
      <w:pPr>
        <w:tabs>
          <w:tab w:val="left" w:pos="142"/>
          <w:tab w:val="center" w:pos="2835"/>
          <w:tab w:val="center" w:pos="3969"/>
          <w:tab w:val="center" w:pos="5103"/>
          <w:tab w:val="center" w:pos="6237"/>
          <w:tab w:val="center" w:pos="7371"/>
        </w:tabs>
        <w:spacing w:before="120" w:after="240"/>
        <w:ind w:firstLine="284"/>
        <w:rPr>
          <w:i/>
        </w:rPr>
      </w:pPr>
      <w:r w:rsidRPr="000D1CBA">
        <w:rPr>
          <w:rFonts w:cs="Arial"/>
          <w:spacing w:val="6"/>
          <w:sz w:val="26"/>
          <w:szCs w:val="24"/>
        </w:rPr>
        <w:t xml:space="preserve">El inicial reparto de responsabilidades determinado por el </w:t>
      </w:r>
      <w:r>
        <w:rPr>
          <w:rFonts w:cs="Arial"/>
          <w:spacing w:val="6"/>
          <w:sz w:val="26"/>
          <w:szCs w:val="24"/>
        </w:rPr>
        <w:t xml:space="preserve">citado </w:t>
      </w:r>
      <w:r w:rsidRPr="000D1CBA">
        <w:rPr>
          <w:rFonts w:cs="Arial"/>
          <w:spacing w:val="6"/>
          <w:sz w:val="26"/>
          <w:szCs w:val="24"/>
        </w:rPr>
        <w:t xml:space="preserve">colegio fue asumido por tres de los </w:t>
      </w:r>
      <w:r>
        <w:rPr>
          <w:rFonts w:cs="Arial"/>
          <w:spacing w:val="6"/>
          <w:sz w:val="26"/>
          <w:szCs w:val="24"/>
        </w:rPr>
        <w:t xml:space="preserve">cuatro </w:t>
      </w:r>
      <w:r w:rsidRPr="000D1CBA">
        <w:rPr>
          <w:rFonts w:cs="Arial"/>
          <w:spacing w:val="6"/>
          <w:sz w:val="26"/>
          <w:szCs w:val="24"/>
        </w:rPr>
        <w:t>redactores del proyecto asegurados todos por la misma compañía aseguradora. Los tres asegurados consignaron e</w:t>
      </w:r>
      <w:r>
        <w:rPr>
          <w:rFonts w:cs="Arial"/>
          <w:spacing w:val="6"/>
          <w:sz w:val="26"/>
          <w:szCs w:val="24"/>
        </w:rPr>
        <w:t xml:space="preserve">n conjunto 140.800 euros </w:t>
      </w:r>
      <w:r w:rsidRPr="000D1CBA">
        <w:rPr>
          <w:rFonts w:cs="Arial"/>
          <w:spacing w:val="6"/>
          <w:sz w:val="26"/>
          <w:szCs w:val="24"/>
        </w:rPr>
        <w:t>para responder de las responsabilidades que les son atribuidas por las deficiencias de la pasar</w:t>
      </w:r>
      <w:r>
        <w:rPr>
          <w:rFonts w:cs="Arial"/>
          <w:spacing w:val="6"/>
          <w:sz w:val="26"/>
          <w:szCs w:val="24"/>
        </w:rPr>
        <w:t xml:space="preserve">ela, </w:t>
      </w:r>
      <w:r w:rsidRPr="000D1CBA">
        <w:rPr>
          <w:rFonts w:cs="Arial"/>
          <w:spacing w:val="6"/>
          <w:sz w:val="26"/>
          <w:szCs w:val="24"/>
        </w:rPr>
        <w:t xml:space="preserve">en cuanto redactores de su proyecto. </w:t>
      </w:r>
    </w:p>
    <w:p w14:paraId="6AF47C6D" w14:textId="77777777" w:rsidR="00807992" w:rsidRDefault="00807992" w:rsidP="00BC7A19">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sidRPr="000D1CBA">
        <w:rPr>
          <w:rFonts w:cs="Arial"/>
          <w:spacing w:val="6"/>
          <w:sz w:val="26"/>
          <w:szCs w:val="24"/>
        </w:rPr>
        <w:t xml:space="preserve">Mediante acuerdo de </w:t>
      </w:r>
      <w:r>
        <w:rPr>
          <w:rFonts w:cs="Arial"/>
          <w:spacing w:val="6"/>
          <w:sz w:val="26"/>
          <w:szCs w:val="24"/>
        </w:rPr>
        <w:t>la Junta de Gobierno Local</w:t>
      </w:r>
      <w:r w:rsidRPr="000D1CBA">
        <w:rPr>
          <w:rFonts w:cs="Arial"/>
          <w:spacing w:val="6"/>
          <w:sz w:val="26"/>
          <w:szCs w:val="24"/>
        </w:rPr>
        <w:t xml:space="preserve"> del 23 de febrero de 2021 el ayuntamiento en síntesis acepta la consignación, pero le parece insuficiente porque entiende que en cuanto directores de obra también les son atribuidas responsabilidades por las deficiencias de la pasar</w:t>
      </w:r>
      <w:r>
        <w:rPr>
          <w:rFonts w:cs="Arial"/>
          <w:spacing w:val="6"/>
          <w:sz w:val="26"/>
          <w:szCs w:val="24"/>
        </w:rPr>
        <w:t>e</w:t>
      </w:r>
      <w:r w:rsidRPr="000D1CBA">
        <w:rPr>
          <w:rFonts w:cs="Arial"/>
          <w:spacing w:val="6"/>
          <w:sz w:val="26"/>
          <w:szCs w:val="24"/>
        </w:rPr>
        <w:t xml:space="preserve">la, que no han sido objeto de consignación. Trasladan hasta el momento de conocer el coste de la reparación la regularización última de las responsabilidades. </w:t>
      </w:r>
    </w:p>
    <w:p w14:paraId="4056415B" w14:textId="77777777" w:rsidR="00807992" w:rsidRPr="000D1CBA"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t>La</w:t>
      </w:r>
      <w:r>
        <w:rPr>
          <w:rFonts w:cs="Arial"/>
          <w:spacing w:val="6"/>
          <w:sz w:val="26"/>
          <w:szCs w:val="24"/>
        </w:rPr>
        <w:t xml:space="preserve"> Junta de Gobierno Local adopta un </w:t>
      </w:r>
      <w:r w:rsidRPr="000D1CBA">
        <w:rPr>
          <w:rFonts w:cs="Arial"/>
          <w:spacing w:val="6"/>
          <w:sz w:val="26"/>
          <w:szCs w:val="24"/>
        </w:rPr>
        <w:t xml:space="preserve">Acuerdo </w:t>
      </w:r>
      <w:r>
        <w:rPr>
          <w:rFonts w:cs="Arial"/>
          <w:spacing w:val="6"/>
          <w:sz w:val="26"/>
          <w:szCs w:val="24"/>
        </w:rPr>
        <w:t xml:space="preserve">el </w:t>
      </w:r>
      <w:r w:rsidRPr="000D1CBA">
        <w:rPr>
          <w:rFonts w:cs="Arial"/>
          <w:spacing w:val="6"/>
          <w:sz w:val="26"/>
          <w:szCs w:val="24"/>
        </w:rPr>
        <w:t xml:space="preserve">19 mayo </w:t>
      </w:r>
      <w:r>
        <w:rPr>
          <w:rFonts w:cs="Arial"/>
          <w:spacing w:val="6"/>
          <w:sz w:val="26"/>
          <w:szCs w:val="24"/>
        </w:rPr>
        <w:t xml:space="preserve">de </w:t>
      </w:r>
      <w:r w:rsidRPr="000D1CBA">
        <w:rPr>
          <w:rFonts w:cs="Arial"/>
          <w:spacing w:val="6"/>
          <w:sz w:val="26"/>
          <w:szCs w:val="24"/>
        </w:rPr>
        <w:t xml:space="preserve">2021 </w:t>
      </w:r>
      <w:r>
        <w:rPr>
          <w:rFonts w:cs="Arial"/>
          <w:spacing w:val="6"/>
          <w:sz w:val="26"/>
          <w:szCs w:val="24"/>
        </w:rPr>
        <w:t xml:space="preserve">por el que aprueba un nuevo expediente de exigencia de responsabilidades, y decide retrotraer el procedimiento al momento de la denegación de la prueba de carga solicitada el 12 de marzo por la compañía aseguradora, incorporando asimismo al procedimiento el informe del </w:t>
      </w:r>
      <w:r w:rsidR="00BF48C6">
        <w:rPr>
          <w:rFonts w:cs="Arial"/>
          <w:spacing w:val="6"/>
          <w:sz w:val="26"/>
          <w:szCs w:val="24"/>
        </w:rPr>
        <w:t xml:space="preserve">COICCP </w:t>
      </w:r>
      <w:r>
        <w:rPr>
          <w:rFonts w:cs="Arial"/>
          <w:spacing w:val="6"/>
          <w:sz w:val="26"/>
          <w:szCs w:val="24"/>
        </w:rPr>
        <w:t xml:space="preserve">emitido al respecto. Esta aprobación delimita inicialmente las responsabilidades, pero las condiciona al resultado efectivo del coste de reparación de la pasarela. </w:t>
      </w:r>
    </w:p>
    <w:p w14:paraId="48161F4B" w14:textId="77777777" w:rsidR="00807992"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Pr>
          <w:rFonts w:cs="Arial"/>
          <w:spacing w:val="6"/>
          <w:sz w:val="26"/>
          <w:szCs w:val="24"/>
        </w:rPr>
        <w:t xml:space="preserve">El 10 de octubre de 2022 se aprueba </w:t>
      </w:r>
      <w:r w:rsidRPr="00C058F8">
        <w:rPr>
          <w:rFonts w:cs="Arial"/>
          <w:spacing w:val="6"/>
          <w:sz w:val="26"/>
          <w:szCs w:val="24"/>
        </w:rPr>
        <w:t>iniciar otro nuevo expediente de</w:t>
      </w:r>
      <w:r>
        <w:rPr>
          <w:rFonts w:cs="Arial"/>
          <w:spacing w:val="6"/>
          <w:sz w:val="26"/>
          <w:szCs w:val="24"/>
        </w:rPr>
        <w:t xml:space="preserve"> exigencia de responsabilidades, declarando en el mismo expediente la </w:t>
      </w:r>
      <w:r w:rsidRPr="00C058F8">
        <w:rPr>
          <w:rFonts w:cs="Arial"/>
          <w:spacing w:val="6"/>
          <w:sz w:val="26"/>
          <w:szCs w:val="24"/>
        </w:rPr>
        <w:t>caduc</w:t>
      </w:r>
      <w:r>
        <w:rPr>
          <w:rFonts w:cs="Arial"/>
          <w:spacing w:val="6"/>
          <w:sz w:val="26"/>
          <w:szCs w:val="24"/>
        </w:rPr>
        <w:t>idad del anterior</w:t>
      </w:r>
      <w:r w:rsidRPr="00C058F8">
        <w:rPr>
          <w:rFonts w:cs="Arial"/>
          <w:spacing w:val="6"/>
          <w:sz w:val="26"/>
          <w:szCs w:val="24"/>
        </w:rPr>
        <w:t>. En la nueva propuesta se incorporan los gastos reales de la reparación de la pasarela y la exigencia de respons</w:t>
      </w:r>
      <w:r>
        <w:rPr>
          <w:rFonts w:cs="Arial"/>
          <w:spacing w:val="6"/>
          <w:sz w:val="26"/>
          <w:szCs w:val="24"/>
        </w:rPr>
        <w:t xml:space="preserve">abilidades asciende a 1.158.140 euros. </w:t>
      </w:r>
    </w:p>
    <w:p w14:paraId="13BB54EB" w14:textId="77777777" w:rsidR="006D4233" w:rsidRDefault="006D4233" w:rsidP="00807992">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p>
    <w:p w14:paraId="14B57897" w14:textId="77777777" w:rsidR="006D4233" w:rsidRDefault="006D4233" w:rsidP="00807992">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p>
    <w:p w14:paraId="10DFFBB2" w14:textId="77777777" w:rsidR="006D4233" w:rsidRDefault="006D4233" w:rsidP="00807992">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p>
    <w:p w14:paraId="7BC79009" w14:textId="77777777" w:rsidR="006D4233" w:rsidRDefault="006D4233" w:rsidP="00807992">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p>
    <w:p w14:paraId="31EDA833" w14:textId="77777777" w:rsidR="006D4233" w:rsidRDefault="006D4233" w:rsidP="00807992">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p>
    <w:p w14:paraId="055A7AFB" w14:textId="77777777" w:rsidR="00807992" w:rsidRDefault="00807992" w:rsidP="00807992">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r w:rsidRPr="00C058F8">
        <w:rPr>
          <w:spacing w:val="6"/>
          <w:sz w:val="26"/>
          <w:szCs w:val="26"/>
          <w:lang w:val="es-ES" w:eastAsia="es-ES"/>
        </w:rPr>
        <w:lastRenderedPageBreak/>
        <w:t>Cabe señalar que el expediente de exigencia de responsabilidades diferencia las responsabilidades entre los vicios que derivan de la redacción del proyecto, los de la dirección facultativa y los de la ejecución de la obra por parte del contratista. Las cantidades entre las tres fases son las siguientes:</w:t>
      </w:r>
    </w:p>
    <w:tbl>
      <w:tblPr>
        <w:tblW w:w="878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05"/>
        <w:gridCol w:w="6379"/>
      </w:tblGrid>
      <w:tr w:rsidR="006D4233" w:rsidRPr="003F5464" w14:paraId="5C15ACB0" w14:textId="77777777" w:rsidTr="00317422">
        <w:trPr>
          <w:trHeight w:val="255"/>
        </w:trPr>
        <w:tc>
          <w:tcPr>
            <w:tcW w:w="2405" w:type="dxa"/>
            <w:tcBorders>
              <w:top w:val="single" w:sz="4" w:space="0" w:color="auto"/>
              <w:bottom w:val="single" w:sz="4" w:space="0" w:color="auto"/>
            </w:tcBorders>
            <w:shd w:val="clear" w:color="auto" w:fill="FABF8F" w:themeFill="accent6" w:themeFillTint="99"/>
            <w:noWrap/>
            <w:vAlign w:val="bottom"/>
            <w:hideMark/>
          </w:tcPr>
          <w:p w14:paraId="7B2CA979" w14:textId="77777777" w:rsidR="006D4233" w:rsidRPr="003F5464" w:rsidRDefault="006D4233" w:rsidP="006639E5">
            <w:pPr>
              <w:spacing w:after="0"/>
              <w:ind w:firstLine="0"/>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Conceptos</w:t>
            </w:r>
          </w:p>
        </w:tc>
        <w:tc>
          <w:tcPr>
            <w:tcW w:w="6379" w:type="dxa"/>
            <w:tcBorders>
              <w:top w:val="single" w:sz="4" w:space="0" w:color="auto"/>
              <w:bottom w:val="single" w:sz="4" w:space="0" w:color="auto"/>
            </w:tcBorders>
            <w:shd w:val="clear" w:color="auto" w:fill="FABF8F" w:themeFill="accent6" w:themeFillTint="99"/>
            <w:noWrap/>
            <w:vAlign w:val="bottom"/>
            <w:hideMark/>
          </w:tcPr>
          <w:p w14:paraId="7B6E934B" w14:textId="77777777" w:rsidR="006D4233" w:rsidRPr="003F5464" w:rsidRDefault="006D4233" w:rsidP="006639E5">
            <w:pPr>
              <w:spacing w:after="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Importes</w:t>
            </w:r>
          </w:p>
        </w:tc>
      </w:tr>
      <w:tr w:rsidR="00807992" w:rsidRPr="002F603C" w14:paraId="52ED2A0A" w14:textId="77777777" w:rsidTr="00317422">
        <w:trPr>
          <w:trHeight w:val="204"/>
        </w:trPr>
        <w:tc>
          <w:tcPr>
            <w:tcW w:w="2405" w:type="dxa"/>
            <w:tcBorders>
              <w:top w:val="single" w:sz="4" w:space="0" w:color="auto"/>
              <w:bottom w:val="single" w:sz="2" w:space="0" w:color="auto"/>
            </w:tcBorders>
            <w:shd w:val="clear" w:color="auto" w:fill="auto"/>
            <w:noWrap/>
            <w:vAlign w:val="bottom"/>
            <w:hideMark/>
          </w:tcPr>
          <w:p w14:paraId="468ED34C" w14:textId="77777777" w:rsidR="00807992" w:rsidRPr="007C4E17" w:rsidRDefault="00807992" w:rsidP="00807992">
            <w:pPr>
              <w:spacing w:after="0"/>
              <w:ind w:firstLine="0"/>
              <w:jc w:val="left"/>
              <w:rPr>
                <w:rFonts w:ascii="Arial Narrow" w:hAnsi="Arial Narrow" w:cs="Arial"/>
                <w:color w:val="000000"/>
                <w:lang w:val="es-ES" w:eastAsia="es-ES"/>
              </w:rPr>
            </w:pPr>
            <w:r w:rsidRPr="007C4E17">
              <w:rPr>
                <w:rFonts w:ascii="Arial Narrow" w:hAnsi="Arial Narrow" w:cs="Arial"/>
                <w:color w:val="000000"/>
                <w:lang w:val="es-ES" w:eastAsia="es-ES"/>
              </w:rPr>
              <w:t>Redacción de Proyecto</w:t>
            </w:r>
          </w:p>
        </w:tc>
        <w:tc>
          <w:tcPr>
            <w:tcW w:w="6379" w:type="dxa"/>
            <w:tcBorders>
              <w:top w:val="single" w:sz="4" w:space="0" w:color="auto"/>
              <w:bottom w:val="single" w:sz="2" w:space="0" w:color="auto"/>
            </w:tcBorders>
            <w:shd w:val="clear" w:color="auto" w:fill="auto"/>
            <w:noWrap/>
            <w:vAlign w:val="bottom"/>
            <w:hideMark/>
          </w:tcPr>
          <w:p w14:paraId="704CF202" w14:textId="77777777" w:rsidR="00807992" w:rsidRPr="007C4E17" w:rsidRDefault="00807992" w:rsidP="00807992">
            <w:pPr>
              <w:spacing w:after="0"/>
              <w:jc w:val="right"/>
              <w:rPr>
                <w:rFonts w:ascii="Arial Narrow" w:hAnsi="Arial Narrow" w:cs="Arial"/>
                <w:color w:val="000000"/>
                <w:lang w:val="es-ES" w:eastAsia="es-ES"/>
              </w:rPr>
            </w:pPr>
            <w:r w:rsidRPr="007C4E17">
              <w:rPr>
                <w:rFonts w:ascii="Arial Narrow" w:hAnsi="Arial Narrow" w:cs="Arial"/>
                <w:color w:val="000000"/>
                <w:lang w:val="es-ES" w:eastAsia="es-ES"/>
              </w:rPr>
              <w:t>387.919</w:t>
            </w:r>
          </w:p>
        </w:tc>
      </w:tr>
      <w:tr w:rsidR="00807992" w:rsidRPr="002F603C" w14:paraId="6CE3C569" w14:textId="77777777" w:rsidTr="00011983">
        <w:trPr>
          <w:trHeight w:val="204"/>
        </w:trPr>
        <w:tc>
          <w:tcPr>
            <w:tcW w:w="2405" w:type="dxa"/>
            <w:tcBorders>
              <w:top w:val="single" w:sz="2" w:space="0" w:color="auto"/>
              <w:bottom w:val="single" w:sz="2" w:space="0" w:color="auto"/>
            </w:tcBorders>
            <w:shd w:val="clear" w:color="auto" w:fill="auto"/>
            <w:noWrap/>
            <w:vAlign w:val="bottom"/>
            <w:hideMark/>
          </w:tcPr>
          <w:p w14:paraId="6F72B073" w14:textId="77777777" w:rsidR="00807992" w:rsidRPr="007C4E17" w:rsidRDefault="00807992" w:rsidP="00807992">
            <w:pPr>
              <w:spacing w:after="0"/>
              <w:ind w:firstLine="0"/>
              <w:jc w:val="left"/>
              <w:rPr>
                <w:rFonts w:ascii="Arial Narrow" w:hAnsi="Arial Narrow" w:cs="Arial"/>
                <w:color w:val="000000"/>
                <w:lang w:val="es-ES" w:eastAsia="es-ES"/>
              </w:rPr>
            </w:pPr>
            <w:r w:rsidRPr="007C4E17">
              <w:rPr>
                <w:rFonts w:ascii="Arial Narrow" w:hAnsi="Arial Narrow" w:cs="Arial"/>
                <w:color w:val="000000"/>
                <w:lang w:val="es-ES" w:eastAsia="es-ES"/>
              </w:rPr>
              <w:t>Dirección Facultativa</w:t>
            </w:r>
          </w:p>
        </w:tc>
        <w:tc>
          <w:tcPr>
            <w:tcW w:w="6379" w:type="dxa"/>
            <w:tcBorders>
              <w:top w:val="single" w:sz="2" w:space="0" w:color="auto"/>
              <w:bottom w:val="single" w:sz="2" w:space="0" w:color="auto"/>
            </w:tcBorders>
            <w:shd w:val="clear" w:color="auto" w:fill="auto"/>
            <w:noWrap/>
            <w:vAlign w:val="bottom"/>
            <w:hideMark/>
          </w:tcPr>
          <w:p w14:paraId="1DE81E6C" w14:textId="77777777" w:rsidR="00807992" w:rsidRPr="007C4E17" w:rsidRDefault="00807992" w:rsidP="00807992">
            <w:pPr>
              <w:spacing w:after="0"/>
              <w:jc w:val="right"/>
              <w:rPr>
                <w:rFonts w:ascii="Arial Narrow" w:hAnsi="Arial Narrow" w:cs="Arial"/>
                <w:color w:val="000000"/>
                <w:lang w:val="es-ES" w:eastAsia="es-ES"/>
              </w:rPr>
            </w:pPr>
            <w:r w:rsidRPr="007C4E17">
              <w:rPr>
                <w:rFonts w:ascii="Arial Narrow" w:hAnsi="Arial Narrow" w:cs="Arial"/>
                <w:color w:val="000000"/>
                <w:lang w:val="es-ES" w:eastAsia="es-ES"/>
              </w:rPr>
              <w:t>472.329</w:t>
            </w:r>
          </w:p>
        </w:tc>
      </w:tr>
      <w:tr w:rsidR="00807992" w:rsidRPr="002F603C" w14:paraId="50584E0C" w14:textId="77777777" w:rsidTr="00382D1C">
        <w:trPr>
          <w:trHeight w:val="204"/>
        </w:trPr>
        <w:tc>
          <w:tcPr>
            <w:tcW w:w="2405" w:type="dxa"/>
            <w:tcBorders>
              <w:top w:val="single" w:sz="2" w:space="0" w:color="auto"/>
              <w:bottom w:val="single" w:sz="4" w:space="0" w:color="auto"/>
            </w:tcBorders>
            <w:shd w:val="clear" w:color="auto" w:fill="auto"/>
            <w:noWrap/>
            <w:vAlign w:val="bottom"/>
            <w:hideMark/>
          </w:tcPr>
          <w:p w14:paraId="7919457A" w14:textId="77777777" w:rsidR="00807992" w:rsidRPr="007C4E17" w:rsidRDefault="00807992" w:rsidP="00807992">
            <w:pPr>
              <w:spacing w:after="0"/>
              <w:ind w:firstLine="0"/>
              <w:jc w:val="left"/>
              <w:rPr>
                <w:rFonts w:ascii="Arial Narrow" w:hAnsi="Arial Narrow" w:cs="Arial"/>
                <w:color w:val="000000"/>
                <w:lang w:val="es-ES" w:eastAsia="es-ES"/>
              </w:rPr>
            </w:pPr>
            <w:r w:rsidRPr="007C4E17">
              <w:rPr>
                <w:rFonts w:ascii="Arial Narrow" w:hAnsi="Arial Narrow" w:cs="Arial"/>
                <w:color w:val="000000"/>
                <w:lang w:val="es-ES" w:eastAsia="es-ES"/>
              </w:rPr>
              <w:t>Ejecución de Obra</w:t>
            </w:r>
          </w:p>
        </w:tc>
        <w:tc>
          <w:tcPr>
            <w:tcW w:w="6379" w:type="dxa"/>
            <w:tcBorders>
              <w:top w:val="single" w:sz="2" w:space="0" w:color="auto"/>
              <w:bottom w:val="single" w:sz="4" w:space="0" w:color="auto"/>
            </w:tcBorders>
            <w:shd w:val="clear" w:color="auto" w:fill="auto"/>
            <w:noWrap/>
            <w:vAlign w:val="bottom"/>
            <w:hideMark/>
          </w:tcPr>
          <w:p w14:paraId="598B4EBB" w14:textId="77777777" w:rsidR="00807992" w:rsidRPr="007C4E17" w:rsidRDefault="00807992" w:rsidP="00807992">
            <w:pPr>
              <w:spacing w:after="0"/>
              <w:jc w:val="right"/>
              <w:rPr>
                <w:rFonts w:ascii="Arial Narrow" w:hAnsi="Arial Narrow" w:cs="Arial"/>
                <w:color w:val="000000"/>
                <w:lang w:val="es-ES" w:eastAsia="es-ES"/>
              </w:rPr>
            </w:pPr>
            <w:r w:rsidRPr="007C4E17">
              <w:rPr>
                <w:rFonts w:ascii="Arial Narrow" w:hAnsi="Arial Narrow" w:cs="Arial"/>
                <w:color w:val="000000"/>
                <w:lang w:val="es-ES" w:eastAsia="es-ES"/>
              </w:rPr>
              <w:t>297.892</w:t>
            </w:r>
          </w:p>
        </w:tc>
      </w:tr>
      <w:tr w:rsidR="00807992" w:rsidRPr="003F5464" w14:paraId="18B07A2B" w14:textId="77777777" w:rsidTr="00382D1C">
        <w:trPr>
          <w:trHeight w:val="255"/>
        </w:trPr>
        <w:tc>
          <w:tcPr>
            <w:tcW w:w="2405" w:type="dxa"/>
            <w:tcBorders>
              <w:top w:val="single" w:sz="4" w:space="0" w:color="auto"/>
              <w:bottom w:val="single" w:sz="4" w:space="0" w:color="auto"/>
            </w:tcBorders>
            <w:shd w:val="clear" w:color="auto" w:fill="FABF8F" w:themeFill="accent6" w:themeFillTint="99"/>
            <w:noWrap/>
            <w:vAlign w:val="bottom"/>
            <w:hideMark/>
          </w:tcPr>
          <w:p w14:paraId="66B714B3" w14:textId="77777777" w:rsidR="00807992" w:rsidRPr="003F5464" w:rsidRDefault="00807992" w:rsidP="007C4E17">
            <w:pPr>
              <w:spacing w:after="0"/>
              <w:ind w:firstLine="0"/>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Total</w:t>
            </w:r>
          </w:p>
        </w:tc>
        <w:tc>
          <w:tcPr>
            <w:tcW w:w="6379" w:type="dxa"/>
            <w:tcBorders>
              <w:top w:val="single" w:sz="4" w:space="0" w:color="auto"/>
              <w:bottom w:val="single" w:sz="4" w:space="0" w:color="auto"/>
            </w:tcBorders>
            <w:shd w:val="clear" w:color="auto" w:fill="FABF8F" w:themeFill="accent6" w:themeFillTint="99"/>
            <w:noWrap/>
            <w:vAlign w:val="bottom"/>
            <w:hideMark/>
          </w:tcPr>
          <w:p w14:paraId="18A1F7EA" w14:textId="77777777" w:rsidR="00807992" w:rsidRPr="003F5464" w:rsidRDefault="00807992" w:rsidP="00807992">
            <w:pPr>
              <w:spacing w:after="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1.158.140</w:t>
            </w:r>
          </w:p>
        </w:tc>
      </w:tr>
    </w:tbl>
    <w:p w14:paraId="454B72E7" w14:textId="77777777" w:rsidR="00807992" w:rsidRDefault="00807992" w:rsidP="00807992">
      <w:pPr>
        <w:pStyle w:val="Sinespaciado"/>
        <w:rPr>
          <w:b/>
          <w:lang w:val="es-ES_tradnl"/>
        </w:rPr>
      </w:pPr>
    </w:p>
    <w:p w14:paraId="7A83D2FE" w14:textId="77777777" w:rsidR="00807992" w:rsidRDefault="00807992" w:rsidP="000023DA">
      <w:pPr>
        <w:pStyle w:val="atitulo2"/>
        <w:rPr>
          <w:b/>
        </w:rPr>
      </w:pPr>
      <w:bookmarkStart w:id="174" w:name="_Toc129243497"/>
      <w:r w:rsidRPr="004750BD">
        <w:t>7.2</w:t>
      </w:r>
      <w:r w:rsidR="00EF14D2">
        <w:t>.</w:t>
      </w:r>
      <w:r w:rsidRPr="004750BD">
        <w:t xml:space="preserve"> Antecedentes del contrato de </w:t>
      </w:r>
      <w:r w:rsidR="00DA7B18">
        <w:t xml:space="preserve">refuerzo </w:t>
      </w:r>
      <w:r w:rsidRPr="004750BD">
        <w:t>de la pasarela en el ejercicio 202</w:t>
      </w:r>
      <w:r w:rsidRPr="004750BD">
        <w:rPr>
          <w:sz w:val="26"/>
        </w:rPr>
        <w:t>1</w:t>
      </w:r>
      <w:bookmarkEnd w:id="174"/>
    </w:p>
    <w:p w14:paraId="2E425AA1" w14:textId="77777777" w:rsidR="00807992"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t>En</w:t>
      </w:r>
      <w:r w:rsidRPr="00C058F8">
        <w:rPr>
          <w:rFonts w:cs="Arial"/>
          <w:spacing w:val="6"/>
          <w:sz w:val="26"/>
          <w:szCs w:val="24"/>
        </w:rPr>
        <w:t xml:space="preserve"> el informe realizado por el </w:t>
      </w:r>
      <w:r w:rsidR="00BF48C6">
        <w:rPr>
          <w:rFonts w:cs="Arial"/>
          <w:spacing w:val="6"/>
          <w:sz w:val="26"/>
          <w:szCs w:val="24"/>
        </w:rPr>
        <w:t>COICCP</w:t>
      </w:r>
      <w:r w:rsidR="00BF48C6" w:rsidRPr="00C058F8">
        <w:rPr>
          <w:rFonts w:cs="Arial"/>
          <w:spacing w:val="6"/>
          <w:sz w:val="26"/>
          <w:szCs w:val="24"/>
        </w:rPr>
        <w:t xml:space="preserve"> </w:t>
      </w:r>
      <w:r w:rsidRPr="00C058F8">
        <w:rPr>
          <w:rFonts w:cs="Arial"/>
          <w:spacing w:val="6"/>
          <w:sz w:val="26"/>
          <w:szCs w:val="24"/>
        </w:rPr>
        <w:t>se concluye la posibilidad de reparación de la pasarela, con descripción de los defectos observados en la estructura, delimitando con nitidez las causas y responsabilidades de cada uno</w:t>
      </w:r>
      <w:r w:rsidR="00047EBC">
        <w:rPr>
          <w:rFonts w:cs="Arial"/>
          <w:spacing w:val="6"/>
          <w:sz w:val="26"/>
          <w:szCs w:val="24"/>
        </w:rPr>
        <w:t>. Le</w:t>
      </w:r>
      <w:r w:rsidRPr="00C058F8">
        <w:rPr>
          <w:rFonts w:cs="Arial"/>
          <w:spacing w:val="6"/>
          <w:sz w:val="26"/>
          <w:szCs w:val="24"/>
        </w:rPr>
        <w:t xml:space="preserve"> proponen actuaciones para la reparación y adecuación, aportando una cuantificación </w:t>
      </w:r>
      <w:r w:rsidR="006D4233">
        <w:rPr>
          <w:rFonts w:cs="Arial"/>
          <w:spacing w:val="6"/>
          <w:sz w:val="26"/>
          <w:szCs w:val="24"/>
        </w:rPr>
        <w:t xml:space="preserve">del coste </w:t>
      </w:r>
      <w:r w:rsidRPr="00C058F8">
        <w:rPr>
          <w:rFonts w:cs="Arial"/>
          <w:spacing w:val="6"/>
          <w:sz w:val="26"/>
          <w:szCs w:val="24"/>
        </w:rPr>
        <w:t xml:space="preserve">para la reparación de la pasarela en </w:t>
      </w:r>
      <w:r>
        <w:rPr>
          <w:rFonts w:cs="Arial"/>
          <w:spacing w:val="6"/>
          <w:sz w:val="26"/>
          <w:szCs w:val="24"/>
        </w:rPr>
        <w:t xml:space="preserve">459.800 </w:t>
      </w:r>
      <w:r w:rsidRPr="00C058F8">
        <w:rPr>
          <w:rFonts w:cs="Arial"/>
          <w:spacing w:val="6"/>
          <w:sz w:val="26"/>
          <w:szCs w:val="24"/>
        </w:rPr>
        <w:t>IVA</w:t>
      </w:r>
      <w:r>
        <w:rPr>
          <w:rFonts w:cs="Arial"/>
          <w:spacing w:val="6"/>
          <w:sz w:val="26"/>
          <w:szCs w:val="24"/>
        </w:rPr>
        <w:t xml:space="preserve"> incluido</w:t>
      </w:r>
      <w:r w:rsidRPr="00C058F8">
        <w:rPr>
          <w:rFonts w:cs="Arial"/>
          <w:spacing w:val="6"/>
          <w:sz w:val="26"/>
          <w:szCs w:val="24"/>
        </w:rPr>
        <w:t xml:space="preserve">, </w:t>
      </w:r>
      <w:proofErr w:type="gramStart"/>
      <w:r w:rsidRPr="00C058F8">
        <w:rPr>
          <w:rFonts w:cs="Arial"/>
          <w:spacing w:val="6"/>
          <w:sz w:val="26"/>
          <w:szCs w:val="24"/>
        </w:rPr>
        <w:t>de acuerdo al</w:t>
      </w:r>
      <w:proofErr w:type="gramEnd"/>
      <w:r w:rsidRPr="00C058F8">
        <w:rPr>
          <w:rFonts w:cs="Arial"/>
          <w:spacing w:val="6"/>
          <w:sz w:val="26"/>
          <w:szCs w:val="24"/>
        </w:rPr>
        <w:t xml:space="preserve"> siguiente desglose:</w:t>
      </w:r>
    </w:p>
    <w:tbl>
      <w:tblPr>
        <w:tblW w:w="8794" w:type="dxa"/>
        <w:tblInd w:w="-5"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1564"/>
      </w:tblGrid>
      <w:tr w:rsidR="006D4233" w:rsidRPr="007C4E17" w14:paraId="53955A47" w14:textId="77777777" w:rsidTr="00955658">
        <w:trPr>
          <w:trHeight w:val="255"/>
        </w:trPr>
        <w:tc>
          <w:tcPr>
            <w:tcW w:w="7230" w:type="dxa"/>
            <w:tcBorders>
              <w:top w:val="single" w:sz="4" w:space="0" w:color="auto"/>
              <w:bottom w:val="single" w:sz="4" w:space="0" w:color="auto"/>
              <w:right w:val="nil"/>
            </w:tcBorders>
            <w:shd w:val="clear" w:color="auto" w:fill="FABF8F" w:themeFill="accent6" w:themeFillTint="99"/>
            <w:noWrap/>
            <w:vAlign w:val="center"/>
            <w:hideMark/>
          </w:tcPr>
          <w:p w14:paraId="429B8BCF" w14:textId="77777777" w:rsidR="006D4233" w:rsidRPr="003F5464" w:rsidRDefault="006D4233" w:rsidP="006639E5">
            <w:pPr>
              <w:spacing w:after="0"/>
              <w:ind w:firstLine="0"/>
              <w:jc w:val="left"/>
              <w:rPr>
                <w:rFonts w:ascii="Arial" w:hAnsi="Arial" w:cs="Arial"/>
                <w:bCs/>
                <w:color w:val="000000"/>
                <w:sz w:val="18"/>
                <w:szCs w:val="18"/>
                <w:lang w:val="es-ES" w:eastAsia="es-ES"/>
              </w:rPr>
            </w:pPr>
            <w:r w:rsidRPr="003F5464">
              <w:rPr>
                <w:rFonts w:ascii="Arial" w:hAnsi="Arial" w:cs="Arial"/>
                <w:bCs/>
                <w:color w:val="000000"/>
                <w:sz w:val="18"/>
                <w:szCs w:val="18"/>
                <w:lang w:eastAsia="es-ES"/>
              </w:rPr>
              <w:t>Conceptos</w:t>
            </w:r>
          </w:p>
        </w:tc>
        <w:tc>
          <w:tcPr>
            <w:tcW w:w="1564" w:type="dxa"/>
            <w:tcBorders>
              <w:top w:val="single" w:sz="4" w:space="0" w:color="auto"/>
              <w:left w:val="nil"/>
              <w:bottom w:val="single" w:sz="4" w:space="0" w:color="auto"/>
            </w:tcBorders>
            <w:shd w:val="clear" w:color="auto" w:fill="FABF8F" w:themeFill="accent6" w:themeFillTint="99"/>
            <w:noWrap/>
            <w:vAlign w:val="bottom"/>
            <w:hideMark/>
          </w:tcPr>
          <w:p w14:paraId="644F5C50" w14:textId="77777777" w:rsidR="006D4233" w:rsidRPr="007C4E17" w:rsidRDefault="006D4233" w:rsidP="006639E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Importe</w:t>
            </w:r>
            <w:r w:rsidR="00382D1C">
              <w:rPr>
                <w:rFonts w:ascii="Arial" w:hAnsi="Arial" w:cs="Arial"/>
                <w:color w:val="000000"/>
                <w:sz w:val="18"/>
                <w:szCs w:val="18"/>
                <w:lang w:val="es-ES" w:eastAsia="es-ES"/>
              </w:rPr>
              <w:t>s</w:t>
            </w:r>
          </w:p>
        </w:tc>
      </w:tr>
      <w:tr w:rsidR="00807992" w:rsidRPr="008936C1" w14:paraId="11C2C161" w14:textId="77777777" w:rsidTr="00955658">
        <w:trPr>
          <w:trHeight w:val="198"/>
        </w:trPr>
        <w:tc>
          <w:tcPr>
            <w:tcW w:w="7230" w:type="dxa"/>
            <w:tcBorders>
              <w:top w:val="single" w:sz="4" w:space="0" w:color="auto"/>
              <w:bottom w:val="single" w:sz="2" w:space="0" w:color="auto"/>
              <w:right w:val="nil"/>
            </w:tcBorders>
            <w:shd w:val="clear" w:color="auto" w:fill="auto"/>
            <w:noWrap/>
            <w:vAlign w:val="center"/>
            <w:hideMark/>
          </w:tcPr>
          <w:p w14:paraId="23B5413E" w14:textId="77777777" w:rsidR="00807992" w:rsidRPr="007C4E17" w:rsidRDefault="00807992" w:rsidP="00807992">
            <w:pPr>
              <w:spacing w:after="0"/>
              <w:ind w:firstLine="0"/>
              <w:jc w:val="left"/>
              <w:rPr>
                <w:rFonts w:ascii="Arial Narrow" w:hAnsi="Arial Narrow" w:cs="Arial"/>
                <w:color w:val="000000"/>
                <w:lang w:val="es-ES" w:eastAsia="es-ES"/>
              </w:rPr>
            </w:pPr>
            <w:r w:rsidRPr="007C4E17">
              <w:rPr>
                <w:rFonts w:ascii="Arial Narrow" w:hAnsi="Arial Narrow" w:cs="Arial"/>
                <w:color w:val="000000"/>
                <w:lang w:eastAsia="es-ES"/>
              </w:rPr>
              <w:t>Trabajos previos y gestión de residuos</w:t>
            </w:r>
          </w:p>
        </w:tc>
        <w:tc>
          <w:tcPr>
            <w:tcW w:w="1564" w:type="dxa"/>
            <w:tcBorders>
              <w:top w:val="single" w:sz="4" w:space="0" w:color="auto"/>
              <w:left w:val="nil"/>
              <w:bottom w:val="single" w:sz="2" w:space="0" w:color="auto"/>
            </w:tcBorders>
            <w:shd w:val="clear" w:color="auto" w:fill="auto"/>
            <w:noWrap/>
            <w:vAlign w:val="bottom"/>
          </w:tcPr>
          <w:p w14:paraId="7B94AD21" w14:textId="77777777" w:rsidR="00807992" w:rsidRPr="007C4E17" w:rsidRDefault="000023DA" w:rsidP="0080799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35.000</w:t>
            </w:r>
          </w:p>
        </w:tc>
      </w:tr>
      <w:tr w:rsidR="00807992" w:rsidRPr="008936C1" w14:paraId="730F7124" w14:textId="77777777" w:rsidTr="00382D1C">
        <w:trPr>
          <w:trHeight w:val="198"/>
        </w:trPr>
        <w:tc>
          <w:tcPr>
            <w:tcW w:w="7230" w:type="dxa"/>
            <w:tcBorders>
              <w:top w:val="single" w:sz="2" w:space="0" w:color="auto"/>
              <w:bottom w:val="single" w:sz="2" w:space="0" w:color="auto"/>
              <w:right w:val="nil"/>
            </w:tcBorders>
            <w:shd w:val="clear" w:color="auto" w:fill="auto"/>
            <w:noWrap/>
            <w:vAlign w:val="center"/>
            <w:hideMark/>
          </w:tcPr>
          <w:p w14:paraId="77815969" w14:textId="77777777" w:rsidR="00807992" w:rsidRPr="007C4E17" w:rsidRDefault="00807992" w:rsidP="00807992">
            <w:pPr>
              <w:spacing w:after="0"/>
              <w:ind w:firstLine="0"/>
              <w:jc w:val="left"/>
              <w:rPr>
                <w:rFonts w:ascii="Arial Narrow" w:hAnsi="Arial Narrow" w:cs="Arial"/>
                <w:color w:val="000000"/>
                <w:lang w:val="es-ES" w:eastAsia="es-ES"/>
              </w:rPr>
            </w:pPr>
            <w:r w:rsidRPr="007C4E17">
              <w:rPr>
                <w:rFonts w:ascii="Arial Narrow" w:hAnsi="Arial Narrow" w:cs="Arial"/>
                <w:color w:val="000000"/>
                <w:lang w:eastAsia="es-ES"/>
              </w:rPr>
              <w:t xml:space="preserve">Inyección en estribos de Jito </w:t>
            </w:r>
            <w:proofErr w:type="spellStart"/>
            <w:r w:rsidRPr="007C4E17">
              <w:rPr>
                <w:rFonts w:ascii="Arial Narrow" w:hAnsi="Arial Narrow" w:cs="Arial"/>
                <w:color w:val="000000"/>
                <w:lang w:eastAsia="es-ES"/>
              </w:rPr>
              <w:t>Alai</w:t>
            </w:r>
            <w:proofErr w:type="spellEnd"/>
            <w:r w:rsidRPr="007C4E17">
              <w:rPr>
                <w:rFonts w:ascii="Arial Narrow" w:hAnsi="Arial Narrow" w:cs="Arial"/>
                <w:color w:val="000000"/>
                <w:lang w:eastAsia="es-ES"/>
              </w:rPr>
              <w:t xml:space="preserve"> y Media Luna</w:t>
            </w:r>
          </w:p>
        </w:tc>
        <w:tc>
          <w:tcPr>
            <w:tcW w:w="1564" w:type="dxa"/>
            <w:tcBorders>
              <w:top w:val="single" w:sz="2" w:space="0" w:color="auto"/>
              <w:left w:val="nil"/>
              <w:bottom w:val="single" w:sz="2" w:space="0" w:color="auto"/>
            </w:tcBorders>
            <w:shd w:val="clear" w:color="auto" w:fill="auto"/>
            <w:noWrap/>
            <w:vAlign w:val="bottom"/>
          </w:tcPr>
          <w:p w14:paraId="385013AC" w14:textId="77777777" w:rsidR="00807992" w:rsidRPr="007C4E17" w:rsidRDefault="000023DA" w:rsidP="0080799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90.000</w:t>
            </w:r>
          </w:p>
        </w:tc>
      </w:tr>
      <w:tr w:rsidR="00807992" w:rsidRPr="008936C1" w14:paraId="5465BBF1" w14:textId="77777777" w:rsidTr="00382D1C">
        <w:trPr>
          <w:trHeight w:val="198"/>
        </w:trPr>
        <w:tc>
          <w:tcPr>
            <w:tcW w:w="7230" w:type="dxa"/>
            <w:tcBorders>
              <w:top w:val="single" w:sz="2" w:space="0" w:color="auto"/>
              <w:bottom w:val="single" w:sz="2" w:space="0" w:color="auto"/>
              <w:right w:val="nil"/>
            </w:tcBorders>
            <w:shd w:val="clear" w:color="auto" w:fill="auto"/>
            <w:noWrap/>
            <w:vAlign w:val="center"/>
            <w:hideMark/>
          </w:tcPr>
          <w:p w14:paraId="3274731B" w14:textId="77777777" w:rsidR="00807992" w:rsidRPr="007C4E17" w:rsidRDefault="00807992" w:rsidP="00807992">
            <w:pPr>
              <w:spacing w:after="0"/>
              <w:ind w:firstLine="0"/>
              <w:jc w:val="left"/>
              <w:rPr>
                <w:rFonts w:ascii="Arial Narrow" w:hAnsi="Arial Narrow" w:cs="Arial"/>
                <w:color w:val="000000"/>
                <w:lang w:val="es-ES" w:eastAsia="es-ES"/>
              </w:rPr>
            </w:pPr>
            <w:proofErr w:type="spellStart"/>
            <w:r w:rsidRPr="007C4E17">
              <w:rPr>
                <w:rFonts w:ascii="Arial Narrow" w:hAnsi="Arial Narrow" w:cs="Arial"/>
                <w:color w:val="000000"/>
                <w:lang w:eastAsia="es-ES"/>
              </w:rPr>
              <w:t>Hidrolimpieza</w:t>
            </w:r>
            <w:proofErr w:type="spellEnd"/>
            <w:r w:rsidRPr="007C4E17">
              <w:rPr>
                <w:rFonts w:ascii="Arial Narrow" w:hAnsi="Arial Narrow" w:cs="Arial"/>
                <w:color w:val="000000"/>
                <w:lang w:eastAsia="es-ES"/>
              </w:rPr>
              <w:t xml:space="preserve"> de la estructura y tratamiento de protección</w:t>
            </w:r>
          </w:p>
        </w:tc>
        <w:tc>
          <w:tcPr>
            <w:tcW w:w="1564" w:type="dxa"/>
            <w:tcBorders>
              <w:top w:val="single" w:sz="2" w:space="0" w:color="auto"/>
              <w:left w:val="nil"/>
              <w:bottom w:val="single" w:sz="2" w:space="0" w:color="auto"/>
            </w:tcBorders>
            <w:shd w:val="clear" w:color="auto" w:fill="auto"/>
            <w:noWrap/>
            <w:vAlign w:val="bottom"/>
          </w:tcPr>
          <w:p w14:paraId="3870A48E" w14:textId="77777777" w:rsidR="00807992" w:rsidRPr="007C4E17" w:rsidRDefault="000023DA" w:rsidP="0080799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85.000</w:t>
            </w:r>
          </w:p>
        </w:tc>
      </w:tr>
      <w:tr w:rsidR="00807992" w:rsidRPr="008936C1" w14:paraId="35AD305F" w14:textId="77777777" w:rsidTr="00382D1C">
        <w:trPr>
          <w:trHeight w:val="198"/>
        </w:trPr>
        <w:tc>
          <w:tcPr>
            <w:tcW w:w="7230" w:type="dxa"/>
            <w:tcBorders>
              <w:top w:val="single" w:sz="2" w:space="0" w:color="auto"/>
              <w:bottom w:val="single" w:sz="2" w:space="0" w:color="auto"/>
              <w:right w:val="nil"/>
            </w:tcBorders>
            <w:shd w:val="clear" w:color="auto" w:fill="auto"/>
            <w:noWrap/>
            <w:vAlign w:val="center"/>
            <w:hideMark/>
          </w:tcPr>
          <w:p w14:paraId="5DE7FD04" w14:textId="77777777" w:rsidR="00807992" w:rsidRPr="007C4E17" w:rsidRDefault="00807992" w:rsidP="00807992">
            <w:pPr>
              <w:spacing w:after="0"/>
              <w:ind w:firstLine="0"/>
              <w:jc w:val="left"/>
              <w:rPr>
                <w:rFonts w:ascii="Arial Narrow" w:hAnsi="Arial Narrow" w:cs="Arial"/>
                <w:color w:val="000000"/>
                <w:lang w:val="es-ES" w:eastAsia="es-ES"/>
              </w:rPr>
            </w:pPr>
            <w:r w:rsidRPr="007C4E17">
              <w:rPr>
                <w:rFonts w:ascii="Arial Narrow" w:hAnsi="Arial Narrow" w:cs="Arial"/>
                <w:color w:val="000000"/>
                <w:lang w:eastAsia="es-ES"/>
              </w:rPr>
              <w:t>Refuerzo de estructura metálica</w:t>
            </w:r>
          </w:p>
        </w:tc>
        <w:tc>
          <w:tcPr>
            <w:tcW w:w="1564" w:type="dxa"/>
            <w:tcBorders>
              <w:top w:val="single" w:sz="2" w:space="0" w:color="auto"/>
              <w:left w:val="nil"/>
              <w:bottom w:val="single" w:sz="2" w:space="0" w:color="auto"/>
            </w:tcBorders>
            <w:shd w:val="clear" w:color="auto" w:fill="auto"/>
            <w:noWrap/>
            <w:vAlign w:val="bottom"/>
          </w:tcPr>
          <w:p w14:paraId="27E274F2" w14:textId="77777777" w:rsidR="00807992" w:rsidRPr="007C4E17" w:rsidRDefault="000023DA" w:rsidP="0080799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130.000</w:t>
            </w:r>
          </w:p>
        </w:tc>
      </w:tr>
      <w:tr w:rsidR="00807992" w:rsidRPr="008936C1" w14:paraId="7ED89D53" w14:textId="77777777" w:rsidTr="00382D1C">
        <w:trPr>
          <w:trHeight w:val="198"/>
        </w:trPr>
        <w:tc>
          <w:tcPr>
            <w:tcW w:w="7230" w:type="dxa"/>
            <w:tcBorders>
              <w:top w:val="single" w:sz="2" w:space="0" w:color="auto"/>
              <w:bottom w:val="single" w:sz="2" w:space="0" w:color="auto"/>
              <w:right w:val="nil"/>
            </w:tcBorders>
            <w:shd w:val="clear" w:color="auto" w:fill="auto"/>
            <w:noWrap/>
            <w:vAlign w:val="center"/>
            <w:hideMark/>
          </w:tcPr>
          <w:p w14:paraId="502578CA" w14:textId="77777777" w:rsidR="00807992" w:rsidRPr="007C4E17" w:rsidRDefault="00807992" w:rsidP="00807992">
            <w:pPr>
              <w:spacing w:after="0"/>
              <w:ind w:firstLine="0"/>
              <w:jc w:val="left"/>
              <w:rPr>
                <w:rFonts w:ascii="Arial Narrow" w:hAnsi="Arial Narrow" w:cs="Arial"/>
                <w:color w:val="000000"/>
                <w:lang w:val="es-ES" w:eastAsia="es-ES"/>
              </w:rPr>
            </w:pPr>
            <w:r w:rsidRPr="007C4E17">
              <w:rPr>
                <w:rFonts w:ascii="Arial Narrow" w:hAnsi="Arial Narrow" w:cs="Arial"/>
                <w:color w:val="000000"/>
                <w:lang w:eastAsia="es-ES"/>
              </w:rPr>
              <w:t>Nuevo pavimento, drenaje e impermeabilización</w:t>
            </w:r>
          </w:p>
        </w:tc>
        <w:tc>
          <w:tcPr>
            <w:tcW w:w="1564" w:type="dxa"/>
            <w:tcBorders>
              <w:top w:val="single" w:sz="2" w:space="0" w:color="auto"/>
              <w:left w:val="nil"/>
              <w:bottom w:val="single" w:sz="2" w:space="0" w:color="auto"/>
            </w:tcBorders>
            <w:shd w:val="clear" w:color="auto" w:fill="auto"/>
            <w:noWrap/>
            <w:vAlign w:val="bottom"/>
          </w:tcPr>
          <w:p w14:paraId="4897B3C6" w14:textId="77777777" w:rsidR="00807992" w:rsidRPr="007C4E17" w:rsidRDefault="000023DA" w:rsidP="0080799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40.000</w:t>
            </w:r>
          </w:p>
        </w:tc>
      </w:tr>
      <w:tr w:rsidR="000023DA" w:rsidRPr="008936C1" w14:paraId="19A50022" w14:textId="77777777" w:rsidTr="00382D1C">
        <w:trPr>
          <w:trHeight w:val="198"/>
        </w:trPr>
        <w:tc>
          <w:tcPr>
            <w:tcW w:w="7230" w:type="dxa"/>
            <w:tcBorders>
              <w:top w:val="single" w:sz="2" w:space="0" w:color="auto"/>
              <w:bottom w:val="single" w:sz="4" w:space="0" w:color="auto"/>
              <w:right w:val="nil"/>
            </w:tcBorders>
            <w:shd w:val="clear" w:color="auto" w:fill="auto"/>
            <w:noWrap/>
            <w:vAlign w:val="center"/>
          </w:tcPr>
          <w:p w14:paraId="571876A8" w14:textId="77777777" w:rsidR="000023DA" w:rsidRPr="007C4E17" w:rsidRDefault="000023DA" w:rsidP="00807992">
            <w:pPr>
              <w:spacing w:after="0"/>
              <w:ind w:firstLine="0"/>
              <w:jc w:val="left"/>
              <w:rPr>
                <w:rFonts w:ascii="Arial Narrow" w:hAnsi="Arial Narrow" w:cs="Arial"/>
                <w:color w:val="000000"/>
                <w:lang w:eastAsia="es-ES"/>
              </w:rPr>
            </w:pPr>
            <w:proofErr w:type="gramStart"/>
            <w:r>
              <w:rPr>
                <w:rFonts w:ascii="Arial Narrow" w:hAnsi="Arial Narrow" w:cs="Arial"/>
                <w:color w:val="000000"/>
                <w:lang w:eastAsia="es-ES"/>
              </w:rPr>
              <w:t>Total</w:t>
            </w:r>
            <w:proofErr w:type="gramEnd"/>
            <w:r>
              <w:rPr>
                <w:rFonts w:ascii="Arial Narrow" w:hAnsi="Arial Narrow" w:cs="Arial"/>
                <w:color w:val="000000"/>
                <w:lang w:eastAsia="es-ES"/>
              </w:rPr>
              <w:t xml:space="preserve"> IVA (21 %)</w:t>
            </w:r>
          </w:p>
        </w:tc>
        <w:tc>
          <w:tcPr>
            <w:tcW w:w="1564" w:type="dxa"/>
            <w:tcBorders>
              <w:top w:val="single" w:sz="2" w:space="0" w:color="auto"/>
              <w:left w:val="nil"/>
              <w:bottom w:val="single" w:sz="4" w:space="0" w:color="auto"/>
            </w:tcBorders>
            <w:shd w:val="clear" w:color="auto" w:fill="auto"/>
            <w:noWrap/>
            <w:vAlign w:val="bottom"/>
          </w:tcPr>
          <w:p w14:paraId="608CEE76" w14:textId="77777777" w:rsidR="000023DA" w:rsidRDefault="000023DA" w:rsidP="00807992">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79.800</w:t>
            </w:r>
          </w:p>
        </w:tc>
      </w:tr>
      <w:tr w:rsidR="00807992" w:rsidRPr="007C4E17" w14:paraId="673C90FC" w14:textId="77777777" w:rsidTr="00382D1C">
        <w:trPr>
          <w:trHeight w:val="255"/>
        </w:trPr>
        <w:tc>
          <w:tcPr>
            <w:tcW w:w="7230" w:type="dxa"/>
            <w:tcBorders>
              <w:top w:val="single" w:sz="4" w:space="0" w:color="auto"/>
              <w:bottom w:val="single" w:sz="4" w:space="0" w:color="auto"/>
              <w:right w:val="nil"/>
            </w:tcBorders>
            <w:shd w:val="clear" w:color="auto" w:fill="FABF8F" w:themeFill="accent6" w:themeFillTint="99"/>
            <w:noWrap/>
            <w:vAlign w:val="center"/>
            <w:hideMark/>
          </w:tcPr>
          <w:p w14:paraId="6A02D4F7" w14:textId="77777777" w:rsidR="00807992" w:rsidRPr="003F5464" w:rsidRDefault="00807992" w:rsidP="003F5464">
            <w:pPr>
              <w:spacing w:after="0"/>
              <w:ind w:firstLine="0"/>
              <w:jc w:val="left"/>
              <w:rPr>
                <w:rFonts w:ascii="Arial" w:hAnsi="Arial" w:cs="Arial"/>
                <w:bCs/>
                <w:color w:val="000000"/>
                <w:sz w:val="18"/>
                <w:szCs w:val="18"/>
                <w:lang w:val="es-ES" w:eastAsia="es-ES"/>
              </w:rPr>
            </w:pPr>
            <w:r w:rsidRPr="003F5464">
              <w:rPr>
                <w:rFonts w:ascii="Arial" w:hAnsi="Arial" w:cs="Arial"/>
                <w:bCs/>
                <w:color w:val="000000"/>
                <w:sz w:val="18"/>
                <w:szCs w:val="18"/>
                <w:lang w:eastAsia="es-ES"/>
              </w:rPr>
              <w:t>T</w:t>
            </w:r>
            <w:r w:rsidR="003F5464" w:rsidRPr="003F5464">
              <w:rPr>
                <w:rFonts w:ascii="Arial" w:hAnsi="Arial" w:cs="Arial"/>
                <w:bCs/>
                <w:color w:val="000000"/>
                <w:sz w:val="18"/>
                <w:szCs w:val="18"/>
                <w:lang w:eastAsia="es-ES"/>
              </w:rPr>
              <w:t>otal</w:t>
            </w:r>
          </w:p>
        </w:tc>
        <w:tc>
          <w:tcPr>
            <w:tcW w:w="1564" w:type="dxa"/>
            <w:tcBorders>
              <w:top w:val="single" w:sz="4" w:space="0" w:color="auto"/>
              <w:left w:val="nil"/>
              <w:bottom w:val="single" w:sz="4" w:space="0" w:color="auto"/>
            </w:tcBorders>
            <w:shd w:val="clear" w:color="auto" w:fill="FABF8F" w:themeFill="accent6" w:themeFillTint="99"/>
            <w:noWrap/>
            <w:vAlign w:val="bottom"/>
            <w:hideMark/>
          </w:tcPr>
          <w:p w14:paraId="09B105EA" w14:textId="77777777" w:rsidR="00807992" w:rsidRPr="007C4E17" w:rsidRDefault="00807992" w:rsidP="00807992">
            <w:pPr>
              <w:spacing w:after="0"/>
              <w:ind w:firstLine="0"/>
              <w:jc w:val="right"/>
              <w:rPr>
                <w:rFonts w:ascii="Arial" w:hAnsi="Arial" w:cs="Arial"/>
                <w:color w:val="000000"/>
                <w:sz w:val="18"/>
                <w:szCs w:val="18"/>
                <w:lang w:val="es-ES" w:eastAsia="es-ES"/>
              </w:rPr>
            </w:pPr>
            <w:r w:rsidRPr="007C4E17">
              <w:rPr>
                <w:rFonts w:ascii="Arial" w:hAnsi="Arial" w:cs="Arial"/>
                <w:color w:val="000000"/>
                <w:sz w:val="18"/>
                <w:szCs w:val="18"/>
                <w:lang w:val="es-ES" w:eastAsia="es-ES"/>
              </w:rPr>
              <w:t>459.800</w:t>
            </w:r>
          </w:p>
        </w:tc>
      </w:tr>
    </w:tbl>
    <w:p w14:paraId="19930F7B" w14:textId="77777777" w:rsidR="00807992" w:rsidRDefault="00807992" w:rsidP="0012553E">
      <w:pPr>
        <w:numPr>
          <w:ilvl w:val="0"/>
          <w:numId w:val="2"/>
        </w:numPr>
        <w:tabs>
          <w:tab w:val="clear" w:pos="502"/>
          <w:tab w:val="num" w:pos="300"/>
          <w:tab w:val="num" w:pos="360"/>
          <w:tab w:val="left" w:pos="480"/>
          <w:tab w:val="num" w:pos="600"/>
          <w:tab w:val="num" w:pos="720"/>
          <w:tab w:val="num" w:pos="1320"/>
          <w:tab w:val="num" w:pos="2062"/>
          <w:tab w:val="num" w:pos="4472"/>
        </w:tabs>
        <w:spacing w:before="120"/>
        <w:ind w:left="0" w:firstLine="289"/>
        <w:rPr>
          <w:rFonts w:cs="Arial"/>
          <w:spacing w:val="6"/>
          <w:sz w:val="26"/>
          <w:szCs w:val="24"/>
        </w:rPr>
      </w:pPr>
      <w:r w:rsidRPr="00C058F8">
        <w:rPr>
          <w:rFonts w:cs="Arial"/>
          <w:spacing w:val="6"/>
          <w:sz w:val="26"/>
          <w:szCs w:val="24"/>
        </w:rPr>
        <w:t>Mediante Acuerdo de la J</w:t>
      </w:r>
      <w:r>
        <w:rPr>
          <w:rFonts w:cs="Arial"/>
          <w:spacing w:val="6"/>
          <w:sz w:val="26"/>
          <w:szCs w:val="24"/>
        </w:rPr>
        <w:t xml:space="preserve">unta de Gobierno Local </w:t>
      </w:r>
      <w:r w:rsidRPr="00C058F8">
        <w:rPr>
          <w:rFonts w:cs="Arial"/>
          <w:spacing w:val="6"/>
          <w:sz w:val="26"/>
          <w:szCs w:val="24"/>
        </w:rPr>
        <w:t>de 26 de julio de 2021 se adjudica la “Redacción del proyecto de</w:t>
      </w:r>
      <w:r>
        <w:rPr>
          <w:rFonts w:cs="Arial"/>
          <w:spacing w:val="6"/>
          <w:sz w:val="26"/>
          <w:szCs w:val="24"/>
        </w:rPr>
        <w:t xml:space="preserve"> </w:t>
      </w:r>
      <w:r w:rsidRPr="00C058F8">
        <w:rPr>
          <w:rFonts w:cs="Arial"/>
          <w:spacing w:val="6"/>
          <w:sz w:val="26"/>
          <w:szCs w:val="24"/>
        </w:rPr>
        <w:t>refuerzo estructural y acondicionamiento de la Pasarela de Labrit”</w:t>
      </w:r>
      <w:r>
        <w:rPr>
          <w:rFonts w:cs="Arial"/>
          <w:spacing w:val="6"/>
          <w:sz w:val="26"/>
          <w:szCs w:val="24"/>
        </w:rPr>
        <w:t>, en 33.003 euros</w:t>
      </w:r>
      <w:r w:rsidRPr="00C058F8">
        <w:rPr>
          <w:rFonts w:cs="Arial"/>
          <w:spacing w:val="6"/>
          <w:sz w:val="26"/>
          <w:szCs w:val="24"/>
        </w:rPr>
        <w:t>. En el proyecto entregado se prevé un importe de lici</w:t>
      </w:r>
      <w:r>
        <w:rPr>
          <w:rFonts w:cs="Arial"/>
          <w:spacing w:val="6"/>
          <w:sz w:val="26"/>
          <w:szCs w:val="24"/>
        </w:rPr>
        <w:t>tación de 593.718 IVA incluido, con el siguiente desglose por partidas:</w:t>
      </w:r>
    </w:p>
    <w:tbl>
      <w:tblPr>
        <w:tblW w:w="8801" w:type="dxa"/>
        <w:tblInd w:w="-1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240"/>
        <w:gridCol w:w="1561"/>
      </w:tblGrid>
      <w:tr w:rsidR="00807992" w:rsidRPr="003F5464" w14:paraId="48BCC2CB" w14:textId="77777777" w:rsidTr="00EF14D2">
        <w:trPr>
          <w:trHeight w:val="255"/>
        </w:trPr>
        <w:tc>
          <w:tcPr>
            <w:tcW w:w="7240" w:type="dxa"/>
            <w:tcBorders>
              <w:bottom w:val="single" w:sz="4" w:space="0" w:color="auto"/>
            </w:tcBorders>
            <w:shd w:val="clear" w:color="auto" w:fill="FABF8F" w:themeFill="accent6" w:themeFillTint="99"/>
            <w:noWrap/>
            <w:vAlign w:val="center"/>
            <w:hideMark/>
          </w:tcPr>
          <w:p w14:paraId="39C5A5CB" w14:textId="77777777" w:rsidR="00807992" w:rsidRPr="003F5464" w:rsidRDefault="00807992" w:rsidP="009D18BF">
            <w:pPr>
              <w:spacing w:after="0"/>
              <w:ind w:firstLine="0"/>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C</w:t>
            </w:r>
            <w:r w:rsidR="009D18BF" w:rsidRPr="003F5464">
              <w:rPr>
                <w:rFonts w:ascii="Arial" w:hAnsi="Arial" w:cs="Arial"/>
                <w:bCs/>
                <w:color w:val="000000"/>
                <w:sz w:val="18"/>
                <w:szCs w:val="18"/>
                <w:lang w:val="es-ES" w:eastAsia="es-ES"/>
              </w:rPr>
              <w:t>apítulo</w:t>
            </w:r>
          </w:p>
        </w:tc>
        <w:tc>
          <w:tcPr>
            <w:tcW w:w="1561" w:type="dxa"/>
            <w:tcBorders>
              <w:bottom w:val="single" w:sz="4" w:space="0" w:color="auto"/>
            </w:tcBorders>
            <w:shd w:val="clear" w:color="auto" w:fill="FABF8F" w:themeFill="accent6" w:themeFillTint="99"/>
            <w:noWrap/>
            <w:vAlign w:val="center"/>
            <w:hideMark/>
          </w:tcPr>
          <w:p w14:paraId="6E763ADB" w14:textId="77777777" w:rsidR="00807992" w:rsidRPr="003F5464" w:rsidRDefault="00807992" w:rsidP="003F5464">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I</w:t>
            </w:r>
            <w:r w:rsidR="009D18BF" w:rsidRPr="003F5464">
              <w:rPr>
                <w:rFonts w:ascii="Arial" w:hAnsi="Arial" w:cs="Arial"/>
                <w:bCs/>
                <w:color w:val="000000"/>
                <w:sz w:val="18"/>
                <w:szCs w:val="18"/>
                <w:lang w:val="es-ES" w:eastAsia="es-ES"/>
              </w:rPr>
              <w:t>mporte</w:t>
            </w:r>
          </w:p>
        </w:tc>
      </w:tr>
      <w:tr w:rsidR="00807992" w:rsidRPr="006D1D7C" w14:paraId="74A39714" w14:textId="77777777" w:rsidTr="00EF14D2">
        <w:trPr>
          <w:trHeight w:val="198"/>
        </w:trPr>
        <w:tc>
          <w:tcPr>
            <w:tcW w:w="7240" w:type="dxa"/>
            <w:tcBorders>
              <w:top w:val="single" w:sz="4" w:space="0" w:color="auto"/>
              <w:bottom w:val="single" w:sz="2" w:space="0" w:color="auto"/>
            </w:tcBorders>
            <w:shd w:val="clear" w:color="auto" w:fill="auto"/>
            <w:noWrap/>
            <w:vAlign w:val="center"/>
            <w:hideMark/>
          </w:tcPr>
          <w:p w14:paraId="0C89BA7E" w14:textId="77777777" w:rsidR="00807992" w:rsidRPr="007C4E17" w:rsidRDefault="000023DA" w:rsidP="00807992">
            <w:pPr>
              <w:spacing w:after="0"/>
              <w:ind w:firstLine="0"/>
              <w:rPr>
                <w:rFonts w:ascii="Arial Narrow" w:hAnsi="Arial Narrow" w:cs="Calibri"/>
                <w:color w:val="000000"/>
                <w:lang w:val="es-ES" w:eastAsia="es-ES"/>
              </w:rPr>
            </w:pPr>
            <w:r>
              <w:rPr>
                <w:rFonts w:ascii="Arial Narrow" w:hAnsi="Arial Narrow" w:cs="Calibri"/>
                <w:color w:val="000000"/>
                <w:lang w:val="es-ES" w:eastAsia="es-ES"/>
              </w:rPr>
              <w:t>Reparació</w:t>
            </w:r>
            <w:r w:rsidR="00807992" w:rsidRPr="007C4E17">
              <w:rPr>
                <w:rFonts w:ascii="Arial Narrow" w:hAnsi="Arial Narrow" w:cs="Calibri"/>
                <w:color w:val="000000"/>
                <w:lang w:val="es-ES" w:eastAsia="es-ES"/>
              </w:rPr>
              <w:t>n estructura</w:t>
            </w:r>
          </w:p>
        </w:tc>
        <w:tc>
          <w:tcPr>
            <w:tcW w:w="1561" w:type="dxa"/>
            <w:tcBorders>
              <w:top w:val="single" w:sz="4" w:space="0" w:color="auto"/>
              <w:bottom w:val="single" w:sz="2" w:space="0" w:color="auto"/>
            </w:tcBorders>
            <w:shd w:val="clear" w:color="auto" w:fill="auto"/>
            <w:noWrap/>
            <w:vAlign w:val="center"/>
            <w:hideMark/>
          </w:tcPr>
          <w:p w14:paraId="1AC437F6" w14:textId="77777777" w:rsidR="00807992" w:rsidRPr="007C4E17" w:rsidRDefault="00807992" w:rsidP="00807992">
            <w:pPr>
              <w:spacing w:after="0"/>
              <w:ind w:firstLine="0"/>
              <w:jc w:val="right"/>
              <w:rPr>
                <w:rFonts w:ascii="Arial Narrow" w:hAnsi="Arial Narrow" w:cs="Calibri"/>
                <w:color w:val="000000"/>
                <w:lang w:val="es-ES" w:eastAsia="es-ES"/>
              </w:rPr>
            </w:pPr>
            <w:r w:rsidRPr="007C4E17">
              <w:rPr>
                <w:rFonts w:ascii="Arial Narrow" w:hAnsi="Arial Narrow" w:cs="Calibri"/>
                <w:color w:val="000000"/>
                <w:lang w:val="es-ES" w:eastAsia="es-ES"/>
              </w:rPr>
              <w:t>384.670</w:t>
            </w:r>
          </w:p>
        </w:tc>
      </w:tr>
      <w:tr w:rsidR="00807992" w:rsidRPr="006D1D7C" w14:paraId="345EB53C" w14:textId="77777777" w:rsidTr="00382D1C">
        <w:trPr>
          <w:trHeight w:val="198"/>
        </w:trPr>
        <w:tc>
          <w:tcPr>
            <w:tcW w:w="7240" w:type="dxa"/>
            <w:tcBorders>
              <w:top w:val="single" w:sz="2" w:space="0" w:color="auto"/>
              <w:bottom w:val="single" w:sz="2" w:space="0" w:color="auto"/>
            </w:tcBorders>
            <w:shd w:val="clear" w:color="auto" w:fill="auto"/>
            <w:noWrap/>
            <w:vAlign w:val="center"/>
            <w:hideMark/>
          </w:tcPr>
          <w:p w14:paraId="42E7DBBE" w14:textId="77777777" w:rsidR="00807992" w:rsidRPr="007C4E17" w:rsidRDefault="00807992" w:rsidP="00807992">
            <w:pPr>
              <w:spacing w:after="0"/>
              <w:ind w:firstLine="0"/>
              <w:rPr>
                <w:rFonts w:ascii="Arial Narrow" w:hAnsi="Arial Narrow" w:cs="Calibri"/>
                <w:color w:val="000000"/>
                <w:lang w:val="es-ES" w:eastAsia="es-ES"/>
              </w:rPr>
            </w:pPr>
            <w:r w:rsidRPr="007C4E17">
              <w:rPr>
                <w:rFonts w:ascii="Arial Narrow" w:hAnsi="Arial Narrow" w:cs="Calibri"/>
                <w:color w:val="000000"/>
                <w:lang w:val="es-ES" w:eastAsia="es-ES"/>
              </w:rPr>
              <w:t xml:space="preserve">01.01 Trabajos previos </w:t>
            </w:r>
          </w:p>
        </w:tc>
        <w:tc>
          <w:tcPr>
            <w:tcW w:w="1561" w:type="dxa"/>
            <w:tcBorders>
              <w:top w:val="single" w:sz="2" w:space="0" w:color="auto"/>
              <w:bottom w:val="single" w:sz="2" w:space="0" w:color="auto"/>
            </w:tcBorders>
            <w:shd w:val="clear" w:color="auto" w:fill="auto"/>
            <w:noWrap/>
            <w:vAlign w:val="center"/>
            <w:hideMark/>
          </w:tcPr>
          <w:p w14:paraId="53E5DD11" w14:textId="77777777" w:rsidR="00807992" w:rsidRPr="007C4E17" w:rsidRDefault="00807992" w:rsidP="00807992">
            <w:pPr>
              <w:spacing w:after="0"/>
              <w:ind w:firstLine="0"/>
              <w:jc w:val="right"/>
              <w:rPr>
                <w:rFonts w:ascii="Arial Narrow" w:hAnsi="Arial Narrow" w:cs="Calibri"/>
                <w:color w:val="000000"/>
                <w:lang w:val="es-ES" w:eastAsia="es-ES"/>
              </w:rPr>
            </w:pPr>
            <w:r w:rsidRPr="007C4E17">
              <w:rPr>
                <w:rFonts w:ascii="Arial Narrow" w:hAnsi="Arial Narrow" w:cs="Calibri"/>
                <w:color w:val="000000"/>
                <w:lang w:val="es-ES" w:eastAsia="es-ES"/>
              </w:rPr>
              <w:t>17.500</w:t>
            </w:r>
          </w:p>
        </w:tc>
      </w:tr>
      <w:tr w:rsidR="00807992" w:rsidRPr="006D1D7C" w14:paraId="56CBC782" w14:textId="77777777" w:rsidTr="00382D1C">
        <w:trPr>
          <w:trHeight w:val="198"/>
        </w:trPr>
        <w:tc>
          <w:tcPr>
            <w:tcW w:w="7240" w:type="dxa"/>
            <w:tcBorders>
              <w:top w:val="single" w:sz="2" w:space="0" w:color="auto"/>
              <w:bottom w:val="single" w:sz="2" w:space="0" w:color="auto"/>
            </w:tcBorders>
            <w:shd w:val="clear" w:color="auto" w:fill="auto"/>
            <w:noWrap/>
            <w:vAlign w:val="center"/>
            <w:hideMark/>
          </w:tcPr>
          <w:p w14:paraId="305B9364" w14:textId="77777777" w:rsidR="00807992" w:rsidRPr="007C4E17" w:rsidRDefault="00807992" w:rsidP="00807992">
            <w:pPr>
              <w:spacing w:after="0"/>
              <w:ind w:firstLine="0"/>
              <w:rPr>
                <w:rFonts w:ascii="Arial Narrow" w:hAnsi="Arial Narrow" w:cs="Calibri"/>
                <w:color w:val="000000"/>
                <w:lang w:val="es-ES" w:eastAsia="es-ES"/>
              </w:rPr>
            </w:pPr>
            <w:r w:rsidRPr="007C4E17">
              <w:rPr>
                <w:rFonts w:ascii="Arial Narrow" w:hAnsi="Arial Narrow" w:cs="Calibri"/>
                <w:color w:val="000000"/>
                <w:lang w:val="es-ES" w:eastAsia="es-ES"/>
              </w:rPr>
              <w:t xml:space="preserve">01.02 Estribos </w:t>
            </w:r>
          </w:p>
        </w:tc>
        <w:tc>
          <w:tcPr>
            <w:tcW w:w="1561" w:type="dxa"/>
            <w:tcBorders>
              <w:top w:val="single" w:sz="2" w:space="0" w:color="auto"/>
              <w:bottom w:val="single" w:sz="2" w:space="0" w:color="auto"/>
            </w:tcBorders>
            <w:shd w:val="clear" w:color="auto" w:fill="auto"/>
            <w:noWrap/>
            <w:vAlign w:val="center"/>
            <w:hideMark/>
          </w:tcPr>
          <w:p w14:paraId="44323FF1" w14:textId="77777777" w:rsidR="00807992" w:rsidRPr="007C4E17" w:rsidRDefault="00807992" w:rsidP="00807992">
            <w:pPr>
              <w:spacing w:after="0"/>
              <w:ind w:firstLine="0"/>
              <w:jc w:val="right"/>
              <w:rPr>
                <w:rFonts w:ascii="Arial Narrow" w:hAnsi="Arial Narrow" w:cs="Calibri"/>
                <w:color w:val="000000"/>
                <w:lang w:val="es-ES" w:eastAsia="es-ES"/>
              </w:rPr>
            </w:pPr>
            <w:r w:rsidRPr="007C4E17">
              <w:rPr>
                <w:rFonts w:ascii="Arial Narrow" w:hAnsi="Arial Narrow" w:cs="Calibri"/>
                <w:color w:val="000000"/>
                <w:lang w:val="es-ES" w:eastAsia="es-ES"/>
              </w:rPr>
              <w:t>91.670</w:t>
            </w:r>
          </w:p>
        </w:tc>
      </w:tr>
      <w:tr w:rsidR="00807992" w:rsidRPr="006D1D7C" w14:paraId="3C13AC75" w14:textId="77777777" w:rsidTr="00382D1C">
        <w:trPr>
          <w:trHeight w:val="198"/>
        </w:trPr>
        <w:tc>
          <w:tcPr>
            <w:tcW w:w="7240" w:type="dxa"/>
            <w:tcBorders>
              <w:top w:val="single" w:sz="2" w:space="0" w:color="auto"/>
              <w:bottom w:val="single" w:sz="2" w:space="0" w:color="auto"/>
            </w:tcBorders>
            <w:shd w:val="clear" w:color="auto" w:fill="auto"/>
            <w:noWrap/>
            <w:vAlign w:val="center"/>
            <w:hideMark/>
          </w:tcPr>
          <w:p w14:paraId="62B1A097" w14:textId="77777777" w:rsidR="00807992" w:rsidRPr="007C4E17" w:rsidRDefault="00807992" w:rsidP="000023DA">
            <w:pPr>
              <w:spacing w:after="0"/>
              <w:ind w:firstLine="0"/>
              <w:rPr>
                <w:rFonts w:ascii="Arial Narrow" w:hAnsi="Arial Narrow" w:cs="Calibri"/>
                <w:color w:val="000000"/>
                <w:lang w:val="es-ES" w:eastAsia="es-ES"/>
              </w:rPr>
            </w:pPr>
            <w:r w:rsidRPr="007C4E17">
              <w:rPr>
                <w:rFonts w:ascii="Arial Narrow" w:hAnsi="Arial Narrow" w:cs="Calibri"/>
                <w:color w:val="000000"/>
                <w:lang w:val="es-ES" w:eastAsia="es-ES"/>
              </w:rPr>
              <w:t>01.03 Estructura met</w:t>
            </w:r>
            <w:r w:rsidR="000023DA">
              <w:rPr>
                <w:rFonts w:ascii="Arial Narrow" w:hAnsi="Arial Narrow" w:cs="Calibri"/>
                <w:color w:val="000000"/>
                <w:lang w:val="es-ES" w:eastAsia="es-ES"/>
              </w:rPr>
              <w:t>á</w:t>
            </w:r>
            <w:r w:rsidRPr="007C4E17">
              <w:rPr>
                <w:rFonts w:ascii="Arial Narrow" w:hAnsi="Arial Narrow" w:cs="Calibri"/>
                <w:color w:val="000000"/>
                <w:lang w:val="es-ES" w:eastAsia="es-ES"/>
              </w:rPr>
              <w:t xml:space="preserve">lica </w:t>
            </w:r>
          </w:p>
        </w:tc>
        <w:tc>
          <w:tcPr>
            <w:tcW w:w="1561" w:type="dxa"/>
            <w:tcBorders>
              <w:top w:val="single" w:sz="2" w:space="0" w:color="auto"/>
              <w:bottom w:val="single" w:sz="2" w:space="0" w:color="auto"/>
            </w:tcBorders>
            <w:shd w:val="clear" w:color="auto" w:fill="auto"/>
            <w:noWrap/>
            <w:vAlign w:val="center"/>
            <w:hideMark/>
          </w:tcPr>
          <w:p w14:paraId="536A9CF1" w14:textId="77777777" w:rsidR="00807992" w:rsidRPr="007C4E17" w:rsidRDefault="00807992" w:rsidP="00807992">
            <w:pPr>
              <w:spacing w:after="0"/>
              <w:ind w:firstLine="0"/>
              <w:jc w:val="right"/>
              <w:rPr>
                <w:rFonts w:ascii="Arial Narrow" w:hAnsi="Arial Narrow" w:cs="Calibri"/>
                <w:color w:val="000000"/>
                <w:lang w:val="es-ES" w:eastAsia="es-ES"/>
              </w:rPr>
            </w:pPr>
            <w:r w:rsidRPr="007C4E17">
              <w:rPr>
                <w:rFonts w:ascii="Arial Narrow" w:hAnsi="Arial Narrow" w:cs="Calibri"/>
                <w:color w:val="000000"/>
                <w:lang w:val="es-ES" w:eastAsia="es-ES"/>
              </w:rPr>
              <w:t>275.499</w:t>
            </w:r>
          </w:p>
        </w:tc>
      </w:tr>
      <w:tr w:rsidR="00807992" w:rsidRPr="006D1D7C" w14:paraId="44B37517" w14:textId="77777777" w:rsidTr="00382D1C">
        <w:trPr>
          <w:trHeight w:val="198"/>
        </w:trPr>
        <w:tc>
          <w:tcPr>
            <w:tcW w:w="7240" w:type="dxa"/>
            <w:tcBorders>
              <w:top w:val="single" w:sz="2" w:space="0" w:color="auto"/>
              <w:bottom w:val="single" w:sz="2" w:space="0" w:color="auto"/>
            </w:tcBorders>
            <w:shd w:val="clear" w:color="auto" w:fill="auto"/>
            <w:noWrap/>
            <w:vAlign w:val="center"/>
            <w:hideMark/>
          </w:tcPr>
          <w:p w14:paraId="59CBD55A" w14:textId="77777777" w:rsidR="00807992" w:rsidRPr="007C4E17" w:rsidRDefault="00807992" w:rsidP="00807992">
            <w:pPr>
              <w:spacing w:after="0"/>
              <w:ind w:firstLine="0"/>
              <w:rPr>
                <w:rFonts w:ascii="Arial Narrow" w:hAnsi="Arial Narrow" w:cs="Calibri"/>
                <w:color w:val="000000"/>
                <w:lang w:val="es-ES" w:eastAsia="es-ES"/>
              </w:rPr>
            </w:pPr>
            <w:r w:rsidRPr="007C4E17">
              <w:rPr>
                <w:rFonts w:ascii="Arial Narrow" w:hAnsi="Arial Narrow" w:cs="Calibri"/>
                <w:color w:val="000000"/>
                <w:lang w:val="es-ES" w:eastAsia="es-ES"/>
              </w:rPr>
              <w:t xml:space="preserve">Pavimento y drenaje </w:t>
            </w:r>
          </w:p>
        </w:tc>
        <w:tc>
          <w:tcPr>
            <w:tcW w:w="1561" w:type="dxa"/>
            <w:tcBorders>
              <w:top w:val="single" w:sz="2" w:space="0" w:color="auto"/>
              <w:bottom w:val="single" w:sz="2" w:space="0" w:color="auto"/>
            </w:tcBorders>
            <w:shd w:val="clear" w:color="auto" w:fill="auto"/>
            <w:noWrap/>
            <w:vAlign w:val="center"/>
            <w:hideMark/>
          </w:tcPr>
          <w:p w14:paraId="7BC4B728" w14:textId="77777777" w:rsidR="00807992" w:rsidRPr="007C4E17" w:rsidRDefault="00807992" w:rsidP="00807992">
            <w:pPr>
              <w:spacing w:after="0"/>
              <w:ind w:firstLine="0"/>
              <w:jc w:val="right"/>
              <w:rPr>
                <w:rFonts w:ascii="Arial Narrow" w:hAnsi="Arial Narrow" w:cs="Calibri"/>
                <w:color w:val="000000"/>
                <w:lang w:val="es-ES" w:eastAsia="es-ES"/>
              </w:rPr>
            </w:pPr>
            <w:r w:rsidRPr="007C4E17">
              <w:rPr>
                <w:rFonts w:ascii="Arial Narrow" w:hAnsi="Arial Narrow" w:cs="Calibri"/>
                <w:color w:val="000000"/>
                <w:lang w:val="es-ES" w:eastAsia="es-ES"/>
              </w:rPr>
              <w:t>17.184</w:t>
            </w:r>
          </w:p>
        </w:tc>
      </w:tr>
      <w:tr w:rsidR="00807992" w:rsidRPr="006D1D7C" w14:paraId="2C887998" w14:textId="77777777" w:rsidTr="00382D1C">
        <w:trPr>
          <w:trHeight w:val="198"/>
        </w:trPr>
        <w:tc>
          <w:tcPr>
            <w:tcW w:w="7240" w:type="dxa"/>
            <w:tcBorders>
              <w:top w:val="single" w:sz="2" w:space="0" w:color="auto"/>
              <w:bottom w:val="single" w:sz="2" w:space="0" w:color="auto"/>
            </w:tcBorders>
            <w:shd w:val="clear" w:color="auto" w:fill="auto"/>
            <w:noWrap/>
            <w:vAlign w:val="center"/>
            <w:hideMark/>
          </w:tcPr>
          <w:p w14:paraId="339FBB10" w14:textId="77777777" w:rsidR="00807992" w:rsidRPr="007C4E17" w:rsidRDefault="00807992" w:rsidP="00807992">
            <w:pPr>
              <w:spacing w:after="0"/>
              <w:ind w:firstLine="0"/>
              <w:rPr>
                <w:rFonts w:ascii="Arial Narrow" w:hAnsi="Arial Narrow" w:cs="Calibri"/>
                <w:color w:val="000000"/>
                <w:lang w:val="es-ES" w:eastAsia="es-ES"/>
              </w:rPr>
            </w:pPr>
            <w:r w:rsidRPr="007C4E17">
              <w:rPr>
                <w:rFonts w:ascii="Arial Narrow" w:hAnsi="Arial Narrow" w:cs="Calibri"/>
                <w:color w:val="000000"/>
                <w:lang w:val="es-ES" w:eastAsia="es-ES"/>
              </w:rPr>
              <w:t xml:space="preserve">Seguridad y salud </w:t>
            </w:r>
          </w:p>
        </w:tc>
        <w:tc>
          <w:tcPr>
            <w:tcW w:w="1561" w:type="dxa"/>
            <w:tcBorders>
              <w:top w:val="single" w:sz="2" w:space="0" w:color="auto"/>
              <w:bottom w:val="single" w:sz="2" w:space="0" w:color="auto"/>
            </w:tcBorders>
            <w:shd w:val="clear" w:color="auto" w:fill="auto"/>
            <w:noWrap/>
            <w:vAlign w:val="center"/>
            <w:hideMark/>
          </w:tcPr>
          <w:p w14:paraId="11D82823" w14:textId="77777777" w:rsidR="00807992" w:rsidRPr="007C4E17" w:rsidRDefault="00807992" w:rsidP="00807992">
            <w:pPr>
              <w:spacing w:after="0"/>
              <w:ind w:firstLine="0"/>
              <w:jc w:val="right"/>
              <w:rPr>
                <w:rFonts w:ascii="Arial Narrow" w:hAnsi="Arial Narrow" w:cs="Calibri"/>
                <w:color w:val="000000"/>
                <w:lang w:val="es-ES" w:eastAsia="es-ES"/>
              </w:rPr>
            </w:pPr>
            <w:r w:rsidRPr="007C4E17">
              <w:rPr>
                <w:rFonts w:ascii="Arial Narrow" w:hAnsi="Arial Narrow" w:cs="Calibri"/>
                <w:color w:val="000000"/>
                <w:lang w:val="es-ES" w:eastAsia="es-ES"/>
              </w:rPr>
              <w:t>8.500</w:t>
            </w:r>
          </w:p>
        </w:tc>
      </w:tr>
      <w:tr w:rsidR="00807992" w:rsidRPr="006D1D7C" w14:paraId="3C4E64F0" w14:textId="77777777" w:rsidTr="00382D1C">
        <w:trPr>
          <w:trHeight w:val="198"/>
        </w:trPr>
        <w:tc>
          <w:tcPr>
            <w:tcW w:w="7240" w:type="dxa"/>
            <w:tcBorders>
              <w:top w:val="single" w:sz="2" w:space="0" w:color="auto"/>
              <w:bottom w:val="single" w:sz="2" w:space="0" w:color="auto"/>
            </w:tcBorders>
            <w:shd w:val="clear" w:color="auto" w:fill="auto"/>
            <w:noWrap/>
            <w:vAlign w:val="center"/>
            <w:hideMark/>
          </w:tcPr>
          <w:p w14:paraId="0AAD7C83" w14:textId="77777777" w:rsidR="00807992" w:rsidRPr="007C4E17" w:rsidRDefault="000023DA" w:rsidP="00807992">
            <w:pPr>
              <w:spacing w:after="0"/>
              <w:ind w:firstLine="0"/>
              <w:rPr>
                <w:rFonts w:ascii="Arial Narrow" w:hAnsi="Arial Narrow" w:cs="Calibri"/>
                <w:color w:val="000000"/>
                <w:lang w:val="es-ES" w:eastAsia="es-ES"/>
              </w:rPr>
            </w:pPr>
            <w:r>
              <w:rPr>
                <w:rFonts w:ascii="Arial Narrow" w:hAnsi="Arial Narrow" w:cs="Calibri"/>
                <w:color w:val="000000"/>
                <w:lang w:val="es-ES" w:eastAsia="es-ES"/>
              </w:rPr>
              <w:t>Gestió</w:t>
            </w:r>
            <w:r w:rsidR="00807992" w:rsidRPr="007C4E17">
              <w:rPr>
                <w:rFonts w:ascii="Arial Narrow" w:hAnsi="Arial Narrow" w:cs="Calibri"/>
                <w:color w:val="000000"/>
                <w:lang w:val="es-ES" w:eastAsia="es-ES"/>
              </w:rPr>
              <w:t>n de residuos</w:t>
            </w:r>
          </w:p>
        </w:tc>
        <w:tc>
          <w:tcPr>
            <w:tcW w:w="1561" w:type="dxa"/>
            <w:tcBorders>
              <w:top w:val="single" w:sz="2" w:space="0" w:color="auto"/>
              <w:bottom w:val="single" w:sz="2" w:space="0" w:color="auto"/>
            </w:tcBorders>
            <w:shd w:val="clear" w:color="auto" w:fill="auto"/>
            <w:noWrap/>
            <w:vAlign w:val="center"/>
            <w:hideMark/>
          </w:tcPr>
          <w:p w14:paraId="3C8E5B39" w14:textId="77777777" w:rsidR="00807992" w:rsidRPr="007C4E17" w:rsidRDefault="00807992" w:rsidP="00807992">
            <w:pPr>
              <w:spacing w:after="0"/>
              <w:ind w:firstLine="0"/>
              <w:jc w:val="right"/>
              <w:rPr>
                <w:rFonts w:ascii="Arial Narrow" w:hAnsi="Arial Narrow" w:cs="Calibri"/>
                <w:color w:val="000000"/>
                <w:lang w:val="es-ES" w:eastAsia="es-ES"/>
              </w:rPr>
            </w:pPr>
            <w:r w:rsidRPr="007C4E17">
              <w:rPr>
                <w:rFonts w:ascii="Arial Narrow" w:hAnsi="Arial Narrow" w:cs="Calibri"/>
                <w:color w:val="000000"/>
                <w:lang w:val="es-ES" w:eastAsia="es-ES"/>
              </w:rPr>
              <w:t>1.979</w:t>
            </w:r>
          </w:p>
        </w:tc>
      </w:tr>
      <w:tr w:rsidR="00807992" w:rsidRPr="006D1D7C" w14:paraId="173DC5CC" w14:textId="77777777" w:rsidTr="00382D1C">
        <w:trPr>
          <w:trHeight w:val="198"/>
        </w:trPr>
        <w:tc>
          <w:tcPr>
            <w:tcW w:w="7240" w:type="dxa"/>
            <w:tcBorders>
              <w:top w:val="single" w:sz="2" w:space="0" w:color="auto"/>
              <w:bottom w:val="single" w:sz="2" w:space="0" w:color="auto"/>
            </w:tcBorders>
            <w:shd w:val="clear" w:color="auto" w:fill="auto"/>
            <w:noWrap/>
            <w:vAlign w:val="center"/>
            <w:hideMark/>
          </w:tcPr>
          <w:p w14:paraId="26830CC0" w14:textId="77777777" w:rsidR="00807992" w:rsidRPr="007C4E17" w:rsidRDefault="00807992" w:rsidP="00807992">
            <w:pPr>
              <w:spacing w:after="0"/>
              <w:ind w:firstLine="0"/>
              <w:rPr>
                <w:rFonts w:ascii="Arial Narrow" w:hAnsi="Arial Narrow" w:cs="Calibri"/>
                <w:color w:val="000000"/>
                <w:lang w:val="es-ES" w:eastAsia="es-ES"/>
              </w:rPr>
            </w:pPr>
            <w:proofErr w:type="gramStart"/>
            <w:r w:rsidRPr="007C4E17">
              <w:rPr>
                <w:rFonts w:ascii="Arial Narrow" w:hAnsi="Arial Narrow" w:cs="Calibri"/>
                <w:color w:val="000000"/>
                <w:lang w:val="es-ES" w:eastAsia="es-ES"/>
              </w:rPr>
              <w:t>Total</w:t>
            </w:r>
            <w:proofErr w:type="gramEnd"/>
            <w:r w:rsidRPr="007C4E17">
              <w:rPr>
                <w:rFonts w:ascii="Arial Narrow" w:hAnsi="Arial Narrow" w:cs="Calibri"/>
                <w:color w:val="000000"/>
                <w:lang w:val="es-ES" w:eastAsia="es-ES"/>
              </w:rPr>
              <w:t xml:space="preserve"> ejecución</w:t>
            </w:r>
          </w:p>
        </w:tc>
        <w:tc>
          <w:tcPr>
            <w:tcW w:w="1561" w:type="dxa"/>
            <w:tcBorders>
              <w:top w:val="single" w:sz="2" w:space="0" w:color="auto"/>
              <w:bottom w:val="single" w:sz="2" w:space="0" w:color="auto"/>
            </w:tcBorders>
            <w:shd w:val="clear" w:color="auto" w:fill="auto"/>
            <w:noWrap/>
            <w:vAlign w:val="center"/>
            <w:hideMark/>
          </w:tcPr>
          <w:p w14:paraId="0C8CF91F" w14:textId="77777777" w:rsidR="00807992" w:rsidRPr="007C4E17" w:rsidRDefault="00807992" w:rsidP="00807992">
            <w:pPr>
              <w:spacing w:after="0"/>
              <w:ind w:firstLine="0"/>
              <w:jc w:val="right"/>
              <w:rPr>
                <w:rFonts w:ascii="Arial Narrow" w:hAnsi="Arial Narrow" w:cs="Calibri"/>
                <w:color w:val="000000"/>
                <w:lang w:val="es-ES" w:eastAsia="es-ES"/>
              </w:rPr>
            </w:pPr>
            <w:r w:rsidRPr="007C4E17">
              <w:rPr>
                <w:rFonts w:ascii="Arial Narrow" w:hAnsi="Arial Narrow" w:cs="Calibri"/>
                <w:color w:val="000000"/>
                <w:lang w:val="es-ES" w:eastAsia="es-ES"/>
              </w:rPr>
              <w:t>412.333</w:t>
            </w:r>
          </w:p>
        </w:tc>
      </w:tr>
      <w:tr w:rsidR="00807992" w:rsidRPr="006D1D7C" w14:paraId="244BB2CD" w14:textId="77777777" w:rsidTr="00382D1C">
        <w:trPr>
          <w:trHeight w:val="198"/>
        </w:trPr>
        <w:tc>
          <w:tcPr>
            <w:tcW w:w="7240" w:type="dxa"/>
            <w:tcBorders>
              <w:top w:val="single" w:sz="2" w:space="0" w:color="auto"/>
              <w:bottom w:val="single" w:sz="2" w:space="0" w:color="auto"/>
            </w:tcBorders>
            <w:shd w:val="clear" w:color="auto" w:fill="auto"/>
            <w:noWrap/>
            <w:vAlign w:val="center"/>
            <w:hideMark/>
          </w:tcPr>
          <w:p w14:paraId="37D9EB0B" w14:textId="77777777" w:rsidR="00807992" w:rsidRPr="007C4E17" w:rsidRDefault="00807992" w:rsidP="00807992">
            <w:pPr>
              <w:spacing w:after="0"/>
              <w:ind w:firstLine="0"/>
              <w:rPr>
                <w:rFonts w:ascii="Arial Narrow" w:hAnsi="Arial Narrow" w:cs="Calibri"/>
                <w:color w:val="000000"/>
                <w:lang w:val="es-ES" w:eastAsia="es-ES"/>
              </w:rPr>
            </w:pPr>
            <w:r w:rsidRPr="007C4E17">
              <w:rPr>
                <w:rFonts w:ascii="Arial Narrow" w:hAnsi="Arial Narrow" w:cs="Calibri"/>
                <w:color w:val="000000"/>
                <w:lang w:val="es-ES" w:eastAsia="es-ES"/>
              </w:rPr>
              <w:t>Gastos generales 13%</w:t>
            </w:r>
          </w:p>
        </w:tc>
        <w:tc>
          <w:tcPr>
            <w:tcW w:w="1561" w:type="dxa"/>
            <w:tcBorders>
              <w:top w:val="single" w:sz="2" w:space="0" w:color="auto"/>
              <w:bottom w:val="single" w:sz="2" w:space="0" w:color="auto"/>
            </w:tcBorders>
            <w:shd w:val="clear" w:color="auto" w:fill="auto"/>
            <w:noWrap/>
            <w:vAlign w:val="center"/>
            <w:hideMark/>
          </w:tcPr>
          <w:p w14:paraId="3E1AC6DC" w14:textId="77777777" w:rsidR="00807992" w:rsidRPr="007C4E17" w:rsidRDefault="00807992" w:rsidP="00807992">
            <w:pPr>
              <w:spacing w:after="0"/>
              <w:ind w:firstLine="0"/>
              <w:jc w:val="right"/>
              <w:rPr>
                <w:rFonts w:ascii="Arial Narrow" w:hAnsi="Arial Narrow" w:cs="Calibri"/>
                <w:color w:val="000000"/>
                <w:lang w:val="es-ES" w:eastAsia="es-ES"/>
              </w:rPr>
            </w:pPr>
            <w:r w:rsidRPr="007C4E17">
              <w:rPr>
                <w:rFonts w:ascii="Arial Narrow" w:hAnsi="Arial Narrow" w:cs="Calibri"/>
                <w:color w:val="000000"/>
                <w:lang w:val="es-ES" w:eastAsia="es-ES"/>
              </w:rPr>
              <w:t>53.603</w:t>
            </w:r>
          </w:p>
        </w:tc>
      </w:tr>
      <w:tr w:rsidR="00807992" w:rsidRPr="006D1D7C" w14:paraId="309F1F55" w14:textId="77777777" w:rsidTr="00382D1C">
        <w:trPr>
          <w:trHeight w:val="198"/>
        </w:trPr>
        <w:tc>
          <w:tcPr>
            <w:tcW w:w="7240" w:type="dxa"/>
            <w:tcBorders>
              <w:top w:val="single" w:sz="2" w:space="0" w:color="auto"/>
              <w:bottom w:val="single" w:sz="2" w:space="0" w:color="auto"/>
            </w:tcBorders>
            <w:shd w:val="clear" w:color="auto" w:fill="auto"/>
            <w:noWrap/>
            <w:vAlign w:val="center"/>
            <w:hideMark/>
          </w:tcPr>
          <w:p w14:paraId="071723E4" w14:textId="77777777" w:rsidR="00807992" w:rsidRPr="007C4E17" w:rsidRDefault="00807992" w:rsidP="00807992">
            <w:pPr>
              <w:spacing w:after="0"/>
              <w:ind w:firstLine="0"/>
              <w:rPr>
                <w:rFonts w:ascii="Arial Narrow" w:hAnsi="Arial Narrow" w:cs="Calibri"/>
                <w:color w:val="000000"/>
                <w:lang w:val="es-ES" w:eastAsia="es-ES"/>
              </w:rPr>
            </w:pPr>
            <w:r w:rsidRPr="007C4E17">
              <w:rPr>
                <w:rFonts w:ascii="Arial Narrow" w:hAnsi="Arial Narrow" w:cs="Calibri"/>
                <w:color w:val="000000"/>
                <w:lang w:val="es-ES" w:eastAsia="es-ES"/>
              </w:rPr>
              <w:t>Beneficio industrial 6%</w:t>
            </w:r>
          </w:p>
        </w:tc>
        <w:tc>
          <w:tcPr>
            <w:tcW w:w="1561" w:type="dxa"/>
            <w:tcBorders>
              <w:top w:val="single" w:sz="2" w:space="0" w:color="auto"/>
              <w:bottom w:val="single" w:sz="2" w:space="0" w:color="auto"/>
            </w:tcBorders>
            <w:shd w:val="clear" w:color="auto" w:fill="auto"/>
            <w:noWrap/>
            <w:vAlign w:val="center"/>
            <w:hideMark/>
          </w:tcPr>
          <w:p w14:paraId="1DC884E6" w14:textId="77777777" w:rsidR="00807992" w:rsidRPr="007C4E17" w:rsidRDefault="00807992" w:rsidP="00807992">
            <w:pPr>
              <w:spacing w:after="0"/>
              <w:ind w:firstLine="0"/>
              <w:jc w:val="right"/>
              <w:rPr>
                <w:rFonts w:ascii="Arial Narrow" w:hAnsi="Arial Narrow" w:cs="Calibri"/>
                <w:color w:val="000000"/>
                <w:lang w:val="es-ES" w:eastAsia="es-ES"/>
              </w:rPr>
            </w:pPr>
            <w:r w:rsidRPr="007C4E17">
              <w:rPr>
                <w:rFonts w:ascii="Arial Narrow" w:hAnsi="Arial Narrow" w:cs="Calibri"/>
                <w:color w:val="000000"/>
                <w:lang w:val="es-ES" w:eastAsia="es-ES"/>
              </w:rPr>
              <w:t>24.740</w:t>
            </w:r>
          </w:p>
        </w:tc>
      </w:tr>
      <w:tr w:rsidR="00807992" w:rsidRPr="006D1D7C" w14:paraId="1A505792" w14:textId="77777777" w:rsidTr="00382D1C">
        <w:trPr>
          <w:trHeight w:val="198"/>
        </w:trPr>
        <w:tc>
          <w:tcPr>
            <w:tcW w:w="7240" w:type="dxa"/>
            <w:tcBorders>
              <w:top w:val="single" w:sz="2" w:space="0" w:color="auto"/>
              <w:bottom w:val="single" w:sz="2" w:space="0" w:color="auto"/>
            </w:tcBorders>
            <w:shd w:val="clear" w:color="auto" w:fill="auto"/>
            <w:noWrap/>
            <w:vAlign w:val="center"/>
            <w:hideMark/>
          </w:tcPr>
          <w:p w14:paraId="6381C70F" w14:textId="77777777" w:rsidR="00807992" w:rsidRPr="007C4E17" w:rsidRDefault="00807992" w:rsidP="00807992">
            <w:pPr>
              <w:spacing w:after="0"/>
              <w:ind w:firstLine="0"/>
              <w:rPr>
                <w:rFonts w:ascii="Arial Narrow" w:hAnsi="Arial Narrow" w:cs="Calibri"/>
                <w:b/>
                <w:bCs/>
                <w:color w:val="000000"/>
                <w:lang w:val="es-ES" w:eastAsia="es-ES"/>
              </w:rPr>
            </w:pPr>
            <w:proofErr w:type="gramStart"/>
            <w:r w:rsidRPr="007C4E17">
              <w:rPr>
                <w:rFonts w:ascii="Arial Narrow" w:hAnsi="Arial Narrow" w:cs="Calibri"/>
                <w:b/>
                <w:bCs/>
                <w:color w:val="000000"/>
                <w:lang w:val="es-ES" w:eastAsia="es-ES"/>
              </w:rPr>
              <w:t>Total</w:t>
            </w:r>
            <w:proofErr w:type="gramEnd"/>
            <w:r w:rsidRPr="007C4E17">
              <w:rPr>
                <w:rFonts w:ascii="Arial Narrow" w:hAnsi="Arial Narrow" w:cs="Calibri"/>
                <w:b/>
                <w:bCs/>
                <w:color w:val="000000"/>
                <w:lang w:val="es-ES" w:eastAsia="es-ES"/>
              </w:rPr>
              <w:t xml:space="preserve"> ejecución contrata</w:t>
            </w:r>
          </w:p>
        </w:tc>
        <w:tc>
          <w:tcPr>
            <w:tcW w:w="1561" w:type="dxa"/>
            <w:tcBorders>
              <w:top w:val="single" w:sz="2" w:space="0" w:color="auto"/>
              <w:bottom w:val="single" w:sz="2" w:space="0" w:color="auto"/>
            </w:tcBorders>
            <w:shd w:val="clear" w:color="auto" w:fill="auto"/>
            <w:noWrap/>
            <w:vAlign w:val="center"/>
            <w:hideMark/>
          </w:tcPr>
          <w:p w14:paraId="04BE79B9" w14:textId="77777777" w:rsidR="00807992" w:rsidRPr="007C4E17" w:rsidRDefault="00807992" w:rsidP="00807992">
            <w:pPr>
              <w:spacing w:after="0"/>
              <w:ind w:firstLine="0"/>
              <w:jc w:val="right"/>
              <w:rPr>
                <w:rFonts w:ascii="Arial Narrow" w:hAnsi="Arial Narrow" w:cs="Calibri"/>
                <w:b/>
                <w:bCs/>
                <w:color w:val="000000"/>
                <w:lang w:val="es-ES" w:eastAsia="es-ES"/>
              </w:rPr>
            </w:pPr>
            <w:r w:rsidRPr="007C4E17">
              <w:rPr>
                <w:rFonts w:ascii="Arial Narrow" w:hAnsi="Arial Narrow" w:cs="Calibri"/>
                <w:b/>
                <w:bCs/>
                <w:color w:val="000000"/>
                <w:lang w:val="es-ES" w:eastAsia="es-ES"/>
              </w:rPr>
              <w:t>490.676</w:t>
            </w:r>
          </w:p>
        </w:tc>
      </w:tr>
      <w:tr w:rsidR="00807992" w:rsidRPr="006D1D7C" w14:paraId="200E90A6" w14:textId="77777777" w:rsidTr="00EF14D2">
        <w:trPr>
          <w:trHeight w:val="198"/>
        </w:trPr>
        <w:tc>
          <w:tcPr>
            <w:tcW w:w="7240" w:type="dxa"/>
            <w:tcBorders>
              <w:top w:val="single" w:sz="2" w:space="0" w:color="auto"/>
              <w:bottom w:val="single" w:sz="4" w:space="0" w:color="auto"/>
            </w:tcBorders>
            <w:shd w:val="clear" w:color="auto" w:fill="auto"/>
            <w:noWrap/>
            <w:vAlign w:val="center"/>
            <w:hideMark/>
          </w:tcPr>
          <w:p w14:paraId="173C39B5" w14:textId="77777777" w:rsidR="00807992" w:rsidRPr="007C4E17" w:rsidRDefault="00807992" w:rsidP="00807992">
            <w:pPr>
              <w:spacing w:after="0"/>
              <w:ind w:firstLine="0"/>
              <w:rPr>
                <w:rFonts w:ascii="Arial Narrow" w:hAnsi="Arial Narrow" w:cs="Calibri"/>
                <w:color w:val="000000"/>
                <w:lang w:val="es-ES" w:eastAsia="es-ES"/>
              </w:rPr>
            </w:pPr>
            <w:r w:rsidRPr="007C4E17">
              <w:rPr>
                <w:rFonts w:ascii="Arial Narrow" w:hAnsi="Arial Narrow" w:cs="Calibri"/>
                <w:color w:val="000000"/>
                <w:lang w:val="es-ES" w:eastAsia="es-ES"/>
              </w:rPr>
              <w:t>IVA 21%</w:t>
            </w:r>
          </w:p>
        </w:tc>
        <w:tc>
          <w:tcPr>
            <w:tcW w:w="1561" w:type="dxa"/>
            <w:tcBorders>
              <w:top w:val="single" w:sz="2" w:space="0" w:color="auto"/>
              <w:bottom w:val="single" w:sz="4" w:space="0" w:color="auto"/>
            </w:tcBorders>
            <w:shd w:val="clear" w:color="auto" w:fill="auto"/>
            <w:noWrap/>
            <w:vAlign w:val="center"/>
            <w:hideMark/>
          </w:tcPr>
          <w:p w14:paraId="7C7E9B09" w14:textId="77777777" w:rsidR="00807992" w:rsidRPr="007C4E17" w:rsidRDefault="00807992" w:rsidP="00807992">
            <w:pPr>
              <w:spacing w:after="0"/>
              <w:ind w:firstLine="0"/>
              <w:jc w:val="right"/>
              <w:rPr>
                <w:rFonts w:ascii="Arial Narrow" w:hAnsi="Arial Narrow" w:cs="Calibri"/>
                <w:color w:val="000000"/>
                <w:lang w:val="es-ES" w:eastAsia="es-ES"/>
              </w:rPr>
            </w:pPr>
            <w:r w:rsidRPr="007C4E17">
              <w:rPr>
                <w:rFonts w:ascii="Arial Narrow" w:hAnsi="Arial Narrow" w:cs="Calibri"/>
                <w:color w:val="000000"/>
                <w:lang w:val="es-ES" w:eastAsia="es-ES"/>
              </w:rPr>
              <w:t>103.042</w:t>
            </w:r>
          </w:p>
        </w:tc>
      </w:tr>
      <w:tr w:rsidR="00807992" w:rsidRPr="006D1D7C" w14:paraId="474AD760" w14:textId="77777777" w:rsidTr="00EF14D2">
        <w:trPr>
          <w:trHeight w:val="198"/>
        </w:trPr>
        <w:tc>
          <w:tcPr>
            <w:tcW w:w="7240" w:type="dxa"/>
            <w:tcBorders>
              <w:top w:val="single" w:sz="4" w:space="0" w:color="auto"/>
              <w:bottom w:val="single" w:sz="4" w:space="0" w:color="auto"/>
            </w:tcBorders>
            <w:shd w:val="clear" w:color="auto" w:fill="auto"/>
            <w:noWrap/>
            <w:vAlign w:val="center"/>
            <w:hideMark/>
          </w:tcPr>
          <w:p w14:paraId="69CFE4D4" w14:textId="77777777" w:rsidR="00807992" w:rsidRPr="007C4E17" w:rsidRDefault="00807992" w:rsidP="00807992">
            <w:pPr>
              <w:spacing w:after="0"/>
              <w:ind w:firstLine="0"/>
              <w:rPr>
                <w:rFonts w:ascii="Arial Narrow" w:hAnsi="Arial Narrow" w:cs="Calibri"/>
                <w:b/>
                <w:bCs/>
                <w:color w:val="000000"/>
                <w:lang w:val="es-ES" w:eastAsia="es-ES"/>
              </w:rPr>
            </w:pPr>
            <w:r w:rsidRPr="007C4E17">
              <w:rPr>
                <w:rFonts w:ascii="Arial Narrow" w:hAnsi="Arial Narrow" w:cs="Calibri"/>
                <w:b/>
                <w:bCs/>
                <w:color w:val="000000"/>
                <w:lang w:val="es-ES" w:eastAsia="es-ES"/>
              </w:rPr>
              <w:t>Presupuesto licitación</w:t>
            </w:r>
          </w:p>
        </w:tc>
        <w:tc>
          <w:tcPr>
            <w:tcW w:w="1561" w:type="dxa"/>
            <w:tcBorders>
              <w:top w:val="single" w:sz="4" w:space="0" w:color="auto"/>
              <w:bottom w:val="single" w:sz="4" w:space="0" w:color="auto"/>
            </w:tcBorders>
            <w:shd w:val="clear" w:color="auto" w:fill="auto"/>
            <w:noWrap/>
            <w:vAlign w:val="center"/>
            <w:hideMark/>
          </w:tcPr>
          <w:p w14:paraId="678A7F84" w14:textId="77777777" w:rsidR="00807992" w:rsidRPr="007C4E17" w:rsidRDefault="00807992" w:rsidP="00807992">
            <w:pPr>
              <w:spacing w:after="0"/>
              <w:ind w:firstLine="0"/>
              <w:jc w:val="right"/>
              <w:rPr>
                <w:rFonts w:ascii="Arial Narrow" w:hAnsi="Arial Narrow" w:cs="Calibri"/>
                <w:b/>
                <w:bCs/>
                <w:color w:val="000000"/>
                <w:lang w:val="es-ES" w:eastAsia="es-ES"/>
              </w:rPr>
            </w:pPr>
            <w:r w:rsidRPr="007C4E17">
              <w:rPr>
                <w:rFonts w:ascii="Arial Narrow" w:hAnsi="Arial Narrow" w:cs="Calibri"/>
                <w:b/>
                <w:bCs/>
                <w:color w:val="000000"/>
                <w:lang w:val="es-ES" w:eastAsia="es-ES"/>
              </w:rPr>
              <w:t>593.718</w:t>
            </w:r>
          </w:p>
        </w:tc>
      </w:tr>
    </w:tbl>
    <w:p w14:paraId="1D355159" w14:textId="77777777" w:rsidR="00807992" w:rsidRDefault="00807992" w:rsidP="00807992">
      <w:pPr>
        <w:tabs>
          <w:tab w:val="left" w:pos="142"/>
          <w:tab w:val="center" w:pos="2835"/>
          <w:tab w:val="center" w:pos="3969"/>
          <w:tab w:val="num" w:pos="4046"/>
          <w:tab w:val="center" w:pos="5103"/>
          <w:tab w:val="center" w:pos="6237"/>
          <w:tab w:val="center" w:pos="7371"/>
        </w:tabs>
        <w:spacing w:before="120" w:after="240"/>
        <w:ind w:firstLine="284"/>
        <w:rPr>
          <w:b/>
        </w:rPr>
      </w:pPr>
      <w:r w:rsidRPr="006D1D7C">
        <w:rPr>
          <w:spacing w:val="6"/>
          <w:sz w:val="26"/>
          <w:szCs w:val="26"/>
          <w:lang w:val="es-ES" w:eastAsia="es-ES"/>
        </w:rPr>
        <w:lastRenderedPageBreak/>
        <w:t xml:space="preserve">La principal diferencia entre el presupuesto previsto por el </w:t>
      </w:r>
      <w:r w:rsidR="00BF48C6">
        <w:rPr>
          <w:rFonts w:cs="Arial"/>
          <w:spacing w:val="6"/>
          <w:sz w:val="26"/>
          <w:szCs w:val="24"/>
        </w:rPr>
        <w:t>COICCP</w:t>
      </w:r>
      <w:r w:rsidR="00BF48C6" w:rsidRPr="006D1D7C">
        <w:rPr>
          <w:spacing w:val="6"/>
          <w:sz w:val="26"/>
          <w:szCs w:val="26"/>
          <w:lang w:val="es-ES" w:eastAsia="es-ES"/>
        </w:rPr>
        <w:t xml:space="preserve"> </w:t>
      </w:r>
      <w:r w:rsidRPr="006D1D7C">
        <w:rPr>
          <w:spacing w:val="6"/>
          <w:sz w:val="26"/>
          <w:szCs w:val="26"/>
          <w:lang w:val="es-ES" w:eastAsia="es-ES"/>
        </w:rPr>
        <w:t xml:space="preserve">y el proyecto final redactado para la rehabilitación de la pasarela se encuentra en la partida de “refuerzo de la estructura metálica” que el </w:t>
      </w:r>
      <w:r w:rsidR="00BF48C6">
        <w:rPr>
          <w:rFonts w:cs="Arial"/>
          <w:spacing w:val="6"/>
          <w:sz w:val="26"/>
          <w:szCs w:val="24"/>
        </w:rPr>
        <w:t>COICCP</w:t>
      </w:r>
      <w:r w:rsidR="00BF48C6" w:rsidRPr="006D1D7C">
        <w:rPr>
          <w:spacing w:val="6"/>
          <w:sz w:val="26"/>
          <w:szCs w:val="26"/>
          <w:lang w:val="es-ES" w:eastAsia="es-ES"/>
        </w:rPr>
        <w:t xml:space="preserve"> </w:t>
      </w:r>
      <w:r w:rsidR="000023DA">
        <w:rPr>
          <w:spacing w:val="6"/>
          <w:sz w:val="26"/>
          <w:szCs w:val="26"/>
          <w:lang w:val="es-ES" w:eastAsia="es-ES"/>
        </w:rPr>
        <w:t>estimaba un gasto de 130.0</w:t>
      </w:r>
      <w:r w:rsidRPr="006D1D7C">
        <w:rPr>
          <w:spacing w:val="6"/>
          <w:sz w:val="26"/>
          <w:szCs w:val="26"/>
          <w:lang w:val="es-ES" w:eastAsia="es-ES"/>
        </w:rPr>
        <w:t>00 euros y el proyecto prevé necesario un coste de 275.</w:t>
      </w:r>
      <w:r>
        <w:rPr>
          <w:spacing w:val="6"/>
          <w:sz w:val="26"/>
          <w:szCs w:val="26"/>
          <w:lang w:val="es-ES" w:eastAsia="es-ES"/>
        </w:rPr>
        <w:t xml:space="preserve">499 </w:t>
      </w:r>
      <w:r w:rsidRPr="006D1D7C">
        <w:rPr>
          <w:spacing w:val="6"/>
          <w:sz w:val="26"/>
          <w:szCs w:val="26"/>
          <w:lang w:val="es-ES" w:eastAsia="es-ES"/>
        </w:rPr>
        <w:t xml:space="preserve">euros. </w:t>
      </w:r>
    </w:p>
    <w:p w14:paraId="217E8426" w14:textId="77777777" w:rsidR="00807992" w:rsidRPr="007C4E17" w:rsidRDefault="00FE5891" w:rsidP="00FE5891">
      <w:pPr>
        <w:numPr>
          <w:ilvl w:val="0"/>
          <w:numId w:val="2"/>
        </w:numPr>
        <w:tabs>
          <w:tab w:val="num" w:pos="300"/>
          <w:tab w:val="num" w:pos="360"/>
          <w:tab w:val="num" w:pos="600"/>
          <w:tab w:val="num" w:pos="720"/>
          <w:tab w:val="num" w:pos="1320"/>
          <w:tab w:val="num" w:pos="2062"/>
          <w:tab w:val="num" w:pos="4472"/>
        </w:tabs>
        <w:ind w:left="0" w:firstLine="289"/>
        <w:rPr>
          <w:b/>
        </w:rPr>
      </w:pPr>
      <w:r>
        <w:rPr>
          <w:rFonts w:cs="Arial"/>
          <w:color w:val="000000" w:themeColor="text1"/>
          <w:spacing w:val="6"/>
          <w:sz w:val="26"/>
          <w:szCs w:val="24"/>
        </w:rPr>
        <w:t>L</w:t>
      </w:r>
      <w:r w:rsidR="00807992" w:rsidRPr="00976AEA">
        <w:rPr>
          <w:rFonts w:cs="Arial"/>
          <w:color w:val="000000" w:themeColor="text1"/>
          <w:spacing w:val="6"/>
          <w:sz w:val="26"/>
          <w:szCs w:val="24"/>
        </w:rPr>
        <w:t>a</w:t>
      </w:r>
      <w:r w:rsidR="00807992" w:rsidRPr="007C4E17">
        <w:rPr>
          <w:rFonts w:cs="Arial"/>
          <w:spacing w:val="6"/>
          <w:sz w:val="26"/>
          <w:szCs w:val="24"/>
        </w:rPr>
        <w:t xml:space="preserve"> </w:t>
      </w:r>
      <w:r w:rsidR="006D4233">
        <w:rPr>
          <w:rFonts w:cs="Arial"/>
          <w:spacing w:val="6"/>
          <w:sz w:val="26"/>
          <w:szCs w:val="24"/>
        </w:rPr>
        <w:t>Junta de Gobierno Local adjudica</w:t>
      </w:r>
      <w:r w:rsidR="00807992" w:rsidRPr="007C4E17">
        <w:rPr>
          <w:rFonts w:cs="Arial"/>
          <w:spacing w:val="6"/>
          <w:sz w:val="26"/>
          <w:szCs w:val="24"/>
        </w:rPr>
        <w:t xml:space="preserve"> el 22 de noviembre de 2021 la obra con un plazo de ejecución de 105 días naturales, un plazo de garantía de 3 años, y un importe de 593.718 euros IVA incluido.</w:t>
      </w:r>
    </w:p>
    <w:p w14:paraId="0DA05DDB" w14:textId="77777777" w:rsidR="00807992" w:rsidRPr="006D1D7C" w:rsidRDefault="00807992" w:rsidP="00FE5891">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r w:rsidRPr="006D1D7C">
        <w:rPr>
          <w:spacing w:val="6"/>
          <w:sz w:val="26"/>
          <w:szCs w:val="26"/>
          <w:lang w:val="es-ES" w:eastAsia="es-ES"/>
        </w:rPr>
        <w:t>Mediante la oportuna acta de replanteo y de comienzo de</w:t>
      </w:r>
      <w:r w:rsidR="006D4233">
        <w:rPr>
          <w:spacing w:val="6"/>
          <w:sz w:val="26"/>
          <w:szCs w:val="26"/>
          <w:lang w:val="es-ES" w:eastAsia="es-ES"/>
        </w:rPr>
        <w:t xml:space="preserve"> obra firmada por la representante </w:t>
      </w:r>
      <w:r w:rsidRPr="006D1D7C">
        <w:rPr>
          <w:spacing w:val="6"/>
          <w:sz w:val="26"/>
          <w:szCs w:val="26"/>
          <w:lang w:val="es-ES" w:eastAsia="es-ES"/>
        </w:rPr>
        <w:t>del ayuntamiento, la dirección facultativa de la obra y el contratista se acuerda el 7 de marzo de 2022 como la fecha de inicio de la obra a efectos contractuales.</w:t>
      </w:r>
      <w:bookmarkStart w:id="175" w:name="TMB771038541"/>
      <w:bookmarkEnd w:id="175"/>
      <w:r w:rsidR="006D4233">
        <w:rPr>
          <w:spacing w:val="6"/>
          <w:sz w:val="26"/>
          <w:szCs w:val="26"/>
          <w:lang w:val="es-ES" w:eastAsia="es-ES"/>
        </w:rPr>
        <w:t xml:space="preserve"> </w:t>
      </w:r>
      <w:proofErr w:type="gramStart"/>
      <w:r w:rsidR="00047EBC">
        <w:rPr>
          <w:spacing w:val="6"/>
          <w:sz w:val="26"/>
          <w:szCs w:val="26"/>
          <w:lang w:val="es-ES" w:eastAsia="es-ES"/>
        </w:rPr>
        <w:t>D</w:t>
      </w:r>
      <w:r w:rsidR="006D4233">
        <w:rPr>
          <w:spacing w:val="6"/>
          <w:sz w:val="26"/>
          <w:szCs w:val="26"/>
          <w:lang w:val="es-ES" w:eastAsia="es-ES"/>
        </w:rPr>
        <w:t>e acuerdo a</w:t>
      </w:r>
      <w:proofErr w:type="gramEnd"/>
      <w:r w:rsidR="006D4233">
        <w:rPr>
          <w:spacing w:val="6"/>
          <w:sz w:val="26"/>
          <w:szCs w:val="26"/>
          <w:lang w:val="es-ES" w:eastAsia="es-ES"/>
        </w:rPr>
        <w:t xml:space="preserve"> los pliegos, </w:t>
      </w:r>
      <w:r>
        <w:rPr>
          <w:spacing w:val="6"/>
          <w:sz w:val="26"/>
          <w:szCs w:val="26"/>
          <w:lang w:val="es-ES" w:eastAsia="es-ES"/>
        </w:rPr>
        <w:t xml:space="preserve">el plazo máximo para las citada acta y comienzo de obra no debía ser posterior al 14 de enero de 2022. </w:t>
      </w:r>
    </w:p>
    <w:p w14:paraId="5C3D48F0" w14:textId="77777777" w:rsidR="00807992" w:rsidRDefault="00807992" w:rsidP="00976AEA">
      <w:pPr>
        <w:numPr>
          <w:ilvl w:val="0"/>
          <w:numId w:val="2"/>
        </w:numPr>
        <w:tabs>
          <w:tab w:val="clear" w:pos="502"/>
          <w:tab w:val="num" w:pos="300"/>
          <w:tab w:val="num" w:pos="360"/>
          <w:tab w:val="left" w:pos="480"/>
          <w:tab w:val="num" w:pos="600"/>
          <w:tab w:val="num" w:pos="720"/>
          <w:tab w:val="num" w:pos="1320"/>
          <w:tab w:val="num" w:pos="2062"/>
          <w:tab w:val="num" w:pos="4472"/>
        </w:tabs>
        <w:spacing w:before="120"/>
        <w:ind w:left="0" w:firstLine="289"/>
        <w:rPr>
          <w:rFonts w:cs="Arial"/>
          <w:spacing w:val="6"/>
          <w:sz w:val="26"/>
          <w:szCs w:val="24"/>
        </w:rPr>
      </w:pPr>
      <w:r>
        <w:rPr>
          <w:rFonts w:cs="Arial"/>
          <w:spacing w:val="6"/>
          <w:sz w:val="26"/>
          <w:szCs w:val="24"/>
        </w:rPr>
        <w:t>A la f</w:t>
      </w:r>
      <w:r w:rsidRPr="006D1D7C">
        <w:rPr>
          <w:rFonts w:cs="Arial"/>
          <w:spacing w:val="6"/>
          <w:sz w:val="26"/>
          <w:szCs w:val="24"/>
        </w:rPr>
        <w:t>echa</w:t>
      </w:r>
      <w:r>
        <w:rPr>
          <w:rFonts w:cs="Arial"/>
          <w:spacing w:val="6"/>
          <w:sz w:val="26"/>
          <w:szCs w:val="24"/>
        </w:rPr>
        <w:t xml:space="preserve"> de </w:t>
      </w:r>
      <w:r w:rsidR="00DF0BDD">
        <w:rPr>
          <w:rFonts w:cs="Arial"/>
          <w:spacing w:val="6"/>
          <w:sz w:val="26"/>
          <w:szCs w:val="24"/>
        </w:rPr>
        <w:t xml:space="preserve">finalización del trabajo de campo </w:t>
      </w:r>
      <w:r>
        <w:rPr>
          <w:rFonts w:cs="Arial"/>
          <w:spacing w:val="6"/>
          <w:sz w:val="26"/>
          <w:szCs w:val="24"/>
        </w:rPr>
        <w:t xml:space="preserve">de este informe </w:t>
      </w:r>
      <w:r w:rsidRPr="006D1D7C">
        <w:rPr>
          <w:rFonts w:cs="Arial"/>
          <w:spacing w:val="6"/>
          <w:sz w:val="26"/>
          <w:szCs w:val="24"/>
        </w:rPr>
        <w:t xml:space="preserve">se han reconocido obligaciones por </w:t>
      </w:r>
      <w:r>
        <w:rPr>
          <w:rFonts w:cs="Arial"/>
          <w:spacing w:val="6"/>
          <w:sz w:val="26"/>
          <w:szCs w:val="24"/>
        </w:rPr>
        <w:t xml:space="preserve">seis </w:t>
      </w:r>
      <w:r w:rsidRPr="006D1D7C">
        <w:rPr>
          <w:rFonts w:cs="Arial"/>
          <w:spacing w:val="6"/>
          <w:sz w:val="26"/>
          <w:szCs w:val="24"/>
        </w:rPr>
        <w:t xml:space="preserve">certificaciones de obra </w:t>
      </w:r>
      <w:r>
        <w:rPr>
          <w:rFonts w:cs="Arial"/>
          <w:spacing w:val="6"/>
          <w:sz w:val="26"/>
          <w:szCs w:val="24"/>
        </w:rPr>
        <w:t xml:space="preserve">por un total de 463.369 euros, de los que únicamente la primera certificación </w:t>
      </w:r>
      <w:r w:rsidR="000023DA">
        <w:rPr>
          <w:rFonts w:cs="Arial"/>
          <w:spacing w:val="6"/>
          <w:sz w:val="26"/>
          <w:szCs w:val="24"/>
        </w:rPr>
        <w:t xml:space="preserve">que se correspondía con el acopio por materiales, </w:t>
      </w:r>
      <w:r>
        <w:rPr>
          <w:rFonts w:cs="Arial"/>
          <w:spacing w:val="6"/>
          <w:sz w:val="26"/>
          <w:szCs w:val="24"/>
        </w:rPr>
        <w:t>por importe de 106.659 euros</w:t>
      </w:r>
      <w:r w:rsidR="00047EBC">
        <w:rPr>
          <w:rFonts w:cs="Arial"/>
          <w:spacing w:val="6"/>
          <w:sz w:val="26"/>
          <w:szCs w:val="24"/>
        </w:rPr>
        <w:t>,</w:t>
      </w:r>
      <w:r>
        <w:rPr>
          <w:rFonts w:cs="Arial"/>
          <w:spacing w:val="6"/>
          <w:sz w:val="26"/>
          <w:szCs w:val="24"/>
        </w:rPr>
        <w:t xml:space="preserve"> se corresponde con obra ejecutada y certificada en 2021. </w:t>
      </w:r>
    </w:p>
    <w:p w14:paraId="362409BD" w14:textId="77777777" w:rsidR="00807992" w:rsidRDefault="00807992" w:rsidP="00FE5891">
      <w:pPr>
        <w:numPr>
          <w:ilvl w:val="0"/>
          <w:numId w:val="2"/>
        </w:numPr>
        <w:tabs>
          <w:tab w:val="num" w:pos="300"/>
          <w:tab w:val="num" w:pos="360"/>
          <w:tab w:val="num" w:pos="600"/>
          <w:tab w:val="num" w:pos="720"/>
          <w:tab w:val="num" w:pos="1320"/>
          <w:tab w:val="num" w:pos="2062"/>
          <w:tab w:val="num" w:pos="4472"/>
        </w:tabs>
        <w:ind w:left="0" w:firstLine="289"/>
      </w:pPr>
      <w:r w:rsidRPr="007C4E17">
        <w:rPr>
          <w:rFonts w:cs="Arial"/>
          <w:spacing w:val="6"/>
          <w:sz w:val="26"/>
          <w:szCs w:val="24"/>
        </w:rPr>
        <w:t>En</w:t>
      </w:r>
      <w:r>
        <w:rPr>
          <w:rFonts w:cs="Arial"/>
          <w:spacing w:val="6"/>
          <w:sz w:val="26"/>
          <w:szCs w:val="24"/>
        </w:rPr>
        <w:t xml:space="preserve"> el ejercicio 2022 se han realizado dos modificaciones contractuales por lo </w:t>
      </w:r>
      <w:proofErr w:type="gramStart"/>
      <w:r>
        <w:rPr>
          <w:rFonts w:cs="Arial"/>
          <w:spacing w:val="6"/>
          <w:sz w:val="26"/>
          <w:szCs w:val="24"/>
        </w:rPr>
        <w:t>que</w:t>
      </w:r>
      <w:proofErr w:type="gramEnd"/>
      <w:r>
        <w:rPr>
          <w:rFonts w:cs="Arial"/>
          <w:spacing w:val="6"/>
          <w:sz w:val="26"/>
          <w:szCs w:val="24"/>
        </w:rPr>
        <w:t xml:space="preserve"> a la fecha de </w:t>
      </w:r>
      <w:r w:rsidR="00DF0BDD">
        <w:rPr>
          <w:rFonts w:cs="Arial"/>
          <w:spacing w:val="6"/>
          <w:sz w:val="26"/>
          <w:szCs w:val="24"/>
        </w:rPr>
        <w:t xml:space="preserve">finalización del trabajo de campo </w:t>
      </w:r>
      <w:r>
        <w:rPr>
          <w:rFonts w:cs="Arial"/>
          <w:spacing w:val="6"/>
          <w:sz w:val="26"/>
          <w:szCs w:val="24"/>
        </w:rPr>
        <w:t xml:space="preserve">de este informe, el compromiso presupuestario previsto </w:t>
      </w:r>
      <w:r w:rsidR="00BF48C6">
        <w:rPr>
          <w:rFonts w:cs="Arial"/>
          <w:spacing w:val="6"/>
          <w:sz w:val="26"/>
          <w:szCs w:val="24"/>
        </w:rPr>
        <w:t xml:space="preserve">respecto a la adjudicación de la obra </w:t>
      </w:r>
      <w:r>
        <w:rPr>
          <w:rFonts w:cs="Arial"/>
          <w:spacing w:val="6"/>
          <w:sz w:val="26"/>
          <w:szCs w:val="24"/>
        </w:rPr>
        <w:t>es el siguiente:</w:t>
      </w:r>
      <w:r>
        <w:t xml:space="preserve"> </w:t>
      </w:r>
    </w:p>
    <w:tbl>
      <w:tblPr>
        <w:tblW w:w="8789"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402"/>
        <w:gridCol w:w="1701"/>
        <w:gridCol w:w="1276"/>
        <w:gridCol w:w="1134"/>
        <w:gridCol w:w="1276"/>
      </w:tblGrid>
      <w:tr w:rsidR="000023DA" w:rsidRPr="003F5464" w14:paraId="5B682C1D" w14:textId="77777777" w:rsidTr="00382D1C">
        <w:trPr>
          <w:trHeight w:val="255"/>
        </w:trPr>
        <w:tc>
          <w:tcPr>
            <w:tcW w:w="3402" w:type="dxa"/>
            <w:tcBorders>
              <w:bottom w:val="single" w:sz="4" w:space="0" w:color="auto"/>
            </w:tcBorders>
            <w:shd w:val="clear" w:color="auto" w:fill="FABF8F" w:themeFill="accent6" w:themeFillTint="99"/>
            <w:noWrap/>
            <w:vAlign w:val="bottom"/>
            <w:hideMark/>
          </w:tcPr>
          <w:p w14:paraId="1F965661" w14:textId="77777777" w:rsidR="000023DA" w:rsidRPr="003F5464" w:rsidRDefault="000023DA" w:rsidP="000023DA">
            <w:pPr>
              <w:spacing w:after="0"/>
              <w:ind w:firstLine="0"/>
              <w:jc w:val="left"/>
              <w:rPr>
                <w:rFonts w:ascii="Arial" w:hAnsi="Arial" w:cs="Arial"/>
                <w:sz w:val="18"/>
                <w:szCs w:val="18"/>
                <w:lang w:val="es-ES" w:eastAsia="es-ES"/>
              </w:rPr>
            </w:pPr>
          </w:p>
        </w:tc>
        <w:tc>
          <w:tcPr>
            <w:tcW w:w="1701" w:type="dxa"/>
            <w:tcBorders>
              <w:bottom w:val="single" w:sz="4" w:space="0" w:color="auto"/>
            </w:tcBorders>
            <w:shd w:val="clear" w:color="auto" w:fill="FABF8F" w:themeFill="accent6" w:themeFillTint="99"/>
            <w:noWrap/>
            <w:vAlign w:val="center"/>
            <w:hideMark/>
          </w:tcPr>
          <w:p w14:paraId="657C7BFC" w14:textId="77777777" w:rsidR="000023DA" w:rsidRPr="003F5464" w:rsidRDefault="000023DA" w:rsidP="00382D1C">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I</w:t>
            </w:r>
            <w:r w:rsidR="005800E7" w:rsidRPr="003F5464">
              <w:rPr>
                <w:rFonts w:ascii="Arial" w:hAnsi="Arial" w:cs="Arial"/>
                <w:bCs/>
                <w:color w:val="000000"/>
                <w:sz w:val="18"/>
                <w:szCs w:val="18"/>
                <w:lang w:val="es-ES" w:eastAsia="es-ES"/>
              </w:rPr>
              <w:t>mporte</w:t>
            </w:r>
          </w:p>
        </w:tc>
        <w:tc>
          <w:tcPr>
            <w:tcW w:w="1276" w:type="dxa"/>
            <w:tcBorders>
              <w:bottom w:val="single" w:sz="4" w:space="0" w:color="auto"/>
            </w:tcBorders>
            <w:shd w:val="clear" w:color="auto" w:fill="FABF8F" w:themeFill="accent6" w:themeFillTint="99"/>
            <w:noWrap/>
            <w:vAlign w:val="center"/>
            <w:hideMark/>
          </w:tcPr>
          <w:p w14:paraId="73AD6DF3" w14:textId="77777777" w:rsidR="000023DA" w:rsidRPr="003F5464" w:rsidRDefault="000023DA" w:rsidP="00382D1C">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IVA</w:t>
            </w:r>
          </w:p>
        </w:tc>
        <w:tc>
          <w:tcPr>
            <w:tcW w:w="1134" w:type="dxa"/>
            <w:tcBorders>
              <w:bottom w:val="single" w:sz="4" w:space="0" w:color="auto"/>
            </w:tcBorders>
            <w:shd w:val="clear" w:color="auto" w:fill="FABF8F" w:themeFill="accent6" w:themeFillTint="99"/>
            <w:vAlign w:val="center"/>
          </w:tcPr>
          <w:p w14:paraId="5F6009B2" w14:textId="77777777" w:rsidR="000023DA" w:rsidRPr="003F5464" w:rsidRDefault="000023DA" w:rsidP="00382D1C">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T</w:t>
            </w:r>
            <w:r w:rsidR="005800E7" w:rsidRPr="003F5464">
              <w:rPr>
                <w:rFonts w:ascii="Arial" w:hAnsi="Arial" w:cs="Arial"/>
                <w:bCs/>
                <w:color w:val="000000"/>
                <w:sz w:val="18"/>
                <w:szCs w:val="18"/>
                <w:lang w:val="es-ES" w:eastAsia="es-ES"/>
              </w:rPr>
              <w:t>otal</w:t>
            </w:r>
          </w:p>
        </w:tc>
        <w:tc>
          <w:tcPr>
            <w:tcW w:w="1276" w:type="dxa"/>
            <w:tcBorders>
              <w:bottom w:val="single" w:sz="4" w:space="0" w:color="auto"/>
            </w:tcBorders>
            <w:shd w:val="clear" w:color="auto" w:fill="FABF8F" w:themeFill="accent6" w:themeFillTint="99"/>
            <w:noWrap/>
            <w:vAlign w:val="center"/>
            <w:hideMark/>
          </w:tcPr>
          <w:p w14:paraId="0260ECC6" w14:textId="77777777" w:rsidR="000023DA" w:rsidRPr="003F5464" w:rsidRDefault="000023DA" w:rsidP="00382D1C">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D</w:t>
            </w:r>
            <w:r w:rsidR="005800E7" w:rsidRPr="003F5464">
              <w:rPr>
                <w:rFonts w:ascii="Arial" w:hAnsi="Arial" w:cs="Arial"/>
                <w:bCs/>
                <w:color w:val="000000"/>
                <w:sz w:val="18"/>
                <w:szCs w:val="18"/>
                <w:lang w:val="es-ES" w:eastAsia="es-ES"/>
              </w:rPr>
              <w:t>esviación</w:t>
            </w:r>
          </w:p>
        </w:tc>
      </w:tr>
      <w:tr w:rsidR="000023DA" w:rsidRPr="006D1D7C" w14:paraId="77F7AA56" w14:textId="77777777" w:rsidTr="00382D1C">
        <w:trPr>
          <w:trHeight w:val="198"/>
        </w:trPr>
        <w:tc>
          <w:tcPr>
            <w:tcW w:w="3402" w:type="dxa"/>
            <w:tcBorders>
              <w:top w:val="single" w:sz="4" w:space="0" w:color="auto"/>
              <w:bottom w:val="single" w:sz="2" w:space="0" w:color="auto"/>
            </w:tcBorders>
            <w:shd w:val="clear" w:color="auto" w:fill="auto"/>
            <w:noWrap/>
            <w:vAlign w:val="center"/>
            <w:hideMark/>
          </w:tcPr>
          <w:p w14:paraId="4671399E" w14:textId="77777777" w:rsidR="000023DA" w:rsidRPr="003F4A05" w:rsidRDefault="000023DA" w:rsidP="000023DA">
            <w:pPr>
              <w:spacing w:after="0"/>
              <w:ind w:firstLine="0"/>
              <w:rPr>
                <w:rFonts w:ascii="Arial Narrow" w:hAnsi="Arial Narrow" w:cs="Calibri"/>
                <w:bCs/>
                <w:color w:val="000000"/>
                <w:lang w:val="es-ES" w:eastAsia="es-ES"/>
              </w:rPr>
            </w:pPr>
            <w:r w:rsidRPr="003F4A05">
              <w:rPr>
                <w:rFonts w:ascii="Arial Narrow" w:hAnsi="Arial Narrow" w:cs="Calibri"/>
                <w:bCs/>
                <w:color w:val="000000"/>
                <w:lang w:val="es-ES" w:eastAsia="es-ES"/>
              </w:rPr>
              <w:t xml:space="preserve">Adjudicación </w:t>
            </w:r>
          </w:p>
        </w:tc>
        <w:tc>
          <w:tcPr>
            <w:tcW w:w="1701" w:type="dxa"/>
            <w:tcBorders>
              <w:top w:val="single" w:sz="4" w:space="0" w:color="auto"/>
              <w:bottom w:val="single" w:sz="2" w:space="0" w:color="auto"/>
            </w:tcBorders>
            <w:shd w:val="clear" w:color="auto" w:fill="auto"/>
            <w:noWrap/>
            <w:vAlign w:val="center"/>
            <w:hideMark/>
          </w:tcPr>
          <w:p w14:paraId="00BC2E28" w14:textId="77777777" w:rsidR="000023DA" w:rsidRPr="003F4A05" w:rsidRDefault="000023DA" w:rsidP="000023DA">
            <w:pPr>
              <w:spacing w:after="0"/>
              <w:ind w:firstLine="0"/>
              <w:jc w:val="right"/>
              <w:rPr>
                <w:rFonts w:ascii="Arial Narrow" w:hAnsi="Arial Narrow" w:cs="Calibri"/>
                <w:color w:val="000000"/>
                <w:lang w:val="es-ES" w:eastAsia="es-ES"/>
              </w:rPr>
            </w:pPr>
            <w:r w:rsidRPr="003F4A05">
              <w:rPr>
                <w:rFonts w:ascii="Arial Narrow" w:hAnsi="Arial Narrow" w:cs="Calibri"/>
                <w:color w:val="000000"/>
                <w:lang w:val="es-ES" w:eastAsia="es-ES"/>
              </w:rPr>
              <w:t>490.676</w:t>
            </w:r>
          </w:p>
        </w:tc>
        <w:tc>
          <w:tcPr>
            <w:tcW w:w="1276" w:type="dxa"/>
            <w:tcBorders>
              <w:top w:val="single" w:sz="4" w:space="0" w:color="auto"/>
              <w:bottom w:val="single" w:sz="2" w:space="0" w:color="auto"/>
            </w:tcBorders>
            <w:shd w:val="clear" w:color="auto" w:fill="auto"/>
            <w:noWrap/>
            <w:vAlign w:val="center"/>
            <w:hideMark/>
          </w:tcPr>
          <w:p w14:paraId="4E435A25" w14:textId="77777777" w:rsidR="000023DA" w:rsidRPr="003F4A05" w:rsidRDefault="000023DA" w:rsidP="000023DA">
            <w:pPr>
              <w:spacing w:after="0"/>
              <w:ind w:firstLine="0"/>
              <w:jc w:val="right"/>
              <w:rPr>
                <w:rFonts w:ascii="Arial Narrow" w:hAnsi="Arial Narrow" w:cs="Calibri"/>
                <w:color w:val="000000"/>
                <w:lang w:val="es-ES" w:eastAsia="es-ES"/>
              </w:rPr>
            </w:pPr>
            <w:r w:rsidRPr="003F4A05">
              <w:rPr>
                <w:rFonts w:ascii="Arial Narrow" w:hAnsi="Arial Narrow" w:cs="Calibri"/>
                <w:color w:val="000000"/>
                <w:lang w:val="es-ES" w:eastAsia="es-ES"/>
              </w:rPr>
              <w:t>103.042</w:t>
            </w:r>
          </w:p>
        </w:tc>
        <w:tc>
          <w:tcPr>
            <w:tcW w:w="1134" w:type="dxa"/>
            <w:tcBorders>
              <w:top w:val="single" w:sz="4" w:space="0" w:color="auto"/>
              <w:bottom w:val="single" w:sz="2" w:space="0" w:color="auto"/>
            </w:tcBorders>
            <w:vAlign w:val="center"/>
          </w:tcPr>
          <w:p w14:paraId="08E61E54" w14:textId="77777777" w:rsidR="000023DA" w:rsidRPr="003F4A05" w:rsidRDefault="000023DA" w:rsidP="000023DA">
            <w:pPr>
              <w:spacing w:after="0"/>
              <w:ind w:firstLine="0"/>
              <w:jc w:val="right"/>
              <w:rPr>
                <w:rFonts w:ascii="Arial Narrow" w:hAnsi="Arial Narrow" w:cs="Calibri"/>
                <w:color w:val="000000"/>
                <w:lang w:val="es-ES" w:eastAsia="es-ES"/>
              </w:rPr>
            </w:pPr>
            <w:r w:rsidRPr="003F4A05">
              <w:rPr>
                <w:rFonts w:ascii="Arial Narrow" w:hAnsi="Arial Narrow" w:cs="Calibri"/>
                <w:color w:val="000000"/>
                <w:lang w:val="es-ES" w:eastAsia="es-ES"/>
              </w:rPr>
              <w:t>593.718</w:t>
            </w:r>
          </w:p>
        </w:tc>
        <w:tc>
          <w:tcPr>
            <w:tcW w:w="1276" w:type="dxa"/>
            <w:tcBorders>
              <w:top w:val="single" w:sz="4" w:space="0" w:color="auto"/>
              <w:bottom w:val="single" w:sz="2" w:space="0" w:color="auto"/>
            </w:tcBorders>
            <w:shd w:val="clear" w:color="auto" w:fill="auto"/>
            <w:noWrap/>
            <w:vAlign w:val="center"/>
          </w:tcPr>
          <w:p w14:paraId="7F263622" w14:textId="77777777" w:rsidR="000023DA" w:rsidRPr="003F4A05" w:rsidRDefault="000023DA" w:rsidP="000023DA">
            <w:pPr>
              <w:spacing w:after="0"/>
              <w:ind w:firstLine="0"/>
              <w:jc w:val="right"/>
              <w:rPr>
                <w:rFonts w:ascii="Arial Narrow" w:hAnsi="Arial Narrow" w:cs="Calibri"/>
                <w:color w:val="000000"/>
                <w:lang w:val="es-ES" w:eastAsia="es-ES"/>
              </w:rPr>
            </w:pPr>
          </w:p>
        </w:tc>
      </w:tr>
      <w:tr w:rsidR="000023DA" w:rsidRPr="006D1D7C" w14:paraId="52D40A82" w14:textId="77777777" w:rsidTr="004763AD">
        <w:trPr>
          <w:trHeight w:val="198"/>
        </w:trPr>
        <w:tc>
          <w:tcPr>
            <w:tcW w:w="3402" w:type="dxa"/>
            <w:tcBorders>
              <w:top w:val="single" w:sz="2" w:space="0" w:color="auto"/>
              <w:bottom w:val="single" w:sz="2" w:space="0" w:color="auto"/>
            </w:tcBorders>
            <w:shd w:val="clear" w:color="auto" w:fill="auto"/>
            <w:noWrap/>
            <w:vAlign w:val="center"/>
            <w:hideMark/>
          </w:tcPr>
          <w:p w14:paraId="734EAC56" w14:textId="77777777" w:rsidR="000023DA" w:rsidRPr="003F4A05" w:rsidRDefault="000023DA" w:rsidP="000023DA">
            <w:pPr>
              <w:spacing w:after="0"/>
              <w:ind w:firstLine="0"/>
              <w:rPr>
                <w:rFonts w:ascii="Arial Narrow" w:hAnsi="Arial Narrow" w:cs="Calibri"/>
                <w:bCs/>
                <w:color w:val="000000"/>
                <w:lang w:val="es-ES" w:eastAsia="es-ES"/>
              </w:rPr>
            </w:pPr>
            <w:r w:rsidRPr="003F4A05">
              <w:rPr>
                <w:rFonts w:ascii="Arial Narrow" w:hAnsi="Arial Narrow" w:cs="Calibri"/>
                <w:bCs/>
                <w:color w:val="000000"/>
                <w:lang w:val="es-ES" w:eastAsia="es-ES"/>
              </w:rPr>
              <w:t>1ª Modificación</w:t>
            </w:r>
          </w:p>
        </w:tc>
        <w:tc>
          <w:tcPr>
            <w:tcW w:w="1701" w:type="dxa"/>
            <w:tcBorders>
              <w:top w:val="single" w:sz="2" w:space="0" w:color="auto"/>
              <w:bottom w:val="single" w:sz="2" w:space="0" w:color="auto"/>
            </w:tcBorders>
            <w:shd w:val="clear" w:color="auto" w:fill="auto"/>
            <w:noWrap/>
            <w:vAlign w:val="center"/>
            <w:hideMark/>
          </w:tcPr>
          <w:p w14:paraId="2C364C44" w14:textId="77777777" w:rsidR="000023DA" w:rsidRPr="003F4A05" w:rsidRDefault="000023DA" w:rsidP="000023DA">
            <w:pPr>
              <w:spacing w:after="0"/>
              <w:ind w:firstLine="0"/>
              <w:jc w:val="right"/>
              <w:rPr>
                <w:rFonts w:ascii="Arial Narrow" w:hAnsi="Arial Narrow" w:cs="Calibri"/>
                <w:color w:val="000000"/>
                <w:lang w:val="es-ES" w:eastAsia="es-ES"/>
              </w:rPr>
            </w:pPr>
            <w:r w:rsidRPr="003F4A05">
              <w:rPr>
                <w:rFonts w:ascii="Arial Narrow" w:hAnsi="Arial Narrow" w:cs="Calibri"/>
                <w:color w:val="000000"/>
                <w:lang w:val="es-ES" w:eastAsia="es-ES"/>
              </w:rPr>
              <w:t>28.423</w:t>
            </w:r>
          </w:p>
        </w:tc>
        <w:tc>
          <w:tcPr>
            <w:tcW w:w="1276" w:type="dxa"/>
            <w:tcBorders>
              <w:top w:val="single" w:sz="2" w:space="0" w:color="auto"/>
              <w:bottom w:val="single" w:sz="2" w:space="0" w:color="auto"/>
            </w:tcBorders>
            <w:shd w:val="clear" w:color="auto" w:fill="auto"/>
            <w:noWrap/>
            <w:vAlign w:val="center"/>
            <w:hideMark/>
          </w:tcPr>
          <w:p w14:paraId="3A188B45" w14:textId="77777777" w:rsidR="000023DA" w:rsidRPr="003F4A05" w:rsidRDefault="000023DA" w:rsidP="000023DA">
            <w:pPr>
              <w:spacing w:after="0"/>
              <w:ind w:firstLine="0"/>
              <w:jc w:val="right"/>
              <w:rPr>
                <w:rFonts w:ascii="Arial Narrow" w:hAnsi="Arial Narrow" w:cs="Calibri"/>
                <w:color w:val="000000"/>
                <w:lang w:val="es-ES" w:eastAsia="es-ES"/>
              </w:rPr>
            </w:pPr>
            <w:r w:rsidRPr="003F4A05">
              <w:rPr>
                <w:rFonts w:ascii="Arial Narrow" w:hAnsi="Arial Narrow" w:cs="Calibri"/>
                <w:color w:val="000000"/>
                <w:lang w:val="es-ES" w:eastAsia="es-ES"/>
              </w:rPr>
              <w:t>5.969</w:t>
            </w:r>
          </w:p>
        </w:tc>
        <w:tc>
          <w:tcPr>
            <w:tcW w:w="1134" w:type="dxa"/>
            <w:tcBorders>
              <w:top w:val="single" w:sz="2" w:space="0" w:color="auto"/>
              <w:bottom w:val="single" w:sz="2" w:space="0" w:color="auto"/>
            </w:tcBorders>
            <w:vAlign w:val="center"/>
          </w:tcPr>
          <w:p w14:paraId="5AA3A33E" w14:textId="77777777" w:rsidR="000023DA" w:rsidRPr="003F4A05" w:rsidRDefault="000023DA" w:rsidP="000023DA">
            <w:pPr>
              <w:spacing w:after="0"/>
              <w:ind w:firstLine="0"/>
              <w:jc w:val="right"/>
              <w:rPr>
                <w:rFonts w:ascii="Arial Narrow" w:hAnsi="Arial Narrow" w:cs="Calibri"/>
                <w:color w:val="000000"/>
                <w:lang w:val="es-ES" w:eastAsia="es-ES"/>
              </w:rPr>
            </w:pPr>
            <w:r w:rsidRPr="003F4A05">
              <w:rPr>
                <w:rFonts w:ascii="Arial Narrow" w:hAnsi="Arial Narrow" w:cs="Calibri"/>
                <w:color w:val="000000"/>
                <w:lang w:val="es-ES" w:eastAsia="es-ES"/>
              </w:rPr>
              <w:t>34.392</w:t>
            </w:r>
          </w:p>
        </w:tc>
        <w:tc>
          <w:tcPr>
            <w:tcW w:w="1276" w:type="dxa"/>
            <w:tcBorders>
              <w:top w:val="single" w:sz="2" w:space="0" w:color="auto"/>
              <w:bottom w:val="single" w:sz="2" w:space="0" w:color="auto"/>
            </w:tcBorders>
            <w:shd w:val="clear" w:color="auto" w:fill="auto"/>
            <w:noWrap/>
            <w:vAlign w:val="center"/>
          </w:tcPr>
          <w:p w14:paraId="52BA5ECF" w14:textId="77777777" w:rsidR="000023DA" w:rsidRPr="003F4A05" w:rsidRDefault="000023DA" w:rsidP="000023DA">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w:t>
            </w:r>
          </w:p>
        </w:tc>
      </w:tr>
      <w:tr w:rsidR="000023DA" w:rsidRPr="006D1D7C" w14:paraId="35BC7180" w14:textId="77777777" w:rsidTr="00382D1C">
        <w:trPr>
          <w:trHeight w:val="198"/>
        </w:trPr>
        <w:tc>
          <w:tcPr>
            <w:tcW w:w="3402" w:type="dxa"/>
            <w:tcBorders>
              <w:top w:val="single" w:sz="2" w:space="0" w:color="auto"/>
              <w:bottom w:val="single" w:sz="4" w:space="0" w:color="auto"/>
            </w:tcBorders>
            <w:shd w:val="clear" w:color="auto" w:fill="auto"/>
            <w:noWrap/>
            <w:vAlign w:val="center"/>
            <w:hideMark/>
          </w:tcPr>
          <w:p w14:paraId="2BA3F8DE" w14:textId="77777777" w:rsidR="000023DA" w:rsidRPr="003F4A05" w:rsidRDefault="000023DA" w:rsidP="000023DA">
            <w:pPr>
              <w:spacing w:after="0"/>
              <w:ind w:firstLine="0"/>
              <w:rPr>
                <w:rFonts w:ascii="Arial Narrow" w:hAnsi="Arial Narrow" w:cs="Calibri"/>
                <w:bCs/>
                <w:color w:val="000000"/>
                <w:lang w:val="es-ES" w:eastAsia="es-ES"/>
              </w:rPr>
            </w:pPr>
            <w:r w:rsidRPr="003F4A05">
              <w:rPr>
                <w:rFonts w:ascii="Arial Narrow" w:hAnsi="Arial Narrow" w:cs="Calibri"/>
                <w:bCs/>
                <w:color w:val="000000"/>
                <w:lang w:val="es-ES" w:eastAsia="es-ES"/>
              </w:rPr>
              <w:t xml:space="preserve">2ª Modificación </w:t>
            </w:r>
          </w:p>
        </w:tc>
        <w:tc>
          <w:tcPr>
            <w:tcW w:w="1701" w:type="dxa"/>
            <w:tcBorders>
              <w:top w:val="single" w:sz="2" w:space="0" w:color="auto"/>
              <w:bottom w:val="single" w:sz="4" w:space="0" w:color="auto"/>
            </w:tcBorders>
            <w:shd w:val="clear" w:color="auto" w:fill="auto"/>
            <w:noWrap/>
            <w:vAlign w:val="center"/>
            <w:hideMark/>
          </w:tcPr>
          <w:p w14:paraId="4C8F15BE" w14:textId="77777777" w:rsidR="000023DA" w:rsidRPr="003F4A05" w:rsidRDefault="000023DA" w:rsidP="000023DA">
            <w:pPr>
              <w:spacing w:after="0"/>
              <w:ind w:firstLine="0"/>
              <w:jc w:val="right"/>
              <w:rPr>
                <w:rFonts w:ascii="Arial Narrow" w:hAnsi="Arial Narrow" w:cs="Calibri"/>
                <w:color w:val="000000"/>
                <w:lang w:val="es-ES" w:eastAsia="es-ES"/>
              </w:rPr>
            </w:pPr>
            <w:r w:rsidRPr="003F4A05">
              <w:rPr>
                <w:rFonts w:ascii="Arial Narrow" w:hAnsi="Arial Narrow" w:cs="Calibri"/>
                <w:color w:val="000000"/>
                <w:lang w:val="es-ES" w:eastAsia="es-ES"/>
              </w:rPr>
              <w:t>100.923</w:t>
            </w:r>
          </w:p>
        </w:tc>
        <w:tc>
          <w:tcPr>
            <w:tcW w:w="1276" w:type="dxa"/>
            <w:tcBorders>
              <w:top w:val="single" w:sz="2" w:space="0" w:color="auto"/>
              <w:bottom w:val="single" w:sz="4" w:space="0" w:color="auto"/>
            </w:tcBorders>
            <w:shd w:val="clear" w:color="auto" w:fill="auto"/>
            <w:noWrap/>
            <w:vAlign w:val="center"/>
            <w:hideMark/>
          </w:tcPr>
          <w:p w14:paraId="28420399" w14:textId="77777777" w:rsidR="000023DA" w:rsidRPr="003F4A05" w:rsidRDefault="000023DA" w:rsidP="000023DA">
            <w:pPr>
              <w:spacing w:after="0"/>
              <w:ind w:firstLine="0"/>
              <w:jc w:val="right"/>
              <w:rPr>
                <w:rFonts w:ascii="Arial Narrow" w:hAnsi="Arial Narrow" w:cs="Calibri"/>
                <w:color w:val="000000"/>
                <w:lang w:val="es-ES" w:eastAsia="es-ES"/>
              </w:rPr>
            </w:pPr>
            <w:r w:rsidRPr="003F4A05">
              <w:rPr>
                <w:rFonts w:ascii="Arial Narrow" w:hAnsi="Arial Narrow" w:cs="Calibri"/>
                <w:color w:val="000000"/>
                <w:lang w:val="es-ES" w:eastAsia="es-ES"/>
              </w:rPr>
              <w:t>21.194</w:t>
            </w:r>
          </w:p>
        </w:tc>
        <w:tc>
          <w:tcPr>
            <w:tcW w:w="1134" w:type="dxa"/>
            <w:tcBorders>
              <w:top w:val="single" w:sz="2" w:space="0" w:color="auto"/>
              <w:bottom w:val="single" w:sz="4" w:space="0" w:color="auto"/>
            </w:tcBorders>
            <w:vAlign w:val="center"/>
          </w:tcPr>
          <w:p w14:paraId="0790DBCD" w14:textId="77777777" w:rsidR="000023DA" w:rsidRPr="003F4A05" w:rsidRDefault="000023DA" w:rsidP="000023DA">
            <w:pPr>
              <w:spacing w:after="0"/>
              <w:ind w:firstLine="0"/>
              <w:jc w:val="right"/>
              <w:rPr>
                <w:rFonts w:ascii="Arial Narrow" w:hAnsi="Arial Narrow" w:cs="Calibri"/>
                <w:color w:val="000000"/>
                <w:lang w:val="es-ES" w:eastAsia="es-ES"/>
              </w:rPr>
            </w:pPr>
            <w:r w:rsidRPr="003F4A05">
              <w:rPr>
                <w:rFonts w:ascii="Arial Narrow" w:hAnsi="Arial Narrow" w:cs="Calibri"/>
                <w:color w:val="000000"/>
                <w:lang w:val="es-ES" w:eastAsia="es-ES"/>
              </w:rPr>
              <w:t>122.117</w:t>
            </w:r>
          </w:p>
        </w:tc>
        <w:tc>
          <w:tcPr>
            <w:tcW w:w="1276" w:type="dxa"/>
            <w:tcBorders>
              <w:top w:val="single" w:sz="2" w:space="0" w:color="auto"/>
              <w:bottom w:val="single" w:sz="4" w:space="0" w:color="auto"/>
            </w:tcBorders>
            <w:shd w:val="clear" w:color="auto" w:fill="auto"/>
            <w:noWrap/>
            <w:vAlign w:val="center"/>
          </w:tcPr>
          <w:p w14:paraId="5B4D0B6E" w14:textId="77777777" w:rsidR="000023DA" w:rsidRPr="003F4A05" w:rsidRDefault="000023DA" w:rsidP="000023DA">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21%</w:t>
            </w:r>
          </w:p>
        </w:tc>
      </w:tr>
      <w:tr w:rsidR="000023DA" w:rsidRPr="003F5464" w14:paraId="7EB01B29" w14:textId="77777777" w:rsidTr="00382D1C">
        <w:trPr>
          <w:trHeight w:val="255"/>
        </w:trPr>
        <w:tc>
          <w:tcPr>
            <w:tcW w:w="3402" w:type="dxa"/>
            <w:tcBorders>
              <w:top w:val="single" w:sz="4" w:space="0" w:color="auto"/>
            </w:tcBorders>
            <w:shd w:val="clear" w:color="auto" w:fill="FABF8F" w:themeFill="accent6" w:themeFillTint="99"/>
            <w:noWrap/>
            <w:vAlign w:val="center"/>
            <w:hideMark/>
          </w:tcPr>
          <w:p w14:paraId="195AFC9E" w14:textId="77777777" w:rsidR="000023DA" w:rsidRPr="003F5464" w:rsidRDefault="000023DA" w:rsidP="000023DA">
            <w:pPr>
              <w:spacing w:after="0"/>
              <w:ind w:firstLine="0"/>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 xml:space="preserve">Total </w:t>
            </w:r>
          </w:p>
        </w:tc>
        <w:tc>
          <w:tcPr>
            <w:tcW w:w="1701" w:type="dxa"/>
            <w:tcBorders>
              <w:top w:val="single" w:sz="4" w:space="0" w:color="auto"/>
            </w:tcBorders>
            <w:shd w:val="clear" w:color="auto" w:fill="FABF8F" w:themeFill="accent6" w:themeFillTint="99"/>
            <w:noWrap/>
            <w:vAlign w:val="center"/>
            <w:hideMark/>
          </w:tcPr>
          <w:p w14:paraId="5299E6F4" w14:textId="77777777" w:rsidR="000023DA" w:rsidRPr="003F5464" w:rsidRDefault="000023DA" w:rsidP="000023DA">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620.022</w:t>
            </w:r>
          </w:p>
        </w:tc>
        <w:tc>
          <w:tcPr>
            <w:tcW w:w="1276" w:type="dxa"/>
            <w:tcBorders>
              <w:top w:val="single" w:sz="4" w:space="0" w:color="auto"/>
            </w:tcBorders>
            <w:shd w:val="clear" w:color="auto" w:fill="FABF8F" w:themeFill="accent6" w:themeFillTint="99"/>
            <w:noWrap/>
            <w:vAlign w:val="center"/>
            <w:hideMark/>
          </w:tcPr>
          <w:p w14:paraId="753E0943" w14:textId="77777777" w:rsidR="000023DA" w:rsidRPr="003F5464" w:rsidRDefault="000023DA" w:rsidP="000023DA">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130.205</w:t>
            </w:r>
          </w:p>
        </w:tc>
        <w:tc>
          <w:tcPr>
            <w:tcW w:w="1134" w:type="dxa"/>
            <w:tcBorders>
              <w:top w:val="single" w:sz="4" w:space="0" w:color="auto"/>
            </w:tcBorders>
            <w:shd w:val="clear" w:color="auto" w:fill="FABF8F" w:themeFill="accent6" w:themeFillTint="99"/>
            <w:vAlign w:val="center"/>
          </w:tcPr>
          <w:p w14:paraId="67F63B62" w14:textId="77777777" w:rsidR="000023DA" w:rsidRPr="003F5464" w:rsidRDefault="000023DA" w:rsidP="000023DA">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750.227</w:t>
            </w:r>
          </w:p>
        </w:tc>
        <w:tc>
          <w:tcPr>
            <w:tcW w:w="1276" w:type="dxa"/>
            <w:tcBorders>
              <w:top w:val="single" w:sz="4" w:space="0" w:color="auto"/>
            </w:tcBorders>
            <w:shd w:val="clear" w:color="auto" w:fill="FABF8F" w:themeFill="accent6" w:themeFillTint="99"/>
            <w:noWrap/>
            <w:vAlign w:val="center"/>
          </w:tcPr>
          <w:p w14:paraId="6C511C1B" w14:textId="77777777" w:rsidR="000023DA" w:rsidRPr="003F5464" w:rsidRDefault="000023DA" w:rsidP="000023DA">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27%</w:t>
            </w:r>
          </w:p>
        </w:tc>
      </w:tr>
    </w:tbl>
    <w:p w14:paraId="450EEEB4" w14:textId="77777777" w:rsidR="0008070B" w:rsidRDefault="00BF48C6" w:rsidP="00807992">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r>
        <w:rPr>
          <w:spacing w:val="6"/>
          <w:sz w:val="26"/>
          <w:szCs w:val="26"/>
          <w:lang w:val="es-ES" w:eastAsia="es-ES"/>
        </w:rPr>
        <w:t xml:space="preserve">No obstante, la evolución económica de la obra desde la propuesta inicial del </w:t>
      </w:r>
      <w:r>
        <w:rPr>
          <w:rFonts w:cs="Arial"/>
          <w:spacing w:val="6"/>
          <w:sz w:val="26"/>
          <w:szCs w:val="24"/>
        </w:rPr>
        <w:t>COICCP</w:t>
      </w:r>
      <w:r>
        <w:rPr>
          <w:spacing w:val="6"/>
          <w:sz w:val="26"/>
          <w:szCs w:val="26"/>
          <w:lang w:val="es-ES" w:eastAsia="es-ES"/>
        </w:rPr>
        <w:t xml:space="preserve">, es la siguiente: </w:t>
      </w:r>
    </w:p>
    <w:tbl>
      <w:tblPr>
        <w:tblW w:w="8789"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418"/>
        <w:gridCol w:w="1843"/>
        <w:gridCol w:w="1275"/>
        <w:gridCol w:w="2127"/>
        <w:gridCol w:w="2126"/>
      </w:tblGrid>
      <w:tr w:rsidR="0008070B" w:rsidRPr="003F5464" w14:paraId="782A6678" w14:textId="77777777" w:rsidTr="00955658">
        <w:trPr>
          <w:trHeight w:val="255"/>
        </w:trPr>
        <w:tc>
          <w:tcPr>
            <w:tcW w:w="1418" w:type="dxa"/>
            <w:tcBorders>
              <w:bottom w:val="single" w:sz="4" w:space="0" w:color="auto"/>
            </w:tcBorders>
            <w:shd w:val="clear" w:color="auto" w:fill="FABF8F" w:themeFill="accent6" w:themeFillTint="99"/>
            <w:noWrap/>
            <w:vAlign w:val="bottom"/>
            <w:hideMark/>
          </w:tcPr>
          <w:p w14:paraId="68E83E23" w14:textId="77777777" w:rsidR="0008070B" w:rsidRPr="003F5464" w:rsidRDefault="0008070B" w:rsidP="00E7521D">
            <w:pPr>
              <w:spacing w:after="0"/>
              <w:ind w:firstLine="0"/>
              <w:jc w:val="left"/>
              <w:rPr>
                <w:rFonts w:ascii="Arial" w:hAnsi="Arial" w:cs="Arial"/>
                <w:sz w:val="18"/>
                <w:szCs w:val="18"/>
                <w:lang w:val="es-ES" w:eastAsia="es-ES"/>
              </w:rPr>
            </w:pPr>
          </w:p>
        </w:tc>
        <w:tc>
          <w:tcPr>
            <w:tcW w:w="1843" w:type="dxa"/>
            <w:tcBorders>
              <w:bottom w:val="single" w:sz="4" w:space="0" w:color="auto"/>
            </w:tcBorders>
            <w:shd w:val="clear" w:color="auto" w:fill="FABF8F" w:themeFill="accent6" w:themeFillTint="99"/>
            <w:noWrap/>
            <w:vAlign w:val="center"/>
            <w:hideMark/>
          </w:tcPr>
          <w:p w14:paraId="30A4C13F" w14:textId="77777777" w:rsidR="0008070B" w:rsidRPr="003F5464" w:rsidRDefault="0008070B" w:rsidP="005800E7">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C</w:t>
            </w:r>
            <w:r w:rsidR="005800E7" w:rsidRPr="003F5464">
              <w:rPr>
                <w:rFonts w:ascii="Arial" w:hAnsi="Arial" w:cs="Arial"/>
                <w:bCs/>
                <w:color w:val="000000"/>
                <w:sz w:val="18"/>
                <w:szCs w:val="18"/>
                <w:lang w:val="es-ES" w:eastAsia="es-ES"/>
              </w:rPr>
              <w:t>olegio Oficial</w:t>
            </w:r>
          </w:p>
        </w:tc>
        <w:tc>
          <w:tcPr>
            <w:tcW w:w="1275" w:type="dxa"/>
            <w:tcBorders>
              <w:bottom w:val="single" w:sz="4" w:space="0" w:color="auto"/>
            </w:tcBorders>
            <w:shd w:val="clear" w:color="auto" w:fill="FABF8F" w:themeFill="accent6" w:themeFillTint="99"/>
            <w:noWrap/>
            <w:vAlign w:val="center"/>
            <w:hideMark/>
          </w:tcPr>
          <w:p w14:paraId="3B966361" w14:textId="77777777" w:rsidR="0008070B" w:rsidRPr="003F5464" w:rsidRDefault="0008070B" w:rsidP="005800E7">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P</w:t>
            </w:r>
            <w:r w:rsidR="005800E7" w:rsidRPr="003F5464">
              <w:rPr>
                <w:rFonts w:ascii="Arial" w:hAnsi="Arial" w:cs="Arial"/>
                <w:bCs/>
                <w:color w:val="000000"/>
                <w:sz w:val="18"/>
                <w:szCs w:val="18"/>
                <w:lang w:val="es-ES" w:eastAsia="es-ES"/>
              </w:rPr>
              <w:t>royecto</w:t>
            </w:r>
          </w:p>
        </w:tc>
        <w:tc>
          <w:tcPr>
            <w:tcW w:w="2127" w:type="dxa"/>
            <w:tcBorders>
              <w:bottom w:val="single" w:sz="4" w:space="0" w:color="auto"/>
            </w:tcBorders>
            <w:shd w:val="clear" w:color="auto" w:fill="FABF8F" w:themeFill="accent6" w:themeFillTint="99"/>
            <w:vAlign w:val="center"/>
          </w:tcPr>
          <w:p w14:paraId="136F63BF" w14:textId="77777777" w:rsidR="0008070B" w:rsidRPr="003F5464" w:rsidRDefault="0008070B" w:rsidP="005800E7">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C</w:t>
            </w:r>
            <w:r w:rsidR="005800E7" w:rsidRPr="003F5464">
              <w:rPr>
                <w:rFonts w:ascii="Arial" w:hAnsi="Arial" w:cs="Arial"/>
                <w:bCs/>
                <w:color w:val="000000"/>
                <w:sz w:val="18"/>
                <w:szCs w:val="18"/>
                <w:lang w:val="es-ES" w:eastAsia="es-ES"/>
              </w:rPr>
              <w:t>ompromiso</w:t>
            </w:r>
            <w:r w:rsidRPr="003F5464">
              <w:rPr>
                <w:rFonts w:ascii="Arial" w:hAnsi="Arial" w:cs="Arial"/>
                <w:bCs/>
                <w:color w:val="000000"/>
                <w:sz w:val="18"/>
                <w:szCs w:val="18"/>
                <w:lang w:val="es-ES" w:eastAsia="es-ES"/>
              </w:rPr>
              <w:t xml:space="preserve"> 2022</w:t>
            </w:r>
          </w:p>
        </w:tc>
        <w:tc>
          <w:tcPr>
            <w:tcW w:w="2126" w:type="dxa"/>
            <w:tcBorders>
              <w:bottom w:val="single" w:sz="4" w:space="0" w:color="auto"/>
              <w:right w:val="single" w:sz="4" w:space="0" w:color="auto"/>
            </w:tcBorders>
            <w:shd w:val="clear" w:color="auto" w:fill="FABF8F" w:themeFill="accent6" w:themeFillTint="99"/>
            <w:noWrap/>
            <w:vAlign w:val="center"/>
            <w:hideMark/>
          </w:tcPr>
          <w:p w14:paraId="33525241" w14:textId="77777777" w:rsidR="0008070B" w:rsidRPr="003F5464" w:rsidRDefault="0008070B" w:rsidP="005800E7">
            <w:pPr>
              <w:spacing w:after="0"/>
              <w:ind w:firstLine="0"/>
              <w:jc w:val="right"/>
              <w:rPr>
                <w:rFonts w:ascii="Arial" w:hAnsi="Arial" w:cs="Arial"/>
                <w:bCs/>
                <w:color w:val="000000"/>
                <w:sz w:val="18"/>
                <w:szCs w:val="18"/>
                <w:lang w:val="es-ES" w:eastAsia="es-ES"/>
              </w:rPr>
            </w:pPr>
            <w:r w:rsidRPr="003F5464">
              <w:rPr>
                <w:rFonts w:ascii="Arial" w:hAnsi="Arial" w:cs="Arial"/>
                <w:bCs/>
                <w:color w:val="000000"/>
                <w:sz w:val="18"/>
                <w:szCs w:val="18"/>
                <w:lang w:val="es-ES" w:eastAsia="es-ES"/>
              </w:rPr>
              <w:t>D</w:t>
            </w:r>
            <w:r w:rsidR="005800E7" w:rsidRPr="003F5464">
              <w:rPr>
                <w:rFonts w:ascii="Arial" w:hAnsi="Arial" w:cs="Arial"/>
                <w:bCs/>
                <w:color w:val="000000"/>
                <w:sz w:val="18"/>
                <w:szCs w:val="18"/>
                <w:lang w:val="es-ES" w:eastAsia="es-ES"/>
              </w:rPr>
              <w:t>esviación</w:t>
            </w:r>
          </w:p>
        </w:tc>
      </w:tr>
      <w:tr w:rsidR="0008070B" w:rsidRPr="006D1D7C" w14:paraId="2577EE4B" w14:textId="77777777" w:rsidTr="00955658">
        <w:trPr>
          <w:trHeight w:val="198"/>
        </w:trPr>
        <w:tc>
          <w:tcPr>
            <w:tcW w:w="1418" w:type="dxa"/>
            <w:tcBorders>
              <w:top w:val="single" w:sz="4" w:space="0" w:color="auto"/>
              <w:bottom w:val="single" w:sz="4" w:space="0" w:color="auto"/>
            </w:tcBorders>
            <w:shd w:val="clear" w:color="auto" w:fill="auto"/>
            <w:noWrap/>
            <w:vAlign w:val="center"/>
            <w:hideMark/>
          </w:tcPr>
          <w:p w14:paraId="0DAA0827" w14:textId="77777777" w:rsidR="0008070B" w:rsidRPr="003F4A05" w:rsidRDefault="0008070B" w:rsidP="00E7521D">
            <w:pPr>
              <w:spacing w:after="0"/>
              <w:ind w:firstLine="0"/>
              <w:rPr>
                <w:rFonts w:ascii="Arial Narrow" w:hAnsi="Arial Narrow" w:cs="Calibri"/>
                <w:bCs/>
                <w:color w:val="000000"/>
                <w:lang w:val="es-ES" w:eastAsia="es-ES"/>
              </w:rPr>
            </w:pPr>
            <w:r>
              <w:rPr>
                <w:rFonts w:ascii="Arial Narrow" w:hAnsi="Arial Narrow" w:cs="Calibri"/>
                <w:bCs/>
                <w:color w:val="000000"/>
                <w:lang w:val="es-ES" w:eastAsia="es-ES"/>
              </w:rPr>
              <w:t xml:space="preserve">Importes </w:t>
            </w:r>
          </w:p>
        </w:tc>
        <w:tc>
          <w:tcPr>
            <w:tcW w:w="1843" w:type="dxa"/>
            <w:tcBorders>
              <w:top w:val="single" w:sz="4" w:space="0" w:color="auto"/>
              <w:bottom w:val="single" w:sz="4" w:space="0" w:color="auto"/>
            </w:tcBorders>
            <w:shd w:val="clear" w:color="auto" w:fill="auto"/>
            <w:noWrap/>
            <w:vAlign w:val="center"/>
          </w:tcPr>
          <w:p w14:paraId="4F076BB3" w14:textId="77777777" w:rsidR="0008070B" w:rsidRPr="003F4A05" w:rsidRDefault="0008070B" w:rsidP="00E7521D">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459.800</w:t>
            </w:r>
          </w:p>
        </w:tc>
        <w:tc>
          <w:tcPr>
            <w:tcW w:w="1275" w:type="dxa"/>
            <w:tcBorders>
              <w:top w:val="single" w:sz="4" w:space="0" w:color="auto"/>
              <w:bottom w:val="single" w:sz="4" w:space="0" w:color="auto"/>
            </w:tcBorders>
            <w:shd w:val="clear" w:color="auto" w:fill="auto"/>
            <w:noWrap/>
            <w:vAlign w:val="center"/>
          </w:tcPr>
          <w:p w14:paraId="6ABBA052" w14:textId="77777777" w:rsidR="0008070B" w:rsidRPr="003F4A05" w:rsidRDefault="0008070B" w:rsidP="00E7521D">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593.718</w:t>
            </w:r>
          </w:p>
        </w:tc>
        <w:tc>
          <w:tcPr>
            <w:tcW w:w="2127" w:type="dxa"/>
            <w:tcBorders>
              <w:top w:val="single" w:sz="4" w:space="0" w:color="auto"/>
              <w:bottom w:val="single" w:sz="4" w:space="0" w:color="auto"/>
            </w:tcBorders>
            <w:vAlign w:val="center"/>
          </w:tcPr>
          <w:p w14:paraId="3B025204" w14:textId="77777777" w:rsidR="0008070B" w:rsidRPr="003F4A05" w:rsidRDefault="0008070B" w:rsidP="00E7521D">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750.227</w:t>
            </w:r>
          </w:p>
        </w:tc>
        <w:tc>
          <w:tcPr>
            <w:tcW w:w="2126" w:type="dxa"/>
            <w:tcBorders>
              <w:top w:val="single" w:sz="4" w:space="0" w:color="auto"/>
              <w:bottom w:val="single" w:sz="4" w:space="0" w:color="auto"/>
            </w:tcBorders>
            <w:shd w:val="clear" w:color="auto" w:fill="auto"/>
            <w:noWrap/>
            <w:vAlign w:val="center"/>
          </w:tcPr>
          <w:p w14:paraId="63113054" w14:textId="77777777" w:rsidR="0008070B" w:rsidRPr="003F4A05" w:rsidRDefault="0008070B" w:rsidP="00E7521D">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65%</w:t>
            </w:r>
          </w:p>
        </w:tc>
      </w:tr>
    </w:tbl>
    <w:p w14:paraId="04FD7CAE" w14:textId="77777777" w:rsidR="006D4233" w:rsidRDefault="00807992" w:rsidP="006D4233">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r w:rsidRPr="00FF449F">
        <w:rPr>
          <w:spacing w:val="6"/>
          <w:sz w:val="26"/>
          <w:szCs w:val="26"/>
          <w:lang w:val="es-ES" w:eastAsia="es-ES"/>
        </w:rPr>
        <w:t xml:space="preserve">Al estar la ejecución </w:t>
      </w:r>
      <w:r w:rsidR="00BD7D48">
        <w:rPr>
          <w:spacing w:val="6"/>
          <w:sz w:val="26"/>
          <w:szCs w:val="26"/>
          <w:lang w:val="es-ES" w:eastAsia="es-ES"/>
        </w:rPr>
        <w:t xml:space="preserve">de la obra </w:t>
      </w:r>
      <w:r w:rsidRPr="00FF449F">
        <w:rPr>
          <w:spacing w:val="6"/>
          <w:sz w:val="26"/>
          <w:szCs w:val="26"/>
          <w:lang w:val="es-ES" w:eastAsia="es-ES"/>
        </w:rPr>
        <w:t xml:space="preserve">sin finalizar no podemos </w:t>
      </w:r>
      <w:r w:rsidR="006D4233">
        <w:rPr>
          <w:spacing w:val="6"/>
          <w:sz w:val="26"/>
          <w:szCs w:val="26"/>
          <w:lang w:val="es-ES" w:eastAsia="es-ES"/>
        </w:rPr>
        <w:t xml:space="preserve">cuantificar </w:t>
      </w:r>
      <w:r w:rsidR="00BD7D48">
        <w:rPr>
          <w:spacing w:val="6"/>
          <w:sz w:val="26"/>
          <w:szCs w:val="26"/>
          <w:lang w:val="es-ES" w:eastAsia="es-ES"/>
        </w:rPr>
        <w:t xml:space="preserve">su </w:t>
      </w:r>
      <w:r>
        <w:rPr>
          <w:spacing w:val="6"/>
          <w:sz w:val="26"/>
          <w:szCs w:val="26"/>
          <w:lang w:val="es-ES" w:eastAsia="es-ES"/>
        </w:rPr>
        <w:t>importe total, teniendo además en cuenta que el ejercicio 2022 excede el alcance temporal de la presente fiscalizació</w:t>
      </w:r>
      <w:r w:rsidR="000023DA">
        <w:rPr>
          <w:spacing w:val="6"/>
          <w:sz w:val="26"/>
          <w:szCs w:val="26"/>
          <w:lang w:val="es-ES" w:eastAsia="es-ES"/>
        </w:rPr>
        <w:t>n, por lo que indicamos que la información y datos que incluimos en este apartado, no ha</w:t>
      </w:r>
      <w:r w:rsidR="006D4233">
        <w:rPr>
          <w:spacing w:val="6"/>
          <w:sz w:val="26"/>
          <w:szCs w:val="26"/>
          <w:lang w:val="es-ES" w:eastAsia="es-ES"/>
        </w:rPr>
        <w:t>n sido fiscalizados.</w:t>
      </w:r>
    </w:p>
    <w:p w14:paraId="0BA4D2FD" w14:textId="77777777" w:rsidR="006D4233" w:rsidRDefault="006D4233" w:rsidP="006D4233">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p>
    <w:p w14:paraId="4D3EFB17" w14:textId="77777777" w:rsidR="006D4233" w:rsidRPr="006D4233" w:rsidRDefault="006D4233" w:rsidP="006D4233">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p>
    <w:p w14:paraId="043390A1" w14:textId="77777777" w:rsidR="00807992" w:rsidRPr="0062596E" w:rsidRDefault="00807992" w:rsidP="00BC7A19">
      <w:pPr>
        <w:pStyle w:val="atitulo2"/>
        <w:rPr>
          <w:color w:val="auto"/>
        </w:rPr>
      </w:pPr>
      <w:bookmarkStart w:id="176" w:name="_Toc129243498"/>
      <w:r w:rsidRPr="0062596E">
        <w:rPr>
          <w:color w:val="auto"/>
        </w:rPr>
        <w:lastRenderedPageBreak/>
        <w:t xml:space="preserve">7.3 Análisis del coste total de </w:t>
      </w:r>
      <w:r w:rsidR="00DA7B18" w:rsidRPr="0062596E">
        <w:rPr>
          <w:color w:val="auto"/>
        </w:rPr>
        <w:t xml:space="preserve">refuerzo </w:t>
      </w:r>
      <w:r w:rsidR="009F4A8C" w:rsidRPr="0062596E">
        <w:rPr>
          <w:color w:val="auto"/>
        </w:rPr>
        <w:t xml:space="preserve">de la </w:t>
      </w:r>
      <w:r w:rsidRPr="0062596E">
        <w:rPr>
          <w:color w:val="auto"/>
        </w:rPr>
        <w:t>obra.</w:t>
      </w:r>
      <w:bookmarkEnd w:id="176"/>
    </w:p>
    <w:p w14:paraId="494019D9" w14:textId="77777777" w:rsidR="009F4A8C" w:rsidRPr="0062596E" w:rsidRDefault="00BD7D48" w:rsidP="00677E63">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r w:rsidRPr="0062596E">
        <w:rPr>
          <w:spacing w:val="6"/>
          <w:sz w:val="26"/>
          <w:szCs w:val="26"/>
          <w:lang w:val="es-ES" w:eastAsia="es-ES"/>
        </w:rPr>
        <w:t xml:space="preserve">Sobre </w:t>
      </w:r>
      <w:r w:rsidR="00807992" w:rsidRPr="0062596E">
        <w:rPr>
          <w:spacing w:val="6"/>
          <w:sz w:val="26"/>
          <w:szCs w:val="26"/>
          <w:lang w:val="es-ES" w:eastAsia="es-ES"/>
        </w:rPr>
        <w:t xml:space="preserve">esta cuestión, </w:t>
      </w:r>
      <w:r w:rsidR="009838F0" w:rsidRPr="0062596E">
        <w:rPr>
          <w:spacing w:val="6"/>
          <w:sz w:val="26"/>
          <w:szCs w:val="26"/>
          <w:lang w:val="es-ES" w:eastAsia="es-ES"/>
        </w:rPr>
        <w:t xml:space="preserve">indicamos </w:t>
      </w:r>
      <w:r w:rsidR="00677E63" w:rsidRPr="0062596E">
        <w:rPr>
          <w:spacing w:val="6"/>
          <w:sz w:val="26"/>
          <w:szCs w:val="26"/>
          <w:lang w:val="es-ES" w:eastAsia="es-ES"/>
        </w:rPr>
        <w:t xml:space="preserve">que hemos optado por utilizar los datos que nos ha aportado el ayuntamiento. Una vez contrastados con registros contables de ejercicios anteriores y detectadas algunas diferencias, hemos procedido a la agregación de datos, por lo que </w:t>
      </w:r>
      <w:r w:rsidR="00807992" w:rsidRPr="0062596E">
        <w:rPr>
          <w:spacing w:val="6"/>
          <w:sz w:val="26"/>
          <w:szCs w:val="26"/>
          <w:lang w:val="es-ES" w:eastAsia="es-ES"/>
        </w:rPr>
        <w:t>el coste acumulado de</w:t>
      </w:r>
      <w:r w:rsidR="00DA7B18" w:rsidRPr="0062596E">
        <w:rPr>
          <w:spacing w:val="6"/>
          <w:sz w:val="26"/>
          <w:szCs w:val="26"/>
          <w:lang w:val="es-ES" w:eastAsia="es-ES"/>
        </w:rPr>
        <w:t xml:space="preserve">l refuerzo </w:t>
      </w:r>
      <w:r w:rsidR="009F4A8C" w:rsidRPr="0062596E">
        <w:rPr>
          <w:spacing w:val="6"/>
          <w:sz w:val="26"/>
          <w:szCs w:val="26"/>
          <w:lang w:val="es-ES" w:eastAsia="es-ES"/>
        </w:rPr>
        <w:t xml:space="preserve">de la </w:t>
      </w:r>
      <w:r w:rsidR="007B7C2B" w:rsidRPr="0062596E">
        <w:rPr>
          <w:spacing w:val="6"/>
          <w:sz w:val="26"/>
          <w:szCs w:val="26"/>
          <w:lang w:val="es-ES" w:eastAsia="es-ES"/>
        </w:rPr>
        <w:t xml:space="preserve">pasarela, a la fecha de </w:t>
      </w:r>
      <w:r w:rsidR="00DF0BDD">
        <w:rPr>
          <w:spacing w:val="6"/>
          <w:sz w:val="26"/>
          <w:szCs w:val="26"/>
          <w:lang w:val="es-ES" w:eastAsia="es-ES"/>
        </w:rPr>
        <w:t xml:space="preserve">finalización del trabajo de campo </w:t>
      </w:r>
      <w:r w:rsidR="007B7C2B" w:rsidRPr="0062596E">
        <w:rPr>
          <w:spacing w:val="6"/>
          <w:sz w:val="26"/>
          <w:szCs w:val="26"/>
          <w:lang w:val="es-ES" w:eastAsia="es-ES"/>
        </w:rPr>
        <w:t xml:space="preserve">de este informe, </w:t>
      </w:r>
      <w:r w:rsidR="00807992" w:rsidRPr="0062596E">
        <w:rPr>
          <w:spacing w:val="6"/>
          <w:sz w:val="26"/>
          <w:szCs w:val="26"/>
          <w:lang w:val="es-ES" w:eastAsia="es-ES"/>
        </w:rPr>
        <w:t xml:space="preserve">desde la </w:t>
      </w:r>
      <w:r w:rsidR="009F4A8C" w:rsidRPr="0062596E">
        <w:rPr>
          <w:spacing w:val="6"/>
          <w:sz w:val="26"/>
          <w:szCs w:val="26"/>
          <w:lang w:val="es-ES" w:eastAsia="es-ES"/>
        </w:rPr>
        <w:t xml:space="preserve">detección en 2016 de diversas deficiencias es el siguiente: </w:t>
      </w:r>
    </w:p>
    <w:tbl>
      <w:tblPr>
        <w:tblW w:w="8789" w:type="dxa"/>
        <w:tblInd w:w="-1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807"/>
        <w:gridCol w:w="982"/>
      </w:tblGrid>
      <w:tr w:rsidR="002E248F" w:rsidRPr="0062596E" w14:paraId="5BDD9C0D" w14:textId="77777777" w:rsidTr="001A2508">
        <w:trPr>
          <w:trHeight w:val="255"/>
        </w:trPr>
        <w:tc>
          <w:tcPr>
            <w:tcW w:w="7807" w:type="dxa"/>
            <w:tcBorders>
              <w:bottom w:val="single" w:sz="4" w:space="0" w:color="auto"/>
            </w:tcBorders>
            <w:shd w:val="clear" w:color="auto" w:fill="FABF8F" w:themeFill="accent6" w:themeFillTint="99"/>
            <w:noWrap/>
            <w:vAlign w:val="center"/>
            <w:hideMark/>
          </w:tcPr>
          <w:p w14:paraId="3B2C7DDD" w14:textId="77777777" w:rsidR="00807992" w:rsidRPr="0062596E" w:rsidRDefault="00807992" w:rsidP="00807992">
            <w:pPr>
              <w:spacing w:after="0"/>
              <w:ind w:firstLine="0"/>
              <w:rPr>
                <w:rFonts w:ascii="Arial" w:hAnsi="Arial" w:cs="Arial"/>
                <w:bCs/>
                <w:sz w:val="18"/>
                <w:szCs w:val="18"/>
                <w:lang w:val="es-ES" w:eastAsia="es-ES"/>
              </w:rPr>
            </w:pPr>
            <w:r w:rsidRPr="0062596E">
              <w:rPr>
                <w:rFonts w:ascii="Arial" w:hAnsi="Arial" w:cs="Arial"/>
                <w:bCs/>
                <w:sz w:val="18"/>
                <w:szCs w:val="18"/>
                <w:lang w:val="es-ES" w:eastAsia="es-ES"/>
              </w:rPr>
              <w:t>Conceptos</w:t>
            </w:r>
          </w:p>
        </w:tc>
        <w:tc>
          <w:tcPr>
            <w:tcW w:w="982" w:type="dxa"/>
            <w:tcBorders>
              <w:bottom w:val="single" w:sz="4" w:space="0" w:color="auto"/>
            </w:tcBorders>
            <w:shd w:val="clear" w:color="auto" w:fill="FABF8F" w:themeFill="accent6" w:themeFillTint="99"/>
            <w:noWrap/>
            <w:vAlign w:val="center"/>
            <w:hideMark/>
          </w:tcPr>
          <w:p w14:paraId="34E54D92" w14:textId="77777777" w:rsidR="00807992" w:rsidRPr="0062596E" w:rsidRDefault="00807992" w:rsidP="00807992">
            <w:pPr>
              <w:spacing w:after="0"/>
              <w:ind w:firstLine="0"/>
              <w:jc w:val="right"/>
              <w:rPr>
                <w:rFonts w:ascii="Arial" w:hAnsi="Arial" w:cs="Arial"/>
                <w:bCs/>
                <w:sz w:val="18"/>
                <w:szCs w:val="18"/>
                <w:lang w:val="es-ES" w:eastAsia="es-ES"/>
              </w:rPr>
            </w:pPr>
            <w:r w:rsidRPr="0062596E">
              <w:rPr>
                <w:rFonts w:ascii="Arial" w:hAnsi="Arial" w:cs="Arial"/>
                <w:bCs/>
                <w:sz w:val="18"/>
                <w:szCs w:val="18"/>
                <w:lang w:val="es-ES" w:eastAsia="es-ES"/>
              </w:rPr>
              <w:t>Importe</w:t>
            </w:r>
          </w:p>
        </w:tc>
      </w:tr>
      <w:tr w:rsidR="002E248F" w:rsidRPr="0062596E" w14:paraId="0BB0E685" w14:textId="77777777" w:rsidTr="001A2508">
        <w:trPr>
          <w:trHeight w:val="198"/>
        </w:trPr>
        <w:tc>
          <w:tcPr>
            <w:tcW w:w="7807" w:type="dxa"/>
            <w:tcBorders>
              <w:top w:val="single" w:sz="4" w:space="0" w:color="auto"/>
              <w:bottom w:val="single" w:sz="2" w:space="0" w:color="auto"/>
            </w:tcBorders>
            <w:shd w:val="clear" w:color="auto" w:fill="auto"/>
            <w:noWrap/>
            <w:vAlign w:val="center"/>
            <w:hideMark/>
          </w:tcPr>
          <w:p w14:paraId="5FB87989" w14:textId="77777777" w:rsidR="009F4A8C" w:rsidRPr="0062596E" w:rsidRDefault="007B7C2B" w:rsidP="002D239E">
            <w:pPr>
              <w:spacing w:after="0"/>
              <w:ind w:firstLine="0"/>
              <w:rPr>
                <w:rFonts w:ascii="Arial Narrow" w:hAnsi="Arial Narrow" w:cs="Calibri"/>
                <w:lang w:val="es-ES" w:eastAsia="es-ES"/>
              </w:rPr>
            </w:pPr>
            <w:r w:rsidRPr="0062596E">
              <w:rPr>
                <w:rFonts w:ascii="Arial Narrow" w:hAnsi="Arial Narrow" w:cs="Calibri"/>
                <w:lang w:val="es-ES" w:eastAsia="es-ES"/>
              </w:rPr>
              <w:t>I</w:t>
            </w:r>
            <w:r w:rsidR="009F4A8C" w:rsidRPr="0062596E">
              <w:rPr>
                <w:rFonts w:ascii="Arial Narrow" w:hAnsi="Arial Narrow" w:cs="Calibri"/>
                <w:lang w:val="es-ES" w:eastAsia="es-ES"/>
              </w:rPr>
              <w:t xml:space="preserve">nformes solicitados </w:t>
            </w:r>
          </w:p>
        </w:tc>
        <w:tc>
          <w:tcPr>
            <w:tcW w:w="982" w:type="dxa"/>
            <w:tcBorders>
              <w:top w:val="single" w:sz="4" w:space="0" w:color="auto"/>
              <w:bottom w:val="single" w:sz="2" w:space="0" w:color="auto"/>
            </w:tcBorders>
            <w:shd w:val="clear" w:color="auto" w:fill="auto"/>
            <w:noWrap/>
            <w:vAlign w:val="center"/>
            <w:hideMark/>
          </w:tcPr>
          <w:p w14:paraId="431B5C4E" w14:textId="77777777" w:rsidR="009F4A8C" w:rsidRPr="0062596E" w:rsidRDefault="009F4A8C" w:rsidP="002D239E">
            <w:pPr>
              <w:spacing w:after="0"/>
              <w:ind w:firstLine="0"/>
              <w:jc w:val="right"/>
              <w:rPr>
                <w:rFonts w:ascii="Arial Narrow" w:hAnsi="Arial Narrow" w:cs="Calibri"/>
                <w:lang w:val="es-ES" w:eastAsia="es-ES"/>
              </w:rPr>
            </w:pPr>
            <w:r w:rsidRPr="0062596E">
              <w:rPr>
                <w:rFonts w:ascii="Arial Narrow" w:hAnsi="Arial Narrow" w:cs="Calibri"/>
                <w:lang w:val="es-ES" w:eastAsia="es-ES"/>
              </w:rPr>
              <w:t>136.417</w:t>
            </w:r>
          </w:p>
        </w:tc>
      </w:tr>
      <w:tr w:rsidR="002E248F" w:rsidRPr="0062596E" w14:paraId="22BEB81A" w14:textId="77777777" w:rsidTr="007B7C2B">
        <w:trPr>
          <w:trHeight w:val="198"/>
        </w:trPr>
        <w:tc>
          <w:tcPr>
            <w:tcW w:w="7807" w:type="dxa"/>
            <w:tcBorders>
              <w:top w:val="single" w:sz="2" w:space="0" w:color="auto"/>
              <w:bottom w:val="single" w:sz="2" w:space="0" w:color="auto"/>
            </w:tcBorders>
            <w:shd w:val="clear" w:color="auto" w:fill="auto"/>
            <w:noWrap/>
            <w:vAlign w:val="center"/>
            <w:hideMark/>
          </w:tcPr>
          <w:p w14:paraId="1C88290D" w14:textId="77777777" w:rsidR="009F4A8C" w:rsidRPr="0062596E" w:rsidRDefault="007B7C2B" w:rsidP="002D239E">
            <w:pPr>
              <w:spacing w:after="0"/>
              <w:ind w:firstLine="0"/>
              <w:rPr>
                <w:rFonts w:ascii="Arial Narrow" w:hAnsi="Arial Narrow" w:cs="Calibri"/>
                <w:lang w:val="es-ES" w:eastAsia="es-ES"/>
              </w:rPr>
            </w:pPr>
            <w:r w:rsidRPr="0062596E">
              <w:rPr>
                <w:rFonts w:ascii="Arial Narrow" w:hAnsi="Arial Narrow" w:cs="Calibri"/>
                <w:lang w:val="es-ES" w:eastAsia="es-ES"/>
              </w:rPr>
              <w:t>M</w:t>
            </w:r>
            <w:r w:rsidR="009F4A8C" w:rsidRPr="0062596E">
              <w:rPr>
                <w:rFonts w:ascii="Arial Narrow" w:hAnsi="Arial Narrow" w:cs="Calibri"/>
                <w:lang w:val="es-ES" w:eastAsia="es-ES"/>
              </w:rPr>
              <w:t>edidas de seguridad adoptadas</w:t>
            </w:r>
          </w:p>
        </w:tc>
        <w:tc>
          <w:tcPr>
            <w:tcW w:w="982" w:type="dxa"/>
            <w:tcBorders>
              <w:top w:val="single" w:sz="2" w:space="0" w:color="auto"/>
              <w:bottom w:val="single" w:sz="2" w:space="0" w:color="auto"/>
            </w:tcBorders>
            <w:shd w:val="clear" w:color="auto" w:fill="auto"/>
            <w:noWrap/>
            <w:vAlign w:val="center"/>
            <w:hideMark/>
          </w:tcPr>
          <w:p w14:paraId="2E9B9C0F" w14:textId="77777777" w:rsidR="009F4A8C" w:rsidRPr="0062596E" w:rsidRDefault="009F4A8C" w:rsidP="002D239E">
            <w:pPr>
              <w:spacing w:after="0"/>
              <w:ind w:firstLine="0"/>
              <w:jc w:val="right"/>
              <w:rPr>
                <w:rFonts w:ascii="Arial Narrow" w:hAnsi="Arial Narrow" w:cs="Calibri"/>
                <w:lang w:val="es-ES" w:eastAsia="es-ES"/>
              </w:rPr>
            </w:pPr>
            <w:r w:rsidRPr="0062596E">
              <w:rPr>
                <w:rFonts w:ascii="Arial Narrow" w:hAnsi="Arial Narrow" w:cs="Calibri"/>
                <w:lang w:val="es-ES" w:eastAsia="es-ES"/>
              </w:rPr>
              <w:t>74.102</w:t>
            </w:r>
          </w:p>
        </w:tc>
      </w:tr>
      <w:tr w:rsidR="002E248F" w:rsidRPr="0062596E" w14:paraId="5D8FC25B" w14:textId="77777777" w:rsidTr="007B7C2B">
        <w:trPr>
          <w:trHeight w:val="198"/>
        </w:trPr>
        <w:tc>
          <w:tcPr>
            <w:tcW w:w="7807" w:type="dxa"/>
            <w:tcBorders>
              <w:top w:val="single" w:sz="2" w:space="0" w:color="auto"/>
              <w:bottom w:val="single" w:sz="2" w:space="0" w:color="auto"/>
            </w:tcBorders>
            <w:shd w:val="clear" w:color="auto" w:fill="auto"/>
            <w:noWrap/>
            <w:vAlign w:val="center"/>
            <w:hideMark/>
          </w:tcPr>
          <w:p w14:paraId="09A99052" w14:textId="77777777" w:rsidR="009F4A8C" w:rsidRPr="0062596E" w:rsidRDefault="009F4A8C" w:rsidP="007B7C2B">
            <w:pPr>
              <w:spacing w:after="0"/>
              <w:ind w:firstLine="0"/>
              <w:rPr>
                <w:rFonts w:ascii="Arial Narrow" w:hAnsi="Arial Narrow" w:cs="Calibri"/>
                <w:lang w:val="es-ES" w:eastAsia="es-ES"/>
              </w:rPr>
            </w:pPr>
            <w:r w:rsidRPr="0062596E">
              <w:rPr>
                <w:rFonts w:ascii="Arial Narrow" w:hAnsi="Arial Narrow" w:cs="Calibri"/>
                <w:lang w:val="es-ES" w:eastAsia="es-ES"/>
              </w:rPr>
              <w:t xml:space="preserve">Honorarios redacción </w:t>
            </w:r>
            <w:r w:rsidR="007B7C2B" w:rsidRPr="0062596E">
              <w:rPr>
                <w:rFonts w:ascii="Arial Narrow" w:hAnsi="Arial Narrow" w:cs="Calibri"/>
                <w:lang w:val="es-ES" w:eastAsia="es-ES"/>
              </w:rPr>
              <w:t xml:space="preserve">proyecto </w:t>
            </w:r>
            <w:r w:rsidRPr="0062596E">
              <w:rPr>
                <w:rFonts w:ascii="Arial Narrow" w:hAnsi="Arial Narrow" w:cs="Calibri"/>
                <w:lang w:val="es-ES" w:eastAsia="es-ES"/>
              </w:rPr>
              <w:t xml:space="preserve">y dirección de </w:t>
            </w:r>
            <w:r w:rsidR="007B7C2B" w:rsidRPr="0062596E">
              <w:rPr>
                <w:rFonts w:ascii="Arial Narrow" w:hAnsi="Arial Narrow" w:cs="Calibri"/>
                <w:lang w:val="es-ES" w:eastAsia="es-ES"/>
              </w:rPr>
              <w:t xml:space="preserve">la </w:t>
            </w:r>
            <w:r w:rsidRPr="0062596E">
              <w:rPr>
                <w:rFonts w:ascii="Arial Narrow" w:hAnsi="Arial Narrow" w:cs="Calibri"/>
                <w:lang w:val="es-ES" w:eastAsia="es-ES"/>
              </w:rPr>
              <w:t>ob</w:t>
            </w:r>
            <w:r w:rsidR="007B7C2B" w:rsidRPr="0062596E">
              <w:rPr>
                <w:rFonts w:ascii="Arial Narrow" w:hAnsi="Arial Narrow" w:cs="Calibri"/>
                <w:lang w:val="es-ES" w:eastAsia="es-ES"/>
              </w:rPr>
              <w:t xml:space="preserve">ra </w:t>
            </w:r>
          </w:p>
        </w:tc>
        <w:tc>
          <w:tcPr>
            <w:tcW w:w="982" w:type="dxa"/>
            <w:tcBorders>
              <w:top w:val="single" w:sz="2" w:space="0" w:color="auto"/>
              <w:bottom w:val="single" w:sz="2" w:space="0" w:color="auto"/>
            </w:tcBorders>
            <w:shd w:val="clear" w:color="auto" w:fill="auto"/>
            <w:noWrap/>
            <w:vAlign w:val="center"/>
            <w:hideMark/>
          </w:tcPr>
          <w:p w14:paraId="49124938" w14:textId="77777777" w:rsidR="009F4A8C" w:rsidRPr="0062596E" w:rsidRDefault="009F4A8C" w:rsidP="002D239E">
            <w:pPr>
              <w:spacing w:after="0"/>
              <w:ind w:firstLine="0"/>
              <w:jc w:val="right"/>
              <w:rPr>
                <w:rFonts w:ascii="Arial Narrow" w:hAnsi="Arial Narrow" w:cs="Calibri"/>
                <w:lang w:val="es-ES" w:eastAsia="es-ES"/>
              </w:rPr>
            </w:pPr>
            <w:r w:rsidRPr="0062596E">
              <w:rPr>
                <w:rFonts w:ascii="Arial Narrow" w:hAnsi="Arial Narrow" w:cs="Calibri"/>
                <w:lang w:val="es-ES" w:eastAsia="es-ES"/>
              </w:rPr>
              <w:t>91.083</w:t>
            </w:r>
          </w:p>
        </w:tc>
      </w:tr>
      <w:tr w:rsidR="002E248F" w:rsidRPr="0062596E" w14:paraId="69EE516F" w14:textId="77777777" w:rsidTr="001A2508">
        <w:trPr>
          <w:trHeight w:val="198"/>
        </w:trPr>
        <w:tc>
          <w:tcPr>
            <w:tcW w:w="7807" w:type="dxa"/>
            <w:tcBorders>
              <w:top w:val="single" w:sz="2" w:space="0" w:color="auto"/>
              <w:bottom w:val="single" w:sz="4" w:space="0" w:color="auto"/>
            </w:tcBorders>
            <w:shd w:val="clear" w:color="auto" w:fill="auto"/>
            <w:noWrap/>
            <w:vAlign w:val="center"/>
            <w:hideMark/>
          </w:tcPr>
          <w:p w14:paraId="6F20152B" w14:textId="77777777" w:rsidR="009F4A8C" w:rsidRPr="0062596E" w:rsidRDefault="007B7C2B" w:rsidP="007B7C2B">
            <w:pPr>
              <w:spacing w:after="0"/>
              <w:ind w:firstLine="0"/>
              <w:rPr>
                <w:rFonts w:ascii="Arial Narrow" w:hAnsi="Arial Narrow" w:cs="Calibri"/>
                <w:lang w:val="es-ES" w:eastAsia="es-ES"/>
              </w:rPr>
            </w:pPr>
            <w:r w:rsidRPr="0062596E">
              <w:rPr>
                <w:rFonts w:ascii="Arial Narrow" w:hAnsi="Arial Narrow" w:cs="Calibri"/>
                <w:lang w:val="es-ES" w:eastAsia="es-ES"/>
              </w:rPr>
              <w:t>Coste refuerzo estructural y acondicionamiento</w:t>
            </w:r>
          </w:p>
        </w:tc>
        <w:tc>
          <w:tcPr>
            <w:tcW w:w="982" w:type="dxa"/>
            <w:tcBorders>
              <w:top w:val="single" w:sz="2" w:space="0" w:color="auto"/>
              <w:bottom w:val="single" w:sz="4" w:space="0" w:color="auto"/>
            </w:tcBorders>
            <w:shd w:val="clear" w:color="auto" w:fill="auto"/>
            <w:noWrap/>
            <w:vAlign w:val="center"/>
            <w:hideMark/>
          </w:tcPr>
          <w:p w14:paraId="3CD8F2FB" w14:textId="77777777" w:rsidR="009F4A8C" w:rsidRPr="0062596E" w:rsidRDefault="009F4A8C" w:rsidP="002D239E">
            <w:pPr>
              <w:spacing w:after="0"/>
              <w:ind w:firstLine="0"/>
              <w:jc w:val="right"/>
              <w:rPr>
                <w:rFonts w:ascii="Arial Narrow" w:hAnsi="Arial Narrow" w:cs="Calibri"/>
                <w:lang w:val="es-ES" w:eastAsia="es-ES"/>
              </w:rPr>
            </w:pPr>
            <w:r w:rsidRPr="0062596E">
              <w:rPr>
                <w:rFonts w:ascii="Arial Narrow" w:hAnsi="Arial Narrow" w:cs="Calibri"/>
                <w:lang w:val="es-ES" w:eastAsia="es-ES"/>
              </w:rPr>
              <w:t>869.939</w:t>
            </w:r>
          </w:p>
        </w:tc>
      </w:tr>
      <w:tr w:rsidR="002E248F" w:rsidRPr="0062596E" w14:paraId="3592A69E" w14:textId="77777777" w:rsidTr="001A2508">
        <w:trPr>
          <w:trHeight w:val="255"/>
        </w:trPr>
        <w:tc>
          <w:tcPr>
            <w:tcW w:w="7807" w:type="dxa"/>
            <w:tcBorders>
              <w:top w:val="single" w:sz="4" w:space="0" w:color="auto"/>
            </w:tcBorders>
            <w:shd w:val="clear" w:color="auto" w:fill="FABF8F" w:themeFill="accent6" w:themeFillTint="99"/>
            <w:noWrap/>
            <w:vAlign w:val="center"/>
            <w:hideMark/>
          </w:tcPr>
          <w:p w14:paraId="76B70FC0" w14:textId="77777777" w:rsidR="009F4A8C" w:rsidRPr="0062596E" w:rsidRDefault="009F4A8C" w:rsidP="002D239E">
            <w:pPr>
              <w:spacing w:after="0"/>
              <w:ind w:firstLine="0"/>
              <w:rPr>
                <w:rFonts w:ascii="Arial" w:hAnsi="Arial" w:cs="Arial"/>
                <w:bCs/>
                <w:sz w:val="18"/>
                <w:szCs w:val="18"/>
                <w:lang w:val="es-ES" w:eastAsia="es-ES"/>
              </w:rPr>
            </w:pPr>
            <w:r w:rsidRPr="0062596E">
              <w:rPr>
                <w:rFonts w:ascii="Arial" w:hAnsi="Arial" w:cs="Arial"/>
                <w:bCs/>
                <w:sz w:val="18"/>
                <w:szCs w:val="18"/>
                <w:lang w:val="es-ES" w:eastAsia="es-ES"/>
              </w:rPr>
              <w:t>Total</w:t>
            </w:r>
          </w:p>
        </w:tc>
        <w:tc>
          <w:tcPr>
            <w:tcW w:w="982" w:type="dxa"/>
            <w:tcBorders>
              <w:top w:val="single" w:sz="4" w:space="0" w:color="auto"/>
            </w:tcBorders>
            <w:shd w:val="clear" w:color="auto" w:fill="FABF8F" w:themeFill="accent6" w:themeFillTint="99"/>
            <w:noWrap/>
            <w:vAlign w:val="center"/>
            <w:hideMark/>
          </w:tcPr>
          <w:p w14:paraId="67E41F53" w14:textId="77777777" w:rsidR="009F4A8C" w:rsidRPr="0062596E" w:rsidRDefault="00DA7B18" w:rsidP="00DA7B18">
            <w:pPr>
              <w:spacing w:after="0"/>
              <w:ind w:firstLine="0"/>
              <w:jc w:val="right"/>
              <w:rPr>
                <w:rFonts w:ascii="Arial" w:hAnsi="Arial" w:cs="Arial"/>
                <w:bCs/>
                <w:sz w:val="18"/>
                <w:szCs w:val="18"/>
                <w:lang w:val="es-ES" w:eastAsia="es-ES"/>
              </w:rPr>
            </w:pPr>
            <w:r w:rsidRPr="0062596E">
              <w:rPr>
                <w:rFonts w:ascii="Arial" w:hAnsi="Arial" w:cs="Arial"/>
                <w:bCs/>
                <w:sz w:val="18"/>
                <w:szCs w:val="18"/>
                <w:lang w:val="es-ES" w:eastAsia="es-ES"/>
              </w:rPr>
              <w:t>1.171.541</w:t>
            </w:r>
          </w:p>
        </w:tc>
      </w:tr>
    </w:tbl>
    <w:p w14:paraId="560ED1B7" w14:textId="77777777" w:rsidR="009F4A8C" w:rsidRDefault="009F4A8C" w:rsidP="00807992">
      <w:pPr>
        <w:pStyle w:val="Sinespaciado"/>
        <w:rPr>
          <w:lang w:val="es-ES_tradnl"/>
        </w:rPr>
      </w:pPr>
    </w:p>
    <w:p w14:paraId="11903CEA" w14:textId="77777777" w:rsidR="00807992" w:rsidRPr="008936C1" w:rsidRDefault="00CF62A2" w:rsidP="00807992">
      <w:pPr>
        <w:tabs>
          <w:tab w:val="left" w:pos="142"/>
          <w:tab w:val="center" w:pos="2835"/>
          <w:tab w:val="center" w:pos="3969"/>
          <w:tab w:val="num" w:pos="4046"/>
          <w:tab w:val="center" w:pos="5103"/>
          <w:tab w:val="center" w:pos="6237"/>
          <w:tab w:val="center" w:pos="7371"/>
        </w:tabs>
        <w:spacing w:before="120" w:after="240"/>
        <w:ind w:firstLine="284"/>
        <w:rPr>
          <w:spacing w:val="6"/>
          <w:sz w:val="26"/>
          <w:szCs w:val="26"/>
          <w:lang w:val="es-ES" w:eastAsia="es-ES"/>
        </w:rPr>
      </w:pPr>
      <w:r>
        <w:rPr>
          <w:spacing w:val="6"/>
          <w:sz w:val="26"/>
          <w:szCs w:val="26"/>
          <w:lang w:val="es-ES" w:eastAsia="es-ES"/>
        </w:rPr>
        <w:t xml:space="preserve">En relación con </w:t>
      </w:r>
      <w:r w:rsidR="00807992" w:rsidRPr="008936C1">
        <w:rPr>
          <w:spacing w:val="6"/>
          <w:sz w:val="26"/>
          <w:szCs w:val="26"/>
          <w:lang w:val="es-ES" w:eastAsia="es-ES"/>
        </w:rPr>
        <w:t xml:space="preserve">esta información, </w:t>
      </w:r>
      <w:r w:rsidR="00807992">
        <w:rPr>
          <w:spacing w:val="6"/>
          <w:sz w:val="26"/>
          <w:szCs w:val="26"/>
          <w:lang w:val="es-ES" w:eastAsia="es-ES"/>
        </w:rPr>
        <w:t xml:space="preserve">indicamos lo </w:t>
      </w:r>
      <w:r w:rsidR="00807992" w:rsidRPr="008936C1">
        <w:rPr>
          <w:spacing w:val="6"/>
          <w:sz w:val="26"/>
          <w:szCs w:val="26"/>
          <w:lang w:val="es-ES" w:eastAsia="es-ES"/>
        </w:rPr>
        <w:t>siguiente:</w:t>
      </w:r>
    </w:p>
    <w:p w14:paraId="657D91E8" w14:textId="77777777" w:rsidR="00807992" w:rsidRPr="008936C1"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t>Los</w:t>
      </w:r>
      <w:r w:rsidRPr="008936C1">
        <w:rPr>
          <w:rFonts w:cs="Arial"/>
          <w:spacing w:val="6"/>
          <w:sz w:val="26"/>
          <w:szCs w:val="24"/>
        </w:rPr>
        <w:t xml:space="preserve"> honorarios por </w:t>
      </w:r>
      <w:r>
        <w:rPr>
          <w:rFonts w:cs="Arial"/>
          <w:spacing w:val="6"/>
          <w:sz w:val="26"/>
          <w:szCs w:val="24"/>
        </w:rPr>
        <w:t>redacción de proyecto y d</w:t>
      </w:r>
      <w:r w:rsidRPr="008936C1">
        <w:rPr>
          <w:rFonts w:cs="Arial"/>
          <w:spacing w:val="6"/>
          <w:sz w:val="26"/>
          <w:szCs w:val="24"/>
        </w:rPr>
        <w:t xml:space="preserve">irección </w:t>
      </w:r>
      <w:r>
        <w:rPr>
          <w:rFonts w:cs="Arial"/>
          <w:spacing w:val="6"/>
          <w:sz w:val="26"/>
          <w:szCs w:val="24"/>
        </w:rPr>
        <w:t xml:space="preserve">de la </w:t>
      </w:r>
      <w:proofErr w:type="gramStart"/>
      <w:r>
        <w:rPr>
          <w:rFonts w:cs="Arial"/>
          <w:spacing w:val="6"/>
          <w:sz w:val="26"/>
          <w:szCs w:val="24"/>
        </w:rPr>
        <w:t>obra,</w:t>
      </w:r>
      <w:proofErr w:type="gramEnd"/>
      <w:r>
        <w:rPr>
          <w:rFonts w:cs="Arial"/>
          <w:spacing w:val="6"/>
          <w:sz w:val="26"/>
          <w:szCs w:val="24"/>
        </w:rPr>
        <w:t xml:space="preserve"> se corresponde</w:t>
      </w:r>
      <w:r w:rsidR="006D4233">
        <w:rPr>
          <w:rFonts w:cs="Arial"/>
          <w:spacing w:val="6"/>
          <w:sz w:val="26"/>
          <w:szCs w:val="24"/>
        </w:rPr>
        <w:t>n</w:t>
      </w:r>
      <w:r>
        <w:rPr>
          <w:rFonts w:cs="Arial"/>
          <w:spacing w:val="6"/>
          <w:sz w:val="26"/>
          <w:szCs w:val="24"/>
        </w:rPr>
        <w:t xml:space="preserve"> con los importes comprometidos, de los que la redacción de proyecto ha sido abonada íntegramente y los correspondientes a la dirección f</w:t>
      </w:r>
      <w:r w:rsidRPr="008936C1">
        <w:rPr>
          <w:rFonts w:cs="Arial"/>
          <w:spacing w:val="6"/>
          <w:sz w:val="26"/>
          <w:szCs w:val="24"/>
        </w:rPr>
        <w:t>acultativa, han sido abonados en un 75 por ciento, quedando pendiente el 25 por ciento final.</w:t>
      </w:r>
    </w:p>
    <w:p w14:paraId="1D535444" w14:textId="77777777" w:rsidR="00807992" w:rsidRDefault="00807992" w:rsidP="007C4E17">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7C4E17">
        <w:rPr>
          <w:rFonts w:cs="Arial"/>
          <w:color w:val="000000" w:themeColor="text1"/>
          <w:spacing w:val="6"/>
          <w:sz w:val="26"/>
          <w:szCs w:val="24"/>
        </w:rPr>
        <w:t>El</w:t>
      </w:r>
      <w:r w:rsidRPr="008936C1">
        <w:rPr>
          <w:rFonts w:cs="Arial"/>
          <w:spacing w:val="6"/>
          <w:sz w:val="26"/>
          <w:szCs w:val="24"/>
        </w:rPr>
        <w:t xml:space="preserve"> coste de</w:t>
      </w:r>
      <w:r w:rsidR="000023DA">
        <w:rPr>
          <w:rFonts w:cs="Arial"/>
          <w:spacing w:val="6"/>
          <w:sz w:val="26"/>
          <w:szCs w:val="24"/>
        </w:rPr>
        <w:t xml:space="preserve"> </w:t>
      </w:r>
      <w:r w:rsidR="007B7C2B">
        <w:rPr>
          <w:rFonts w:cs="Arial"/>
          <w:spacing w:val="6"/>
          <w:sz w:val="26"/>
          <w:szCs w:val="24"/>
        </w:rPr>
        <w:t xml:space="preserve">refuerzo estructural y acondicionamiento </w:t>
      </w:r>
      <w:r w:rsidRPr="008936C1">
        <w:rPr>
          <w:rFonts w:cs="Arial"/>
          <w:spacing w:val="6"/>
          <w:sz w:val="26"/>
          <w:szCs w:val="24"/>
        </w:rPr>
        <w:t xml:space="preserve">incluye 119.712 euros de diversos trabajos afectados a la obra por distintos contratistas y 750.227 </w:t>
      </w:r>
      <w:r>
        <w:rPr>
          <w:rFonts w:cs="Arial"/>
          <w:spacing w:val="6"/>
          <w:sz w:val="26"/>
          <w:szCs w:val="24"/>
        </w:rPr>
        <w:t xml:space="preserve">euros </w:t>
      </w:r>
      <w:r w:rsidRPr="008936C1">
        <w:rPr>
          <w:rFonts w:cs="Arial"/>
          <w:spacing w:val="6"/>
          <w:sz w:val="26"/>
          <w:szCs w:val="24"/>
        </w:rPr>
        <w:t xml:space="preserve">se corresponde con el importe comprometido con la empresa adjudicataria </w:t>
      </w:r>
      <w:r w:rsidR="007B7C2B">
        <w:rPr>
          <w:rFonts w:cs="Arial"/>
          <w:spacing w:val="6"/>
          <w:sz w:val="26"/>
          <w:szCs w:val="24"/>
        </w:rPr>
        <w:t xml:space="preserve">del contrato de obra </w:t>
      </w:r>
      <w:r w:rsidRPr="008936C1">
        <w:rPr>
          <w:rFonts w:cs="Arial"/>
          <w:spacing w:val="6"/>
          <w:sz w:val="26"/>
          <w:szCs w:val="24"/>
        </w:rPr>
        <w:t xml:space="preserve">citado </w:t>
      </w:r>
      <w:r w:rsidR="007B7C2B">
        <w:rPr>
          <w:rFonts w:cs="Arial"/>
          <w:spacing w:val="6"/>
          <w:sz w:val="26"/>
          <w:szCs w:val="24"/>
        </w:rPr>
        <w:t>en el apartado 7.2</w:t>
      </w:r>
      <w:r w:rsidRPr="008936C1">
        <w:rPr>
          <w:rFonts w:cs="Arial"/>
          <w:spacing w:val="6"/>
          <w:sz w:val="26"/>
          <w:szCs w:val="24"/>
        </w:rPr>
        <w:t>, de los que se han abonado hasta la fecha</w:t>
      </w:r>
      <w:r w:rsidR="00C71963">
        <w:rPr>
          <w:rFonts w:cs="Arial"/>
          <w:spacing w:val="6"/>
          <w:sz w:val="26"/>
          <w:szCs w:val="24"/>
        </w:rPr>
        <w:t xml:space="preserve"> de finalización del trabajo de campo</w:t>
      </w:r>
      <w:r w:rsidRPr="008936C1">
        <w:rPr>
          <w:rFonts w:cs="Arial"/>
          <w:spacing w:val="6"/>
          <w:sz w:val="26"/>
          <w:szCs w:val="24"/>
        </w:rPr>
        <w:t xml:space="preserve"> </w:t>
      </w:r>
      <w:r>
        <w:rPr>
          <w:rFonts w:cs="Arial"/>
          <w:spacing w:val="6"/>
          <w:sz w:val="26"/>
          <w:szCs w:val="24"/>
        </w:rPr>
        <w:t xml:space="preserve">463.369 euros. </w:t>
      </w:r>
    </w:p>
    <w:p w14:paraId="20D46628" w14:textId="77777777" w:rsidR="00807992" w:rsidRDefault="00807992" w:rsidP="00807992">
      <w:pPr>
        <w:pStyle w:val="Sinespaciado"/>
        <w:rPr>
          <w:lang w:val="es-ES_tradnl"/>
        </w:rPr>
      </w:pPr>
    </w:p>
    <w:p w14:paraId="0F5FE1E1" w14:textId="77777777" w:rsidR="00D542B5" w:rsidRDefault="00D542B5">
      <w:pPr>
        <w:spacing w:after="0"/>
        <w:ind w:firstLine="0"/>
        <w:jc w:val="left"/>
        <w:rPr>
          <w:rFonts w:asciiTheme="minorHAnsi" w:eastAsiaTheme="minorEastAsia" w:hAnsiTheme="minorHAnsi" w:cstheme="minorBidi"/>
          <w:sz w:val="22"/>
          <w:szCs w:val="22"/>
          <w:lang w:eastAsia="ja-JP"/>
        </w:rPr>
      </w:pPr>
      <w:r>
        <w:br w:type="page"/>
      </w:r>
    </w:p>
    <w:p w14:paraId="6C6923F1" w14:textId="77777777" w:rsidR="00D542B5" w:rsidRPr="00F376C6" w:rsidRDefault="00D542B5" w:rsidP="00D542B5">
      <w:pPr>
        <w:pStyle w:val="atitulo1"/>
      </w:pPr>
      <w:bookmarkStart w:id="177" w:name="_Toc118266019"/>
      <w:bookmarkStart w:id="178" w:name="_Toc129243499"/>
      <w:r w:rsidRPr="00F841C0">
        <w:lastRenderedPageBreak/>
        <w:t xml:space="preserve">Anexo 1. </w:t>
      </w:r>
      <w:bookmarkStart w:id="179" w:name="_Toc118266045"/>
      <w:bookmarkEnd w:id="177"/>
      <w:r w:rsidRPr="00F376C6">
        <w:t>Plan de medidas antifraude aprobado por el Ayuntamiento de Pamplona por la participación en la ejecución de las medidas del Plan de Recuperación, Transformación y Resiliencia</w:t>
      </w:r>
      <w:bookmarkEnd w:id="179"/>
      <w:bookmarkEnd w:id="178"/>
    </w:p>
    <w:p w14:paraId="1894BF07" w14:textId="77777777" w:rsidR="00D542B5" w:rsidRDefault="00D542B5" w:rsidP="00D542B5">
      <w:pPr>
        <w:pStyle w:val="atitulo2"/>
        <w:rPr>
          <w:lang w:val="es-ES" w:eastAsia="es-ES"/>
        </w:rPr>
      </w:pPr>
      <w:bookmarkStart w:id="180" w:name="_Toc129243500"/>
      <w:r>
        <w:rPr>
          <w:lang w:val="es-ES" w:eastAsia="es-ES"/>
        </w:rPr>
        <w:t>6.1. Introducción</w:t>
      </w:r>
      <w:bookmarkEnd w:id="180"/>
      <w:r>
        <w:rPr>
          <w:lang w:val="es-ES" w:eastAsia="es-ES"/>
        </w:rPr>
        <w:t xml:space="preserve"> </w:t>
      </w:r>
    </w:p>
    <w:p w14:paraId="1D71275E" w14:textId="77777777" w:rsidR="00D542B5" w:rsidRDefault="00D542B5" w:rsidP="00D542B5">
      <w:pPr>
        <w:tabs>
          <w:tab w:val="center" w:pos="2835"/>
          <w:tab w:val="center" w:pos="3969"/>
          <w:tab w:val="center" w:pos="5103"/>
          <w:tab w:val="center" w:pos="6237"/>
          <w:tab w:val="center" w:pos="7371"/>
        </w:tabs>
        <w:spacing w:before="240"/>
        <w:ind w:firstLine="284"/>
        <w:rPr>
          <w:color w:val="000000" w:themeColor="text1"/>
          <w:spacing w:val="6"/>
          <w:sz w:val="26"/>
          <w:szCs w:val="24"/>
        </w:rPr>
      </w:pPr>
      <w:r w:rsidRPr="002E2637">
        <w:rPr>
          <w:color w:val="000000" w:themeColor="text1"/>
          <w:spacing w:val="6"/>
          <w:sz w:val="26"/>
          <w:szCs w:val="24"/>
        </w:rPr>
        <w:t xml:space="preserve"> El Plan de Recuperación Transformación y Resiliencia, </w:t>
      </w:r>
      <w:r>
        <w:rPr>
          <w:color w:val="000000" w:themeColor="text1"/>
          <w:spacing w:val="6"/>
          <w:sz w:val="26"/>
          <w:szCs w:val="24"/>
        </w:rPr>
        <w:t>(</w:t>
      </w:r>
      <w:r w:rsidRPr="002E2637">
        <w:rPr>
          <w:color w:val="000000" w:themeColor="text1"/>
          <w:spacing w:val="6"/>
          <w:sz w:val="26"/>
          <w:szCs w:val="24"/>
        </w:rPr>
        <w:t>en adelante PRTR</w:t>
      </w:r>
      <w:r>
        <w:rPr>
          <w:color w:val="000000" w:themeColor="text1"/>
          <w:spacing w:val="6"/>
          <w:sz w:val="26"/>
          <w:szCs w:val="24"/>
        </w:rPr>
        <w:t>)</w:t>
      </w:r>
      <w:r w:rsidRPr="002E2637">
        <w:rPr>
          <w:color w:val="000000" w:themeColor="text1"/>
          <w:spacing w:val="6"/>
          <w:sz w:val="26"/>
          <w:szCs w:val="24"/>
        </w:rPr>
        <w:t>, se configura como un instrumento promovido a nivel de la Unión Europea orientado</w:t>
      </w:r>
      <w:r>
        <w:rPr>
          <w:color w:val="000000" w:themeColor="text1"/>
          <w:spacing w:val="6"/>
          <w:sz w:val="26"/>
          <w:szCs w:val="24"/>
        </w:rPr>
        <w:t xml:space="preserve"> </w:t>
      </w:r>
      <w:r w:rsidRPr="002E2637">
        <w:rPr>
          <w:color w:val="000000" w:themeColor="text1"/>
          <w:spacing w:val="6"/>
          <w:sz w:val="26"/>
          <w:szCs w:val="24"/>
        </w:rPr>
        <w:t xml:space="preserve">a mitigar los impactos de la Pandemia COVID-19, así como a transformar la sociedad, con objetivos </w:t>
      </w:r>
      <w:r>
        <w:rPr>
          <w:color w:val="000000" w:themeColor="text1"/>
          <w:spacing w:val="6"/>
          <w:sz w:val="26"/>
          <w:szCs w:val="24"/>
        </w:rPr>
        <w:t xml:space="preserve">estratégicos, </w:t>
      </w:r>
      <w:r w:rsidRPr="002E2637">
        <w:rPr>
          <w:color w:val="000000" w:themeColor="text1"/>
          <w:spacing w:val="6"/>
          <w:sz w:val="26"/>
          <w:szCs w:val="24"/>
        </w:rPr>
        <w:t>conforme al marco establecido en el Reglamento (UE) 2021/241 del Parlamento Europeo y del Consejo, de 12 de febrero de 2021, por el que se establece el Mecanismo de Recuperación y Resiliencia.</w:t>
      </w:r>
    </w:p>
    <w:p w14:paraId="190000FD" w14:textId="77777777" w:rsidR="00D542B5" w:rsidRDefault="00D542B5" w:rsidP="00D542B5">
      <w:pPr>
        <w:tabs>
          <w:tab w:val="center" w:pos="2835"/>
          <w:tab w:val="center" w:pos="3969"/>
          <w:tab w:val="center" w:pos="5103"/>
          <w:tab w:val="center" w:pos="6237"/>
          <w:tab w:val="center" w:pos="7371"/>
        </w:tabs>
        <w:spacing w:before="240"/>
        <w:ind w:firstLine="284"/>
        <w:rPr>
          <w:color w:val="000000" w:themeColor="text1"/>
          <w:spacing w:val="6"/>
          <w:sz w:val="26"/>
          <w:szCs w:val="24"/>
        </w:rPr>
      </w:pPr>
      <w:r w:rsidRPr="002E2637">
        <w:rPr>
          <w:color w:val="000000" w:themeColor="text1"/>
          <w:spacing w:val="6"/>
          <w:sz w:val="26"/>
          <w:szCs w:val="24"/>
        </w:rPr>
        <w:t>Con la finalidad de hacer efectivas las iniciativas planteadas en el menor tiempo posible, las Administraciones Públicas deben adoptar múltiples medidas, entre las que se encuentran la adaptación de los procedimientos de</w:t>
      </w:r>
      <w:r>
        <w:rPr>
          <w:color w:val="000000" w:themeColor="text1"/>
          <w:spacing w:val="6"/>
          <w:sz w:val="26"/>
          <w:szCs w:val="24"/>
        </w:rPr>
        <w:t xml:space="preserve"> gestión y el modelo de control. En la </w:t>
      </w:r>
      <w:r w:rsidRPr="002E2637">
        <w:rPr>
          <w:color w:val="000000" w:themeColor="text1"/>
          <w:spacing w:val="6"/>
          <w:sz w:val="26"/>
          <w:szCs w:val="24"/>
        </w:rPr>
        <w:t>Orden HFP/1030/2021, de 29 de septiembre, por la que se configura el sistema de gestión del Plan de Recuperación, Transformación y Resiliencia</w:t>
      </w:r>
      <w:r>
        <w:rPr>
          <w:color w:val="000000" w:themeColor="text1"/>
          <w:spacing w:val="6"/>
          <w:sz w:val="26"/>
          <w:szCs w:val="24"/>
        </w:rPr>
        <w:t xml:space="preserve">, </w:t>
      </w:r>
      <w:r w:rsidRPr="002E2637">
        <w:rPr>
          <w:color w:val="000000" w:themeColor="text1"/>
          <w:spacing w:val="6"/>
          <w:sz w:val="26"/>
          <w:szCs w:val="24"/>
        </w:rPr>
        <w:t>se concretan las directrices que garanticen el cumplimiento coordinado de los requerimientos establecidos por la normativa comunitaria para la ejecución del PRTR</w:t>
      </w:r>
      <w:r>
        <w:rPr>
          <w:color w:val="000000" w:themeColor="text1"/>
          <w:spacing w:val="6"/>
          <w:sz w:val="26"/>
          <w:szCs w:val="24"/>
        </w:rPr>
        <w:t>.</w:t>
      </w:r>
    </w:p>
    <w:p w14:paraId="3032BA76" w14:textId="77777777" w:rsidR="00D542B5" w:rsidRDefault="00D542B5" w:rsidP="00D542B5">
      <w:pPr>
        <w:tabs>
          <w:tab w:val="center" w:pos="2835"/>
          <w:tab w:val="center" w:pos="3969"/>
          <w:tab w:val="center" w:pos="5103"/>
          <w:tab w:val="center" w:pos="6237"/>
          <w:tab w:val="center" w:pos="7371"/>
        </w:tabs>
        <w:spacing w:before="240"/>
        <w:ind w:firstLine="284"/>
        <w:rPr>
          <w:color w:val="000000" w:themeColor="text1"/>
          <w:spacing w:val="6"/>
          <w:sz w:val="26"/>
          <w:szCs w:val="24"/>
        </w:rPr>
      </w:pPr>
      <w:r w:rsidRPr="002E2637">
        <w:rPr>
          <w:color w:val="000000" w:themeColor="text1"/>
          <w:spacing w:val="6"/>
          <w:sz w:val="26"/>
          <w:szCs w:val="24"/>
        </w:rPr>
        <w:t>La iniciat</w:t>
      </w:r>
      <w:r w:rsidR="006D4233">
        <w:rPr>
          <w:color w:val="000000" w:themeColor="text1"/>
          <w:spacing w:val="6"/>
          <w:sz w:val="26"/>
          <w:szCs w:val="24"/>
        </w:rPr>
        <w:t xml:space="preserve">iva de este </w:t>
      </w:r>
      <w:proofErr w:type="gramStart"/>
      <w:r w:rsidR="006D4233">
        <w:rPr>
          <w:color w:val="000000" w:themeColor="text1"/>
          <w:spacing w:val="6"/>
          <w:sz w:val="26"/>
          <w:szCs w:val="24"/>
        </w:rPr>
        <w:t>trabajo</w:t>
      </w:r>
      <w:r w:rsidRPr="002E2637">
        <w:rPr>
          <w:color w:val="000000" w:themeColor="text1"/>
          <w:spacing w:val="6"/>
          <w:sz w:val="26"/>
          <w:szCs w:val="24"/>
        </w:rPr>
        <w:t>,</w:t>
      </w:r>
      <w:proofErr w:type="gramEnd"/>
      <w:r w:rsidRPr="002E2637">
        <w:rPr>
          <w:color w:val="000000" w:themeColor="text1"/>
          <w:spacing w:val="6"/>
          <w:sz w:val="26"/>
          <w:szCs w:val="24"/>
        </w:rPr>
        <w:t xml:space="preserve"> surge de una propuesta conjunta del Tribunal</w:t>
      </w:r>
      <w:r w:rsidR="00953842">
        <w:rPr>
          <w:color w:val="000000" w:themeColor="text1"/>
          <w:spacing w:val="6"/>
          <w:sz w:val="26"/>
          <w:szCs w:val="24"/>
        </w:rPr>
        <w:t xml:space="preserve"> de Cuentas con el resto de Órga</w:t>
      </w:r>
      <w:r w:rsidRPr="002E2637">
        <w:rPr>
          <w:color w:val="000000" w:themeColor="text1"/>
          <w:spacing w:val="6"/>
          <w:sz w:val="26"/>
          <w:szCs w:val="24"/>
        </w:rPr>
        <w:t xml:space="preserve">nos de Control Externo </w:t>
      </w:r>
      <w:r>
        <w:rPr>
          <w:color w:val="000000" w:themeColor="text1"/>
          <w:spacing w:val="6"/>
          <w:sz w:val="26"/>
          <w:szCs w:val="24"/>
        </w:rPr>
        <w:t xml:space="preserve">(en adelante OCEX) </w:t>
      </w:r>
      <w:r w:rsidRPr="002E2637">
        <w:rPr>
          <w:color w:val="000000" w:themeColor="text1"/>
          <w:spacing w:val="6"/>
          <w:sz w:val="26"/>
          <w:szCs w:val="24"/>
        </w:rPr>
        <w:t>de las Comunidades Autónomas</w:t>
      </w:r>
      <w:r>
        <w:rPr>
          <w:color w:val="000000" w:themeColor="text1"/>
          <w:spacing w:val="6"/>
          <w:sz w:val="26"/>
          <w:szCs w:val="24"/>
        </w:rPr>
        <w:t xml:space="preserve">, sobre la aprobación de Planes de Medidas Antifraude (en adelante PMA) en el ámbito local. </w:t>
      </w:r>
    </w:p>
    <w:p w14:paraId="2527FE76" w14:textId="77777777" w:rsidR="00D542B5" w:rsidRDefault="00D542B5" w:rsidP="00D542B5">
      <w:pPr>
        <w:tabs>
          <w:tab w:val="center" w:pos="2835"/>
          <w:tab w:val="center" w:pos="3969"/>
          <w:tab w:val="center" w:pos="5103"/>
          <w:tab w:val="center" w:pos="6237"/>
          <w:tab w:val="center" w:pos="7371"/>
        </w:tabs>
        <w:spacing w:before="240"/>
        <w:ind w:firstLine="284"/>
        <w:rPr>
          <w:color w:val="000000" w:themeColor="text1"/>
          <w:spacing w:val="6"/>
          <w:sz w:val="26"/>
          <w:szCs w:val="24"/>
        </w:rPr>
      </w:pPr>
      <w:r>
        <w:rPr>
          <w:color w:val="000000" w:themeColor="text1"/>
          <w:spacing w:val="6"/>
          <w:sz w:val="26"/>
          <w:szCs w:val="24"/>
        </w:rPr>
        <w:t xml:space="preserve">Con objeto de lograr una visión de conjunto y permitir un análisis comparado de las actuaciones llevadas a cabo por las entidades locales del territorio nacional, los resultados del análisis serán expuestos de forma agregada en el informe que realice el Tribunal de Cuentas, al margen de que cada uno de los OCEX que toman parte en esta actuación fiscalizadora integren en su respectivo informe los resultados que obtenga sobre las entidades de su ámbito. </w:t>
      </w:r>
    </w:p>
    <w:p w14:paraId="0A59B42F" w14:textId="77777777" w:rsidR="00D542B5" w:rsidRDefault="00D542B5" w:rsidP="00D542B5">
      <w:pPr>
        <w:pStyle w:val="atitulo2"/>
        <w:rPr>
          <w:lang w:val="es-ES" w:eastAsia="es-ES"/>
        </w:rPr>
      </w:pPr>
      <w:bookmarkStart w:id="181" w:name="_Toc129243501"/>
      <w:r>
        <w:rPr>
          <w:lang w:val="es-ES" w:eastAsia="es-ES"/>
        </w:rPr>
        <w:t>6.2. Objetivos y alcance de la fiscalización</w:t>
      </w:r>
      <w:bookmarkEnd w:id="181"/>
    </w:p>
    <w:p w14:paraId="2E623535" w14:textId="77777777" w:rsidR="00D542B5" w:rsidRDefault="00D542B5" w:rsidP="00D542B5">
      <w:pPr>
        <w:tabs>
          <w:tab w:val="center" w:pos="2835"/>
          <w:tab w:val="center" w:pos="3969"/>
          <w:tab w:val="center" w:pos="5103"/>
          <w:tab w:val="center" w:pos="6237"/>
          <w:tab w:val="center" w:pos="7371"/>
        </w:tabs>
        <w:spacing w:before="240"/>
        <w:ind w:firstLine="284"/>
        <w:rPr>
          <w:color w:val="000000" w:themeColor="text1"/>
          <w:spacing w:val="6"/>
          <w:sz w:val="26"/>
          <w:szCs w:val="24"/>
        </w:rPr>
      </w:pPr>
      <w:r w:rsidRPr="00D93FAD">
        <w:rPr>
          <w:color w:val="000000" w:themeColor="text1"/>
          <w:spacing w:val="6"/>
          <w:sz w:val="26"/>
          <w:szCs w:val="24"/>
        </w:rPr>
        <w:t xml:space="preserve">Los </w:t>
      </w:r>
      <w:r>
        <w:rPr>
          <w:color w:val="000000" w:themeColor="text1"/>
          <w:spacing w:val="6"/>
          <w:sz w:val="26"/>
          <w:szCs w:val="24"/>
        </w:rPr>
        <w:t>objetivos son los siguientes:</w:t>
      </w:r>
    </w:p>
    <w:p w14:paraId="08A00CB2" w14:textId="77777777" w:rsidR="00D542B5" w:rsidRDefault="00D542B5" w:rsidP="00D542B5">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D110DC">
        <w:rPr>
          <w:rFonts w:cs="Arial"/>
          <w:spacing w:val="6"/>
          <w:sz w:val="26"/>
          <w:szCs w:val="24"/>
        </w:rPr>
        <w:t>Determinar si el ayuntamiento ha llevado a cabo la autoevaluación para concretar el estándar mínimo en relación con el cumplimiento de los principios de gestión específicos de PRTR establecidos en el artículo 2 de la Orden HFP/1030/2021.</w:t>
      </w:r>
    </w:p>
    <w:p w14:paraId="7F13C55A" w14:textId="77777777" w:rsidR="00D542B5" w:rsidRDefault="00D542B5" w:rsidP="00D542B5">
      <w:pPr>
        <w:tabs>
          <w:tab w:val="left" w:pos="480"/>
          <w:tab w:val="num" w:pos="600"/>
          <w:tab w:val="num" w:pos="720"/>
          <w:tab w:val="num" w:pos="786"/>
          <w:tab w:val="num" w:pos="1320"/>
          <w:tab w:val="num" w:pos="2062"/>
          <w:tab w:val="num" w:pos="4472"/>
        </w:tabs>
        <w:rPr>
          <w:rFonts w:cs="Arial"/>
          <w:spacing w:val="6"/>
          <w:sz w:val="26"/>
          <w:szCs w:val="24"/>
        </w:rPr>
      </w:pPr>
    </w:p>
    <w:p w14:paraId="348712D8" w14:textId="77777777" w:rsidR="00D542B5" w:rsidRDefault="00D542B5" w:rsidP="00D542B5">
      <w:pPr>
        <w:tabs>
          <w:tab w:val="left" w:pos="480"/>
          <w:tab w:val="num" w:pos="600"/>
          <w:tab w:val="num" w:pos="720"/>
          <w:tab w:val="num" w:pos="786"/>
          <w:tab w:val="num" w:pos="1320"/>
          <w:tab w:val="num" w:pos="2062"/>
          <w:tab w:val="num" w:pos="4472"/>
        </w:tabs>
        <w:rPr>
          <w:rFonts w:cs="Arial"/>
          <w:spacing w:val="6"/>
          <w:sz w:val="26"/>
          <w:szCs w:val="24"/>
        </w:rPr>
      </w:pPr>
    </w:p>
    <w:p w14:paraId="3CEAB9C4" w14:textId="77777777" w:rsidR="00D542B5" w:rsidRPr="00D110DC" w:rsidRDefault="00D542B5" w:rsidP="00D542B5">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D110DC">
        <w:rPr>
          <w:rFonts w:cs="Arial"/>
          <w:spacing w:val="6"/>
          <w:sz w:val="26"/>
          <w:szCs w:val="24"/>
        </w:rPr>
        <w:lastRenderedPageBreak/>
        <w:t xml:space="preserve">Verificar los procedimientos empleados por el ayuntamiento para la elaboración y aprobación de los </w:t>
      </w:r>
      <w:r>
        <w:rPr>
          <w:rFonts w:cs="Arial"/>
          <w:spacing w:val="6"/>
          <w:sz w:val="26"/>
          <w:szCs w:val="24"/>
        </w:rPr>
        <w:t xml:space="preserve">PMA </w:t>
      </w:r>
      <w:r w:rsidRPr="00D110DC">
        <w:rPr>
          <w:rFonts w:cs="Arial"/>
          <w:spacing w:val="6"/>
          <w:sz w:val="26"/>
          <w:szCs w:val="24"/>
        </w:rPr>
        <w:t>y determinar su coste.</w:t>
      </w:r>
    </w:p>
    <w:p w14:paraId="13E5711E" w14:textId="77777777" w:rsidR="00D542B5" w:rsidRDefault="00D542B5" w:rsidP="00D542B5">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D110DC">
        <w:rPr>
          <w:rFonts w:cs="Arial"/>
          <w:spacing w:val="6"/>
          <w:sz w:val="26"/>
          <w:szCs w:val="24"/>
        </w:rPr>
        <w:t xml:space="preserve">Comprobar la efectiva </w:t>
      </w:r>
      <w:r>
        <w:rPr>
          <w:rFonts w:cs="Arial"/>
          <w:spacing w:val="6"/>
          <w:sz w:val="26"/>
          <w:szCs w:val="24"/>
        </w:rPr>
        <w:t xml:space="preserve">aprobación por el ayuntamiento </w:t>
      </w:r>
      <w:r w:rsidRPr="00D110DC">
        <w:rPr>
          <w:rFonts w:cs="Arial"/>
          <w:spacing w:val="6"/>
          <w:sz w:val="26"/>
          <w:szCs w:val="24"/>
        </w:rPr>
        <w:t xml:space="preserve">de los </w:t>
      </w:r>
      <w:r>
        <w:rPr>
          <w:rFonts w:cs="Arial"/>
          <w:spacing w:val="6"/>
          <w:sz w:val="26"/>
          <w:szCs w:val="24"/>
        </w:rPr>
        <w:t xml:space="preserve">PMA </w:t>
      </w:r>
      <w:r w:rsidRPr="00D110DC">
        <w:rPr>
          <w:rFonts w:cs="Arial"/>
          <w:spacing w:val="6"/>
          <w:sz w:val="26"/>
          <w:szCs w:val="24"/>
        </w:rPr>
        <w:t>y examinar su contenido de acuerdo con la normativa establecida en el artículo 6.5 de la Orden HFP/1030/2021.</w:t>
      </w:r>
    </w:p>
    <w:p w14:paraId="6431485D" w14:textId="77777777" w:rsidR="00D542B5" w:rsidRDefault="00D542B5" w:rsidP="00D542B5">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Pr>
          <w:rFonts w:cs="Arial"/>
          <w:spacing w:val="6"/>
          <w:sz w:val="26"/>
          <w:szCs w:val="24"/>
        </w:rPr>
        <w:t>Valorar la adecuación del contenido de los PMA en relación con los cuatro elementos clave del “ciclo antifraude” –prevención, detección, corrección y persecución-.</w:t>
      </w:r>
    </w:p>
    <w:p w14:paraId="51B20807" w14:textId="77777777" w:rsidR="00D542B5" w:rsidRDefault="00D542B5" w:rsidP="00D542B5">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Pr>
          <w:rFonts w:cs="Arial"/>
          <w:spacing w:val="6"/>
          <w:sz w:val="26"/>
          <w:szCs w:val="24"/>
        </w:rPr>
        <w:t>Examinar, en la medida de lo posible, la implantación de los PMA y verificar, en caso de haberse detectado situaciones de fraude, efectivo o potencial, o situaciones potenciales de conflictos de interés, si el ayuntamiento ha dado cumplimiento a los procedimientos establecidos.</w:t>
      </w:r>
    </w:p>
    <w:p w14:paraId="35EAD221" w14:textId="77777777" w:rsidR="00D542B5" w:rsidRDefault="00D542B5" w:rsidP="00D542B5">
      <w:pPr>
        <w:tabs>
          <w:tab w:val="left" w:pos="142"/>
          <w:tab w:val="center" w:pos="2835"/>
          <w:tab w:val="center" w:pos="3969"/>
          <w:tab w:val="center" w:pos="5103"/>
          <w:tab w:val="center" w:pos="6237"/>
          <w:tab w:val="center" w:pos="7371"/>
        </w:tabs>
        <w:spacing w:before="120" w:after="240"/>
        <w:ind w:firstLine="284"/>
        <w:rPr>
          <w:spacing w:val="6"/>
          <w:sz w:val="26"/>
          <w:szCs w:val="26"/>
          <w:lang w:val="es-ES" w:eastAsia="es-ES"/>
        </w:rPr>
      </w:pPr>
      <w:r>
        <w:rPr>
          <w:spacing w:val="6"/>
          <w:sz w:val="26"/>
          <w:szCs w:val="26"/>
          <w:lang w:val="es-ES" w:eastAsia="es-ES"/>
        </w:rPr>
        <w:t>En el artículo 6.5.a) de la citada orden se establece que los PMA deben aprobarse en un plazo inferior a 90 días hábiles desde la entrada en vigor de la citada orden, o en su caso desde que se tenga conocimiento de la participación en la ejecución del PRTR. Teniendo en cuenta que el Ayuntamiento de Pamplona tuvo conocimiento de la citada participación el 13 de diciembre de 2021, el ámbito temporal de la presente fiscalización alcanza hasta mediados de abril de 2022.</w:t>
      </w:r>
    </w:p>
    <w:p w14:paraId="0C8C10D0" w14:textId="77777777" w:rsidR="00D542B5" w:rsidRDefault="00D542B5" w:rsidP="00D542B5">
      <w:pPr>
        <w:pStyle w:val="atitulo2"/>
        <w:rPr>
          <w:lang w:val="es-ES" w:eastAsia="es-ES"/>
        </w:rPr>
      </w:pPr>
      <w:bookmarkStart w:id="182" w:name="_Toc129243502"/>
      <w:r>
        <w:rPr>
          <w:lang w:val="es-ES" w:eastAsia="es-ES"/>
        </w:rPr>
        <w:t>6.3. Resultados de la fiscalización</w:t>
      </w:r>
      <w:bookmarkEnd w:id="182"/>
    </w:p>
    <w:p w14:paraId="746DA059" w14:textId="77777777" w:rsidR="00D542B5" w:rsidRPr="00953715" w:rsidRDefault="00D542B5" w:rsidP="00D542B5">
      <w:pPr>
        <w:tabs>
          <w:tab w:val="left" w:pos="142"/>
          <w:tab w:val="center" w:pos="2835"/>
          <w:tab w:val="center" w:pos="3969"/>
          <w:tab w:val="center" w:pos="5103"/>
          <w:tab w:val="center" w:pos="6237"/>
          <w:tab w:val="center" w:pos="7371"/>
        </w:tabs>
        <w:spacing w:before="120" w:after="240"/>
        <w:ind w:firstLine="284"/>
        <w:rPr>
          <w:b/>
          <w:spacing w:val="6"/>
          <w:sz w:val="26"/>
          <w:szCs w:val="26"/>
          <w:lang w:val="es-ES" w:eastAsia="es-ES"/>
        </w:rPr>
      </w:pPr>
      <w:r w:rsidRPr="00953715">
        <w:rPr>
          <w:b/>
          <w:spacing w:val="6"/>
          <w:sz w:val="26"/>
          <w:szCs w:val="26"/>
          <w:lang w:val="es-ES" w:eastAsia="es-ES"/>
        </w:rPr>
        <w:t xml:space="preserve">6.3.1. Resultados referidos al cumplimiento de los principios de gestión específicos del PRTR en materia antifraude y a la aprobación de los </w:t>
      </w:r>
      <w:r>
        <w:rPr>
          <w:b/>
          <w:spacing w:val="6"/>
          <w:sz w:val="26"/>
          <w:szCs w:val="26"/>
          <w:lang w:val="es-ES" w:eastAsia="es-ES"/>
        </w:rPr>
        <w:t>PMA</w:t>
      </w:r>
      <w:r w:rsidRPr="00953715">
        <w:rPr>
          <w:b/>
          <w:spacing w:val="6"/>
          <w:sz w:val="26"/>
          <w:szCs w:val="26"/>
          <w:lang w:val="es-ES" w:eastAsia="es-ES"/>
        </w:rPr>
        <w:t xml:space="preserve"> </w:t>
      </w:r>
    </w:p>
    <w:p w14:paraId="2CAD7DA7" w14:textId="77777777" w:rsidR="00D542B5" w:rsidRPr="00953715" w:rsidRDefault="00D542B5" w:rsidP="00D542B5">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953715">
        <w:rPr>
          <w:rFonts w:cs="Arial"/>
          <w:spacing w:val="6"/>
          <w:sz w:val="26"/>
          <w:szCs w:val="24"/>
        </w:rPr>
        <w:t>Realización de autoevaluaciones para la concreción del estándar mínimo en relación con el cumplimiento de los principios de gestión del PRTR.</w:t>
      </w:r>
    </w:p>
    <w:p w14:paraId="16BA4B4F" w14:textId="77777777" w:rsidR="006D4233" w:rsidRPr="006D4233" w:rsidRDefault="00D542B5" w:rsidP="006639E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6D4233">
        <w:rPr>
          <w:szCs w:val="26"/>
          <w:lang w:eastAsia="es-ES"/>
        </w:rPr>
        <w:t xml:space="preserve">La autoevaluación </w:t>
      </w:r>
      <w:r w:rsidR="006D4233" w:rsidRPr="006D4233">
        <w:rPr>
          <w:szCs w:val="26"/>
          <w:lang w:eastAsia="es-ES"/>
        </w:rPr>
        <w:t xml:space="preserve">fue </w:t>
      </w:r>
      <w:r w:rsidRPr="006D4233">
        <w:rPr>
          <w:szCs w:val="26"/>
          <w:lang w:eastAsia="es-ES"/>
        </w:rPr>
        <w:t xml:space="preserve">realizada el dos de marzo de 2022 por el </w:t>
      </w:r>
      <w:proofErr w:type="gramStart"/>
      <w:r w:rsidRPr="006D4233">
        <w:rPr>
          <w:szCs w:val="26"/>
          <w:lang w:eastAsia="es-ES"/>
        </w:rPr>
        <w:t>Director</w:t>
      </w:r>
      <w:proofErr w:type="gramEnd"/>
      <w:r w:rsidRPr="006D4233">
        <w:rPr>
          <w:szCs w:val="26"/>
          <w:lang w:eastAsia="es-ES"/>
        </w:rPr>
        <w:t xml:space="preserve"> de la Oficina Estratégica con el visto bueno de la Comisión Antifraude. </w:t>
      </w:r>
    </w:p>
    <w:p w14:paraId="03E7CECC" w14:textId="77777777" w:rsidR="00D542B5" w:rsidRPr="006D4233" w:rsidRDefault="00D542B5" w:rsidP="006639E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6D4233">
        <w:rPr>
          <w:szCs w:val="26"/>
          <w:lang w:eastAsia="es-ES"/>
        </w:rPr>
        <w:t xml:space="preserve">La autoevaluación correspondiente al Anexo II.B.5. de la </w:t>
      </w:r>
      <w:r w:rsidRPr="006D4233">
        <w:rPr>
          <w:rFonts w:cs="Arial"/>
        </w:rPr>
        <w:t xml:space="preserve">Orden HFP/1030/2021 </w:t>
      </w:r>
      <w:r w:rsidRPr="006D4233">
        <w:rPr>
          <w:szCs w:val="26"/>
          <w:lang w:eastAsia="es-ES"/>
        </w:rPr>
        <w:t xml:space="preserve">(Test conflicto de interés, prevención del fraude y la corrupción) se ha obtenido una puntuación de 28 (nivel de cumplimiento del 38 por ciento). Indicamos al respecto que esta evaluación se realiza con carácter previo en ausencia de medidas y que el riesgo que se desprende de la </w:t>
      </w:r>
      <w:proofErr w:type="gramStart"/>
      <w:r w:rsidRPr="006D4233">
        <w:rPr>
          <w:szCs w:val="26"/>
          <w:lang w:eastAsia="es-ES"/>
        </w:rPr>
        <w:t>autoevaluación,</w:t>
      </w:r>
      <w:proofErr w:type="gramEnd"/>
      <w:r w:rsidRPr="006D4233">
        <w:rPr>
          <w:szCs w:val="26"/>
          <w:lang w:eastAsia="es-ES"/>
        </w:rPr>
        <w:t xml:space="preserve"> es lo que orienta en la adopción de medidas para mejorar los requerimientos de gestión y control exigidos; medidas que han sido aprobadas posteriormente, tal y como se reflejamos a continuación. </w:t>
      </w:r>
    </w:p>
    <w:p w14:paraId="6EF52B51" w14:textId="77777777" w:rsidR="00D542B5" w:rsidRDefault="00D542B5" w:rsidP="00D542B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Pr>
          <w:szCs w:val="26"/>
          <w:lang w:eastAsia="es-ES"/>
        </w:rPr>
        <w:t>Se ha previsto revisión con periodicidad anual</w:t>
      </w:r>
      <w:r w:rsidRPr="00DA675E">
        <w:rPr>
          <w:szCs w:val="26"/>
          <w:lang w:eastAsia="es-ES"/>
        </w:rPr>
        <w:t>.</w:t>
      </w:r>
    </w:p>
    <w:p w14:paraId="4E8BC001" w14:textId="77777777" w:rsidR="00D542B5" w:rsidRDefault="00D542B5" w:rsidP="00D542B5">
      <w:pPr>
        <w:pStyle w:val="texto"/>
        <w:tabs>
          <w:tab w:val="clear" w:pos="2835"/>
          <w:tab w:val="clear" w:pos="3969"/>
          <w:tab w:val="clear" w:pos="5103"/>
          <w:tab w:val="clear" w:pos="6237"/>
          <w:tab w:val="clear" w:pos="7371"/>
          <w:tab w:val="left" w:pos="480"/>
          <w:tab w:val="num" w:pos="1080"/>
          <w:tab w:val="num" w:pos="2204"/>
          <w:tab w:val="num" w:pos="2760"/>
        </w:tabs>
        <w:ind w:left="360" w:firstLine="0"/>
        <w:rPr>
          <w:szCs w:val="26"/>
          <w:lang w:eastAsia="es-ES"/>
        </w:rPr>
      </w:pPr>
    </w:p>
    <w:p w14:paraId="6251D0AF" w14:textId="77777777" w:rsidR="00D542B5" w:rsidRPr="00DA675E" w:rsidRDefault="00D542B5" w:rsidP="00D542B5">
      <w:pPr>
        <w:pStyle w:val="texto"/>
        <w:tabs>
          <w:tab w:val="clear" w:pos="2835"/>
          <w:tab w:val="clear" w:pos="3969"/>
          <w:tab w:val="clear" w:pos="5103"/>
          <w:tab w:val="clear" w:pos="6237"/>
          <w:tab w:val="clear" w:pos="7371"/>
          <w:tab w:val="left" w:pos="480"/>
          <w:tab w:val="num" w:pos="1080"/>
          <w:tab w:val="num" w:pos="2204"/>
          <w:tab w:val="num" w:pos="2760"/>
        </w:tabs>
        <w:ind w:left="360" w:firstLine="0"/>
        <w:rPr>
          <w:szCs w:val="26"/>
          <w:lang w:eastAsia="es-ES"/>
        </w:rPr>
      </w:pPr>
    </w:p>
    <w:p w14:paraId="77BFC01C" w14:textId="77777777" w:rsidR="00D542B5" w:rsidRPr="00DA675E" w:rsidRDefault="00D542B5" w:rsidP="00D542B5">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DA675E">
        <w:rPr>
          <w:rFonts w:cs="Arial"/>
          <w:spacing w:val="6"/>
          <w:sz w:val="26"/>
          <w:szCs w:val="24"/>
        </w:rPr>
        <w:lastRenderedPageBreak/>
        <w:t xml:space="preserve">Aprobación del PMA y adecuación de su contenido a lo establecido en la </w:t>
      </w:r>
      <w:r w:rsidRPr="00D110DC">
        <w:rPr>
          <w:rFonts w:cs="Arial"/>
          <w:spacing w:val="6"/>
          <w:sz w:val="26"/>
          <w:szCs w:val="24"/>
        </w:rPr>
        <w:t>Orden HFP/1030/2021</w:t>
      </w:r>
    </w:p>
    <w:p w14:paraId="1239D9A7" w14:textId="77777777" w:rsidR="00D542B5" w:rsidRPr="00DA675E" w:rsidRDefault="00D542B5" w:rsidP="00D542B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DA675E">
        <w:rPr>
          <w:szCs w:val="26"/>
          <w:lang w:eastAsia="es-ES"/>
        </w:rPr>
        <w:t xml:space="preserve">El PMA se </w:t>
      </w:r>
      <w:r>
        <w:rPr>
          <w:szCs w:val="26"/>
          <w:lang w:eastAsia="es-ES"/>
        </w:rPr>
        <w:t xml:space="preserve">ha elaborado de forma interna por la Comisión Antifraude, no recurriendo a su externalización. La Junta de Gobierno Local lo </w:t>
      </w:r>
      <w:r w:rsidRPr="00DA675E">
        <w:rPr>
          <w:szCs w:val="26"/>
          <w:lang w:eastAsia="es-ES"/>
        </w:rPr>
        <w:t>aprobó el 1</w:t>
      </w:r>
      <w:r>
        <w:rPr>
          <w:szCs w:val="26"/>
          <w:lang w:eastAsia="es-ES"/>
        </w:rPr>
        <w:t xml:space="preserve">4 </w:t>
      </w:r>
      <w:r w:rsidRPr="00DA675E">
        <w:rPr>
          <w:szCs w:val="26"/>
          <w:lang w:eastAsia="es-ES"/>
        </w:rPr>
        <w:t xml:space="preserve">de </w:t>
      </w:r>
      <w:r>
        <w:rPr>
          <w:szCs w:val="26"/>
          <w:lang w:eastAsia="es-ES"/>
        </w:rPr>
        <w:t xml:space="preserve">marzo de </w:t>
      </w:r>
      <w:r w:rsidRPr="00DA675E">
        <w:rPr>
          <w:szCs w:val="26"/>
          <w:lang w:eastAsia="es-ES"/>
        </w:rPr>
        <w:t>202</w:t>
      </w:r>
      <w:r>
        <w:rPr>
          <w:szCs w:val="26"/>
          <w:lang w:eastAsia="es-ES"/>
        </w:rPr>
        <w:t>2.</w:t>
      </w:r>
      <w:r w:rsidRPr="00DA675E">
        <w:rPr>
          <w:szCs w:val="26"/>
          <w:lang w:eastAsia="es-ES"/>
        </w:rPr>
        <w:t xml:space="preserve"> </w:t>
      </w:r>
    </w:p>
    <w:p w14:paraId="505F894C" w14:textId="77777777" w:rsidR="00D542B5" w:rsidRPr="00DA675E" w:rsidRDefault="00D542B5" w:rsidP="00D542B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DA675E">
        <w:rPr>
          <w:szCs w:val="26"/>
          <w:lang w:eastAsia="es-ES"/>
        </w:rPr>
        <w:t xml:space="preserve">Alcanza toda la organización local y sus entes dependientes. </w:t>
      </w:r>
    </w:p>
    <w:p w14:paraId="7C231A33" w14:textId="77777777" w:rsidR="00D542B5" w:rsidRDefault="00D542B5" w:rsidP="00D542B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DA675E">
        <w:rPr>
          <w:szCs w:val="26"/>
          <w:lang w:eastAsia="es-ES"/>
        </w:rPr>
        <w:t>No se ha enviado al Servicio Nacional de Coordinación. Indicamos que este aspecto se contempla en la citada orden como una recomendación, no una remisión obligatoria.</w:t>
      </w:r>
    </w:p>
    <w:p w14:paraId="69B0FE73" w14:textId="77777777" w:rsidR="00D542B5" w:rsidRPr="00615A14" w:rsidRDefault="00D542B5" w:rsidP="00D542B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615A14">
        <w:rPr>
          <w:szCs w:val="26"/>
          <w:lang w:eastAsia="es-ES"/>
        </w:rPr>
        <w:t xml:space="preserve">El contenido del PMA cumple los requerimientos mínimos exigidos en el artículo 6.5. de la citada orden. </w:t>
      </w:r>
    </w:p>
    <w:p w14:paraId="461E7F95" w14:textId="77777777" w:rsidR="00D542B5" w:rsidRPr="00DA675E" w:rsidRDefault="00D542B5" w:rsidP="00D542B5">
      <w:pPr>
        <w:tabs>
          <w:tab w:val="left" w:pos="142"/>
          <w:tab w:val="center" w:pos="2835"/>
          <w:tab w:val="center" w:pos="3969"/>
          <w:tab w:val="center" w:pos="5103"/>
          <w:tab w:val="center" w:pos="6237"/>
          <w:tab w:val="center" w:pos="7371"/>
        </w:tabs>
        <w:spacing w:before="120" w:after="240"/>
        <w:ind w:firstLine="284"/>
        <w:rPr>
          <w:b/>
          <w:spacing w:val="6"/>
          <w:sz w:val="26"/>
          <w:szCs w:val="26"/>
          <w:lang w:val="es-ES" w:eastAsia="es-ES"/>
        </w:rPr>
      </w:pPr>
      <w:r w:rsidRPr="00DA675E">
        <w:rPr>
          <w:b/>
          <w:spacing w:val="6"/>
          <w:sz w:val="26"/>
          <w:szCs w:val="26"/>
          <w:lang w:val="es-ES" w:eastAsia="es-ES"/>
        </w:rPr>
        <w:t>6.3.2. Resultados referidos al contenido y la implantación de</w:t>
      </w:r>
      <w:r>
        <w:rPr>
          <w:b/>
          <w:spacing w:val="6"/>
          <w:sz w:val="26"/>
          <w:szCs w:val="26"/>
          <w:lang w:val="es-ES" w:eastAsia="es-ES"/>
        </w:rPr>
        <w:t xml:space="preserve">l </w:t>
      </w:r>
      <w:r w:rsidRPr="00DA675E">
        <w:rPr>
          <w:b/>
          <w:spacing w:val="6"/>
          <w:sz w:val="26"/>
          <w:szCs w:val="26"/>
          <w:lang w:val="es-ES" w:eastAsia="es-ES"/>
        </w:rPr>
        <w:t>p</w:t>
      </w:r>
      <w:r>
        <w:rPr>
          <w:b/>
          <w:spacing w:val="6"/>
          <w:sz w:val="26"/>
          <w:szCs w:val="26"/>
          <w:lang w:val="es-ES" w:eastAsia="es-ES"/>
        </w:rPr>
        <w:t>lan</w:t>
      </w:r>
      <w:r w:rsidRPr="00DA675E">
        <w:rPr>
          <w:b/>
          <w:spacing w:val="6"/>
          <w:sz w:val="26"/>
          <w:szCs w:val="26"/>
          <w:lang w:val="es-ES" w:eastAsia="es-ES"/>
        </w:rPr>
        <w:t xml:space="preserve"> de medidas antifraude aprobado </w:t>
      </w:r>
    </w:p>
    <w:p w14:paraId="1B114FFF" w14:textId="77777777" w:rsidR="00D542B5" w:rsidRPr="00DA675E" w:rsidRDefault="00D542B5" w:rsidP="00D542B5">
      <w:pPr>
        <w:numPr>
          <w:ilvl w:val="0"/>
          <w:numId w:val="2"/>
        </w:numPr>
        <w:tabs>
          <w:tab w:val="clear" w:pos="502"/>
          <w:tab w:val="num" w:pos="300"/>
          <w:tab w:val="num" w:pos="360"/>
          <w:tab w:val="left" w:pos="480"/>
          <w:tab w:val="num" w:pos="600"/>
          <w:tab w:val="num" w:pos="720"/>
          <w:tab w:val="num" w:pos="1320"/>
          <w:tab w:val="num" w:pos="2062"/>
          <w:tab w:val="num" w:pos="4472"/>
        </w:tabs>
        <w:ind w:left="0" w:firstLine="289"/>
        <w:rPr>
          <w:rFonts w:cs="Arial"/>
          <w:spacing w:val="6"/>
          <w:sz w:val="26"/>
          <w:szCs w:val="24"/>
        </w:rPr>
      </w:pPr>
      <w:r w:rsidRPr="00DA675E">
        <w:rPr>
          <w:rFonts w:cs="Arial"/>
          <w:spacing w:val="6"/>
          <w:sz w:val="26"/>
          <w:szCs w:val="24"/>
        </w:rPr>
        <w:t>Adecuación del contenido de los PMA en relación con los cuatro elementos clave del “ciclo antifraude”</w:t>
      </w:r>
    </w:p>
    <w:p w14:paraId="0236AD73" w14:textId="77777777" w:rsidR="00D542B5" w:rsidRPr="00EF35E0" w:rsidRDefault="00D542B5" w:rsidP="00D542B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EF35E0">
        <w:rPr>
          <w:szCs w:val="26"/>
          <w:lang w:eastAsia="es-ES"/>
        </w:rPr>
        <w:t>Medidas de prevención</w:t>
      </w:r>
    </w:p>
    <w:p w14:paraId="06A8D705" w14:textId="77777777" w:rsidR="00D542B5" w:rsidRPr="00EF35E0"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spacing w:val="6"/>
          <w:sz w:val="26"/>
          <w:szCs w:val="26"/>
          <w:lang w:val="es-ES" w:eastAsia="es-ES"/>
        </w:rPr>
        <w:t xml:space="preserve">a) </w:t>
      </w:r>
      <w:r w:rsidR="00D542B5" w:rsidRPr="005800E7">
        <w:rPr>
          <w:spacing w:val="6"/>
          <w:sz w:val="26"/>
          <w:szCs w:val="26"/>
          <w:lang w:val="es-ES" w:eastAsia="es-ES"/>
        </w:rPr>
        <w:t>Política</w:t>
      </w:r>
      <w:r w:rsidR="00D542B5" w:rsidRPr="00EF35E0">
        <w:rPr>
          <w:rFonts w:cs="Arial"/>
          <w:spacing w:val="6"/>
          <w:sz w:val="26"/>
          <w:szCs w:val="24"/>
        </w:rPr>
        <w:t xml:space="preserve"> antifraude</w:t>
      </w:r>
      <w:r w:rsidR="00D542B5">
        <w:rPr>
          <w:rFonts w:cs="Arial"/>
          <w:spacing w:val="6"/>
          <w:sz w:val="26"/>
          <w:szCs w:val="24"/>
        </w:rPr>
        <w:t>. La Junta de Gobierno Local ha emitido una declaración manifestando el compromiso firme contra el fraude implicando tolerancia cero y ha dado difusión interna y externa.</w:t>
      </w:r>
    </w:p>
    <w:p w14:paraId="164D7DD0" w14:textId="77777777" w:rsidR="00D542B5" w:rsidRPr="00EF35E0"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rFonts w:cs="Arial"/>
          <w:spacing w:val="6"/>
          <w:sz w:val="26"/>
          <w:szCs w:val="24"/>
        </w:rPr>
        <w:t xml:space="preserve">b) </w:t>
      </w:r>
      <w:r w:rsidR="00D542B5" w:rsidRPr="00EF35E0">
        <w:rPr>
          <w:rFonts w:cs="Arial"/>
          <w:spacing w:val="6"/>
          <w:sz w:val="26"/>
          <w:szCs w:val="24"/>
        </w:rPr>
        <w:t>Comi</w:t>
      </w:r>
      <w:r w:rsidR="006D4233">
        <w:rPr>
          <w:rFonts w:cs="Arial"/>
          <w:spacing w:val="6"/>
          <w:sz w:val="26"/>
          <w:szCs w:val="24"/>
        </w:rPr>
        <w:t xml:space="preserve">sión </w:t>
      </w:r>
      <w:r w:rsidR="00D542B5" w:rsidRPr="00EF35E0">
        <w:rPr>
          <w:rFonts w:cs="Arial"/>
          <w:spacing w:val="6"/>
          <w:sz w:val="26"/>
          <w:szCs w:val="24"/>
        </w:rPr>
        <w:t>antifraude</w:t>
      </w:r>
      <w:r w:rsidR="00D542B5">
        <w:rPr>
          <w:rFonts w:cs="Arial"/>
          <w:spacing w:val="6"/>
          <w:sz w:val="26"/>
          <w:szCs w:val="24"/>
        </w:rPr>
        <w:t>. El 28 de febrero de 2022 mediante Resolución de Alcaldía se crea el Comité antifraude, sin dependencia jerárquica de ningún órgano. Está compuesto por 3 hombres y tres mujeres, con experiencia en gestión y control</w:t>
      </w:r>
      <w:r w:rsidR="006D4233">
        <w:rPr>
          <w:rFonts w:cs="Arial"/>
          <w:spacing w:val="6"/>
          <w:sz w:val="26"/>
          <w:szCs w:val="24"/>
        </w:rPr>
        <w:t>.</w:t>
      </w:r>
    </w:p>
    <w:p w14:paraId="35E0585D" w14:textId="77777777" w:rsidR="00D542B5" w:rsidRPr="00EF35E0"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rFonts w:cs="Arial"/>
          <w:spacing w:val="6"/>
          <w:sz w:val="26"/>
          <w:szCs w:val="24"/>
        </w:rPr>
        <w:t xml:space="preserve">c) </w:t>
      </w:r>
      <w:r w:rsidR="00D542B5" w:rsidRPr="00EF35E0">
        <w:rPr>
          <w:rFonts w:cs="Arial"/>
          <w:spacing w:val="6"/>
          <w:sz w:val="26"/>
          <w:szCs w:val="24"/>
        </w:rPr>
        <w:t>Evaluación de riesgos</w:t>
      </w:r>
      <w:r w:rsidR="00D542B5">
        <w:rPr>
          <w:rFonts w:cs="Arial"/>
          <w:spacing w:val="6"/>
          <w:sz w:val="26"/>
          <w:szCs w:val="24"/>
        </w:rPr>
        <w:t>. Se ha llevado a cabo una autoevaluación de riesgos, incorporando indicadores de fraude/corrupción/conflicto de intereses y doble financiación. Se han definido el conflicto de intereses, su tipología y los posibles actores implicados.</w:t>
      </w:r>
    </w:p>
    <w:p w14:paraId="7AAAC122" w14:textId="77777777" w:rsidR="00D542B5" w:rsidRPr="00E20F66"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rFonts w:cs="Arial"/>
          <w:spacing w:val="6"/>
          <w:sz w:val="26"/>
          <w:szCs w:val="24"/>
        </w:rPr>
        <w:t xml:space="preserve">d) </w:t>
      </w:r>
      <w:r w:rsidR="00D542B5" w:rsidRPr="00E20F66">
        <w:rPr>
          <w:rFonts w:cs="Arial"/>
          <w:spacing w:val="6"/>
          <w:sz w:val="26"/>
          <w:szCs w:val="24"/>
        </w:rPr>
        <w:t>Código ético</w:t>
      </w:r>
      <w:r w:rsidR="00D542B5">
        <w:rPr>
          <w:rFonts w:cs="Arial"/>
          <w:spacing w:val="6"/>
          <w:sz w:val="26"/>
          <w:szCs w:val="24"/>
        </w:rPr>
        <w:t xml:space="preserve">. La Junta de Gobierno Local, aprobó el 14 de marzo de 2022 el código ético, contemplando los principios de conducta previstos en el marco legal estatutario de los empleados públicos. </w:t>
      </w:r>
    </w:p>
    <w:p w14:paraId="03C039AE" w14:textId="77777777" w:rsidR="00D542B5" w:rsidRPr="00EF35E0"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rFonts w:cs="Arial"/>
          <w:spacing w:val="6"/>
          <w:sz w:val="26"/>
          <w:szCs w:val="24"/>
        </w:rPr>
        <w:t xml:space="preserve">e) </w:t>
      </w:r>
      <w:r w:rsidR="00D542B5" w:rsidRPr="00EF35E0">
        <w:rPr>
          <w:rFonts w:cs="Arial"/>
          <w:spacing w:val="6"/>
          <w:sz w:val="26"/>
          <w:szCs w:val="24"/>
        </w:rPr>
        <w:t>Doble financiación</w:t>
      </w:r>
      <w:r w:rsidR="00D542B5">
        <w:rPr>
          <w:rFonts w:cs="Arial"/>
          <w:spacing w:val="6"/>
          <w:sz w:val="26"/>
          <w:szCs w:val="24"/>
        </w:rPr>
        <w:t>. Se aplican procedimientos para valorar la posible existencia de doble financiación en los proyectos PRTR, llevando una contabilidad separada mediante proyectos de gasto</w:t>
      </w:r>
    </w:p>
    <w:p w14:paraId="0071734D" w14:textId="77777777" w:rsidR="00D542B5"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rFonts w:cs="Arial"/>
          <w:spacing w:val="6"/>
          <w:sz w:val="26"/>
          <w:szCs w:val="24"/>
        </w:rPr>
        <w:t xml:space="preserve">f) </w:t>
      </w:r>
      <w:r w:rsidR="00D542B5" w:rsidRPr="00EF35E0">
        <w:rPr>
          <w:rFonts w:cs="Arial"/>
          <w:spacing w:val="6"/>
          <w:sz w:val="26"/>
          <w:szCs w:val="24"/>
        </w:rPr>
        <w:t>Formación</w:t>
      </w:r>
      <w:r w:rsidR="00D542B5">
        <w:rPr>
          <w:rFonts w:cs="Arial"/>
          <w:spacing w:val="6"/>
          <w:sz w:val="26"/>
          <w:szCs w:val="24"/>
        </w:rPr>
        <w:t>. Si bien está previsto que la formación alcance todos los niveles jerárquicos del ayuntamiento, no se han realizado acciones formativas.</w:t>
      </w:r>
    </w:p>
    <w:p w14:paraId="1B60EF19" w14:textId="77777777" w:rsidR="00D542B5" w:rsidRPr="00EF35E0" w:rsidRDefault="00D542B5" w:rsidP="00D542B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EF35E0">
        <w:rPr>
          <w:szCs w:val="26"/>
          <w:lang w:eastAsia="es-ES"/>
        </w:rPr>
        <w:lastRenderedPageBreak/>
        <w:t>Medidas detección</w:t>
      </w:r>
    </w:p>
    <w:p w14:paraId="70C1464E" w14:textId="77777777" w:rsidR="00D542B5" w:rsidRPr="00EF35E0"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rFonts w:cs="Arial"/>
          <w:spacing w:val="6"/>
          <w:sz w:val="26"/>
          <w:szCs w:val="24"/>
        </w:rPr>
        <w:t xml:space="preserve">a) </w:t>
      </w:r>
      <w:r w:rsidR="00D542B5" w:rsidRPr="00EF35E0">
        <w:rPr>
          <w:rFonts w:cs="Arial"/>
          <w:spacing w:val="6"/>
          <w:sz w:val="26"/>
          <w:szCs w:val="24"/>
        </w:rPr>
        <w:t>Consultas bases de datos</w:t>
      </w:r>
      <w:r w:rsidR="00D542B5">
        <w:rPr>
          <w:rFonts w:cs="Arial"/>
          <w:spacing w:val="6"/>
          <w:sz w:val="26"/>
          <w:szCs w:val="24"/>
        </w:rPr>
        <w:t>. El ayuntamiento no ha desarrollado herramientas que permitan su procesamiento</w:t>
      </w:r>
      <w:r w:rsidR="006D4233">
        <w:rPr>
          <w:rFonts w:cs="Arial"/>
          <w:spacing w:val="6"/>
          <w:sz w:val="26"/>
          <w:szCs w:val="24"/>
        </w:rPr>
        <w:t xml:space="preserve"> masivo y el análisis de datos, si bien se ha habilitado inicialmente una sección con un enlace al canal de denuncias antifraude de la Intervención General de la Administración del Estado. </w:t>
      </w:r>
      <w:r w:rsidR="00D542B5">
        <w:rPr>
          <w:rFonts w:cs="Arial"/>
          <w:spacing w:val="6"/>
          <w:sz w:val="26"/>
          <w:szCs w:val="24"/>
        </w:rPr>
        <w:t>No se realizan consultas a bases de datos existentes para conocer las posibles vinculaciones entre empresas y/o con participantes en los procedimientos de concesión de ayudas o de adjudicación de contratos, así como detectar una doble financiación.</w:t>
      </w:r>
    </w:p>
    <w:p w14:paraId="41B31AD4" w14:textId="77777777" w:rsidR="00D542B5" w:rsidRPr="00EF35E0"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rFonts w:cs="Arial"/>
          <w:spacing w:val="6"/>
          <w:sz w:val="26"/>
          <w:szCs w:val="24"/>
        </w:rPr>
        <w:t xml:space="preserve">b) </w:t>
      </w:r>
      <w:r w:rsidR="00D542B5" w:rsidRPr="00EF35E0">
        <w:rPr>
          <w:rFonts w:cs="Arial"/>
          <w:spacing w:val="6"/>
          <w:sz w:val="26"/>
          <w:szCs w:val="24"/>
        </w:rPr>
        <w:t>Indicadores de fraude</w:t>
      </w:r>
      <w:r w:rsidR="00D542B5">
        <w:rPr>
          <w:rFonts w:cs="Arial"/>
          <w:spacing w:val="6"/>
          <w:sz w:val="26"/>
          <w:szCs w:val="24"/>
        </w:rPr>
        <w:t>. Se han definido indicadores de riesgo para las áreas de subvenciones, contratos, convenios y encargos a medios propios, habiendo comunicado estos indicadores al personal en posición de detectarlos.</w:t>
      </w:r>
    </w:p>
    <w:p w14:paraId="0F191C3F" w14:textId="77777777" w:rsidR="00D542B5" w:rsidRPr="00EF35E0"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rFonts w:cs="Arial"/>
          <w:spacing w:val="6"/>
          <w:sz w:val="26"/>
          <w:szCs w:val="24"/>
        </w:rPr>
        <w:t xml:space="preserve">c) </w:t>
      </w:r>
      <w:r w:rsidR="00D542B5" w:rsidRPr="00EF35E0">
        <w:rPr>
          <w:rFonts w:cs="Arial"/>
          <w:spacing w:val="6"/>
          <w:sz w:val="26"/>
          <w:szCs w:val="24"/>
        </w:rPr>
        <w:t>Canal de denuncias</w:t>
      </w:r>
      <w:r w:rsidR="00D542B5">
        <w:rPr>
          <w:rFonts w:cs="Arial"/>
          <w:spacing w:val="6"/>
          <w:sz w:val="26"/>
          <w:szCs w:val="24"/>
        </w:rPr>
        <w:t>. Está pendiente de completar informáticamente un canal específico para interponer denuncias. No obstante, se establece la obligación de denunciar cuando se tenga conocimiento de indicios de actos de fraude, corrupción y conflicto de intereses, siendo la Comisión Antifraude la unidad encargada de examinar las denuncias y proponer medidas.</w:t>
      </w:r>
    </w:p>
    <w:p w14:paraId="515D5F92" w14:textId="77777777" w:rsidR="00D542B5" w:rsidRPr="00EF35E0" w:rsidRDefault="00D542B5" w:rsidP="00D542B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EF35E0">
        <w:rPr>
          <w:szCs w:val="26"/>
          <w:lang w:eastAsia="es-ES"/>
        </w:rPr>
        <w:t>Medidas de corrección</w:t>
      </w:r>
      <w:r>
        <w:rPr>
          <w:szCs w:val="26"/>
          <w:lang w:eastAsia="es-ES"/>
        </w:rPr>
        <w:t xml:space="preserve">. Se han establecido procedimientos en los supuestos de detección de posible fraude o sospecha fundada. Se contempla desde la suspensión inmediata de un proceso afectado por la denuncia hasta retirar los proyectos o la parte de </w:t>
      </w:r>
      <w:proofErr w:type="gramStart"/>
      <w:r>
        <w:rPr>
          <w:szCs w:val="26"/>
          <w:lang w:eastAsia="es-ES"/>
        </w:rPr>
        <w:t>los mismos</w:t>
      </w:r>
      <w:proofErr w:type="gramEnd"/>
      <w:r>
        <w:rPr>
          <w:szCs w:val="26"/>
          <w:lang w:eastAsia="es-ES"/>
        </w:rPr>
        <w:t xml:space="preserve"> afectados por el fraude y financiados o a financiar. </w:t>
      </w:r>
    </w:p>
    <w:p w14:paraId="06285735" w14:textId="77777777" w:rsidR="00D542B5" w:rsidRPr="00EF35E0" w:rsidRDefault="00D542B5" w:rsidP="00D542B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EF35E0">
        <w:rPr>
          <w:szCs w:val="26"/>
          <w:lang w:eastAsia="es-ES"/>
        </w:rPr>
        <w:t>Medidas de persecución</w:t>
      </w:r>
      <w:r>
        <w:rPr>
          <w:szCs w:val="26"/>
          <w:lang w:eastAsia="es-ES"/>
        </w:rPr>
        <w:t>. A través de denuncia ante el Ministerio Fiscal o los Juzgados y Tribunales competentes.</w:t>
      </w:r>
    </w:p>
    <w:p w14:paraId="54A646B2" w14:textId="77777777" w:rsidR="00D542B5" w:rsidRPr="00EF35E0" w:rsidRDefault="00D542B5" w:rsidP="00D542B5">
      <w:pPr>
        <w:pStyle w:val="texto"/>
        <w:numPr>
          <w:ilvl w:val="0"/>
          <w:numId w:val="20"/>
        </w:numPr>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r w:rsidRPr="00EF35E0">
        <w:rPr>
          <w:szCs w:val="26"/>
          <w:lang w:eastAsia="es-ES"/>
        </w:rPr>
        <w:t>Medidas de prevención y corrección de situaciones de conflicto de interés</w:t>
      </w:r>
    </w:p>
    <w:p w14:paraId="09F30E95" w14:textId="77777777" w:rsidR="00D542B5" w:rsidRPr="00EF35E0"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rFonts w:cs="Arial"/>
          <w:spacing w:val="6"/>
          <w:sz w:val="26"/>
          <w:szCs w:val="24"/>
        </w:rPr>
        <w:t xml:space="preserve">a) </w:t>
      </w:r>
      <w:r w:rsidR="00D542B5" w:rsidRPr="00EF35E0">
        <w:rPr>
          <w:rFonts w:cs="Arial"/>
          <w:spacing w:val="6"/>
          <w:sz w:val="26"/>
          <w:szCs w:val="24"/>
        </w:rPr>
        <w:t>Cuestiones generales</w:t>
      </w:r>
      <w:r w:rsidR="00D542B5">
        <w:rPr>
          <w:rFonts w:cs="Arial"/>
          <w:spacing w:val="6"/>
          <w:sz w:val="26"/>
          <w:szCs w:val="24"/>
        </w:rPr>
        <w:t>. Se han definido el conflicto de intereses, los posibles actores implicados y la tipología de conflicto de intereses.</w:t>
      </w:r>
    </w:p>
    <w:p w14:paraId="4C831D87" w14:textId="77777777" w:rsidR="00D542B5" w:rsidRPr="00EF35E0"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rFonts w:cs="Arial"/>
          <w:spacing w:val="6"/>
          <w:sz w:val="26"/>
          <w:szCs w:val="24"/>
        </w:rPr>
        <w:t xml:space="preserve">b) </w:t>
      </w:r>
      <w:r w:rsidR="00D542B5">
        <w:rPr>
          <w:rFonts w:cs="Arial"/>
          <w:spacing w:val="6"/>
          <w:sz w:val="26"/>
          <w:szCs w:val="24"/>
        </w:rPr>
        <w:t>Se ha redactado un modelo de Declaración de Ausencia de Conflicto de Intereses (documento DACI), que debe cumplimentarse por las personas que intervienen en la gestión de cada subproyecto.</w:t>
      </w:r>
    </w:p>
    <w:p w14:paraId="5D10B51C" w14:textId="77777777" w:rsidR="00D542B5" w:rsidRDefault="005800E7" w:rsidP="005800E7">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Pr>
          <w:rFonts w:cs="Arial"/>
          <w:spacing w:val="6"/>
          <w:sz w:val="26"/>
          <w:szCs w:val="24"/>
        </w:rPr>
        <w:t xml:space="preserve">c) </w:t>
      </w:r>
      <w:r w:rsidR="00D542B5" w:rsidRPr="00EF35E0">
        <w:rPr>
          <w:rFonts w:cs="Arial"/>
          <w:spacing w:val="6"/>
          <w:sz w:val="26"/>
          <w:szCs w:val="24"/>
        </w:rPr>
        <w:t>Procedimiento para abordar los conflictos de interés</w:t>
      </w:r>
      <w:r w:rsidR="00D542B5">
        <w:rPr>
          <w:rFonts w:cs="Arial"/>
          <w:spacing w:val="6"/>
          <w:sz w:val="26"/>
          <w:szCs w:val="24"/>
        </w:rPr>
        <w:t>. Se dispone del procedimiento conforme a lo establecido en el Reglamento 2018/1046 del Parlamento Europeo y del Consejo de 18 de julio de 2018, sobre las normas financieras aplicables al presupuesto general de la UE. El citado procedimiento prevé la comunicación e información al personal de la entidad sobre las distintas modalidades de conflicto de intereses y las formas de evitarlo.</w:t>
      </w:r>
    </w:p>
    <w:p w14:paraId="6500D0AE" w14:textId="77777777" w:rsidR="00D542B5" w:rsidRDefault="00D542B5" w:rsidP="00D542B5">
      <w:pPr>
        <w:pStyle w:val="Prrafodelista"/>
        <w:tabs>
          <w:tab w:val="left" w:pos="142"/>
          <w:tab w:val="center" w:pos="2835"/>
          <w:tab w:val="center" w:pos="3969"/>
          <w:tab w:val="center" w:pos="5103"/>
          <w:tab w:val="center" w:pos="6237"/>
          <w:tab w:val="center" w:pos="7371"/>
        </w:tabs>
        <w:spacing w:before="120" w:after="240"/>
        <w:ind w:left="1004" w:firstLine="0"/>
        <w:rPr>
          <w:rFonts w:cs="Arial"/>
          <w:spacing w:val="6"/>
          <w:sz w:val="26"/>
          <w:szCs w:val="24"/>
        </w:rPr>
      </w:pPr>
    </w:p>
    <w:p w14:paraId="6B52976C" w14:textId="77777777" w:rsidR="00D542B5" w:rsidRDefault="00D542B5" w:rsidP="00D542B5">
      <w:pPr>
        <w:pStyle w:val="atitulo2"/>
        <w:rPr>
          <w:lang w:val="es-ES" w:eastAsia="es-ES"/>
        </w:rPr>
      </w:pPr>
      <w:bookmarkStart w:id="183" w:name="_Toc129243503"/>
      <w:r>
        <w:rPr>
          <w:lang w:val="es-ES" w:eastAsia="es-ES"/>
        </w:rPr>
        <w:lastRenderedPageBreak/>
        <w:t>6.4. Conclusión</w:t>
      </w:r>
      <w:bookmarkEnd w:id="183"/>
      <w:r>
        <w:rPr>
          <w:lang w:val="es-ES" w:eastAsia="es-ES"/>
        </w:rPr>
        <w:t xml:space="preserve"> </w:t>
      </w:r>
    </w:p>
    <w:p w14:paraId="5A87FFDF" w14:textId="77777777" w:rsidR="00D542B5" w:rsidRPr="00CC45C6" w:rsidRDefault="00D542B5" w:rsidP="00D542B5">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r w:rsidRPr="00CC45C6">
        <w:rPr>
          <w:rFonts w:cs="Arial"/>
          <w:spacing w:val="6"/>
          <w:sz w:val="26"/>
          <w:szCs w:val="24"/>
        </w:rPr>
        <w:t xml:space="preserve">De la revisión realizada, podemos concluir que el PMA aprobado por el </w:t>
      </w:r>
      <w:r>
        <w:rPr>
          <w:rFonts w:cs="Arial"/>
          <w:spacing w:val="6"/>
          <w:sz w:val="26"/>
          <w:szCs w:val="24"/>
        </w:rPr>
        <w:t>a</w:t>
      </w:r>
      <w:r w:rsidRPr="00CC45C6">
        <w:rPr>
          <w:rFonts w:cs="Arial"/>
          <w:spacing w:val="6"/>
          <w:sz w:val="26"/>
          <w:szCs w:val="24"/>
        </w:rPr>
        <w:t xml:space="preserve">yuntamiento contempla con carácter general los requerimientos mínimos exigidos en la </w:t>
      </w:r>
      <w:r w:rsidRPr="001E44C9">
        <w:rPr>
          <w:rFonts w:cs="Arial"/>
          <w:spacing w:val="6"/>
          <w:sz w:val="26"/>
          <w:szCs w:val="24"/>
        </w:rPr>
        <w:t>Orden HFP/1030/2021</w:t>
      </w:r>
      <w:r>
        <w:rPr>
          <w:rFonts w:cs="Arial"/>
          <w:spacing w:val="6"/>
          <w:sz w:val="26"/>
          <w:szCs w:val="24"/>
        </w:rPr>
        <w:t xml:space="preserve">, de forma que </w:t>
      </w:r>
      <w:r w:rsidRPr="00CC45C6">
        <w:rPr>
          <w:rFonts w:cs="Arial"/>
          <w:spacing w:val="6"/>
          <w:sz w:val="26"/>
          <w:szCs w:val="24"/>
        </w:rPr>
        <w:t>le per</w:t>
      </w:r>
      <w:r>
        <w:rPr>
          <w:rFonts w:cs="Arial"/>
          <w:spacing w:val="6"/>
          <w:sz w:val="26"/>
          <w:szCs w:val="24"/>
        </w:rPr>
        <w:t xml:space="preserve">mita garantizar y declarar si </w:t>
      </w:r>
      <w:r w:rsidRPr="00CC45C6">
        <w:rPr>
          <w:rFonts w:cs="Arial"/>
          <w:spacing w:val="6"/>
          <w:sz w:val="26"/>
          <w:szCs w:val="24"/>
        </w:rPr>
        <w:t xml:space="preserve">los fondos correspondientes </w:t>
      </w:r>
      <w:r>
        <w:rPr>
          <w:rFonts w:cs="Arial"/>
          <w:spacing w:val="6"/>
          <w:sz w:val="26"/>
          <w:szCs w:val="24"/>
        </w:rPr>
        <w:t>se utilizan d</w:t>
      </w:r>
      <w:r w:rsidRPr="00CC45C6">
        <w:rPr>
          <w:rFonts w:cs="Arial"/>
          <w:spacing w:val="6"/>
          <w:sz w:val="26"/>
          <w:szCs w:val="24"/>
        </w:rPr>
        <w:t>e conformidad con las normas aplicables, en particular en lo que se refiere a la prevención, detección y corrección del fraude, la corrupción y los conflictos de intereses.</w:t>
      </w:r>
    </w:p>
    <w:p w14:paraId="2E6FEEBF" w14:textId="77777777" w:rsidR="00D542B5" w:rsidRDefault="00D542B5" w:rsidP="00807992">
      <w:pPr>
        <w:pStyle w:val="Sinespaciado"/>
        <w:rPr>
          <w:lang w:val="es-ES_tradnl"/>
        </w:rPr>
      </w:pPr>
    </w:p>
    <w:p w14:paraId="1726DBF9" w14:textId="77777777" w:rsidR="00D542B5" w:rsidRDefault="00D542B5" w:rsidP="00807992">
      <w:pPr>
        <w:pStyle w:val="Sinespaciado"/>
        <w:rPr>
          <w:lang w:val="es-ES_tradnl"/>
        </w:rPr>
      </w:pPr>
    </w:p>
    <w:p w14:paraId="48D196FB" w14:textId="77777777" w:rsidR="00D542B5" w:rsidRDefault="00D542B5" w:rsidP="00807992">
      <w:pPr>
        <w:pStyle w:val="Sinespaciado"/>
        <w:rPr>
          <w:lang w:val="es-ES_tradnl"/>
        </w:rPr>
      </w:pPr>
    </w:p>
    <w:p w14:paraId="2B99E584" w14:textId="77777777" w:rsidR="00D542B5" w:rsidRDefault="00D542B5" w:rsidP="00807992">
      <w:pPr>
        <w:pStyle w:val="Sinespaciado"/>
        <w:rPr>
          <w:lang w:val="es-ES_tradnl"/>
        </w:rPr>
      </w:pPr>
    </w:p>
    <w:p w14:paraId="4A06B39F" w14:textId="77777777" w:rsidR="00D542B5" w:rsidRDefault="00D542B5" w:rsidP="00807992">
      <w:pPr>
        <w:pStyle w:val="Sinespaciado"/>
        <w:rPr>
          <w:lang w:val="es-ES_tradnl"/>
        </w:rPr>
      </w:pPr>
    </w:p>
    <w:p w14:paraId="7E25BD37" w14:textId="77777777" w:rsidR="00D542B5" w:rsidRDefault="00D542B5" w:rsidP="00807992">
      <w:pPr>
        <w:pStyle w:val="Sinespaciado"/>
        <w:rPr>
          <w:lang w:val="es-ES_tradnl"/>
        </w:rPr>
      </w:pPr>
    </w:p>
    <w:p w14:paraId="08D8DAC0" w14:textId="77777777" w:rsidR="00807992" w:rsidRPr="00667DFF" w:rsidRDefault="00807992" w:rsidP="00807992">
      <w:pPr>
        <w:spacing w:after="0"/>
        <w:ind w:firstLine="0"/>
        <w:jc w:val="left"/>
        <w:rPr>
          <w:rFonts w:cs="Arial"/>
        </w:rPr>
      </w:pPr>
    </w:p>
    <w:p w14:paraId="024C9D4B" w14:textId="77777777" w:rsidR="00807992" w:rsidRPr="00667DFF" w:rsidRDefault="00807992" w:rsidP="00807992">
      <w:pPr>
        <w:spacing w:after="0"/>
        <w:ind w:firstLine="0"/>
        <w:jc w:val="left"/>
        <w:rPr>
          <w:rFonts w:cs="Arial"/>
        </w:rPr>
      </w:pPr>
    </w:p>
    <w:p w14:paraId="503AF9CC" w14:textId="77777777" w:rsidR="00807992" w:rsidRPr="00667DFF" w:rsidRDefault="00807992" w:rsidP="00807992">
      <w:pPr>
        <w:spacing w:after="0"/>
        <w:ind w:firstLine="0"/>
        <w:jc w:val="left"/>
        <w:rPr>
          <w:rFonts w:cs="Arial"/>
        </w:rPr>
      </w:pPr>
    </w:p>
    <w:p w14:paraId="018DDFC2" w14:textId="77777777" w:rsidR="00807992" w:rsidRDefault="00807992" w:rsidP="00807992">
      <w:pPr>
        <w:spacing w:after="0"/>
        <w:ind w:firstLine="0"/>
        <w:jc w:val="left"/>
        <w:rPr>
          <w:rFonts w:cs="Arial"/>
        </w:rPr>
      </w:pPr>
      <w:r>
        <w:rPr>
          <w:rFonts w:cs="Arial"/>
        </w:rPr>
        <w:br w:type="page"/>
      </w:r>
    </w:p>
    <w:p w14:paraId="66B93EA4" w14:textId="77777777" w:rsidR="00564F2D" w:rsidRPr="00921D35" w:rsidRDefault="00C71963" w:rsidP="00921D35">
      <w:pPr>
        <w:pStyle w:val="atitulo1"/>
        <w:jc w:val="right"/>
        <w:rPr>
          <w:sz w:val="32"/>
          <w:szCs w:val="32"/>
        </w:rPr>
      </w:pPr>
      <w:bookmarkStart w:id="184" w:name="_Toc129243504"/>
      <w:r w:rsidRPr="00921D35">
        <w:rPr>
          <w:sz w:val="32"/>
          <w:szCs w:val="32"/>
        </w:rPr>
        <w:lastRenderedPageBreak/>
        <w:t>Alegaciones formuladas al Informe Provisional</w:t>
      </w:r>
      <w:bookmarkEnd w:id="184"/>
    </w:p>
    <w:p w14:paraId="1EE2B8DF" w14:textId="77777777" w:rsidR="00D369CB" w:rsidRPr="002D7440" w:rsidRDefault="00D369CB" w:rsidP="00D369CB">
      <w:pPr>
        <w:pStyle w:val="atitulo1"/>
      </w:pPr>
      <w:bookmarkStart w:id="185" w:name="_Hlk124505970"/>
      <w:bookmarkStart w:id="186" w:name="_Toc129243505"/>
      <w:r w:rsidRPr="002D7440">
        <w:t>ALEGACIONES AL INFORME PROVISIONAL DE LA CÁMARA DE COMPTOS SOBRE LA CUENTA GENERAL DEL AYUNTAMIENTO DE PAMPLONA DE 2021</w:t>
      </w:r>
      <w:bookmarkEnd w:id="186"/>
    </w:p>
    <w:p w14:paraId="7ADB15E1" w14:textId="77777777" w:rsidR="00D369CB" w:rsidRDefault="00D369CB" w:rsidP="00D369CB">
      <w:pPr>
        <w:pStyle w:val="texto"/>
      </w:pPr>
      <w:r>
        <w:t>Habiendo recibido el informe provisional de la Cámara de Comptos sobre la Cuenta General del Ayuntamiento de Pamplona de 2021, se formulan las siguientes alegaciones en relación con las alusiones al abono de “</w:t>
      </w:r>
      <w:r w:rsidRPr="00D27F1F">
        <w:rPr>
          <w:i/>
          <w:iCs/>
        </w:rPr>
        <w:t>complementos retributivos que exceden de lo previsto en el marco estatutario de los empleados públicos</w:t>
      </w:r>
      <w:r>
        <w:t>”, referidos a dos supuestos: la ayuda familiar y la antigüedad, por una parte, y un complemento para determinados puestos de la policía municipal, por otro lado.</w:t>
      </w:r>
    </w:p>
    <w:p w14:paraId="41E354E5" w14:textId="77777777" w:rsidR="00D369CB" w:rsidRPr="002D7440" w:rsidRDefault="00D369CB" w:rsidP="00D369CB">
      <w:pPr>
        <w:pStyle w:val="texto"/>
        <w:rPr>
          <w:b/>
          <w:bCs/>
          <w:u w:val="single"/>
        </w:rPr>
      </w:pPr>
      <w:r w:rsidRPr="002D7440">
        <w:rPr>
          <w:b/>
          <w:bCs/>
          <w:u w:val="single"/>
        </w:rPr>
        <w:t xml:space="preserve">Alegación </w:t>
      </w:r>
      <w:proofErr w:type="gramStart"/>
      <w:r w:rsidRPr="002D7440">
        <w:rPr>
          <w:b/>
          <w:bCs/>
          <w:u w:val="single"/>
        </w:rPr>
        <w:t>primera.-</w:t>
      </w:r>
      <w:proofErr w:type="gramEnd"/>
      <w:r w:rsidRPr="002D7440">
        <w:rPr>
          <w:b/>
          <w:bCs/>
          <w:u w:val="single"/>
        </w:rPr>
        <w:t xml:space="preserve"> Antigüedad y ayuda familiar.</w:t>
      </w:r>
    </w:p>
    <w:p w14:paraId="493CAE48" w14:textId="77777777" w:rsidR="00D369CB" w:rsidRDefault="00D369CB" w:rsidP="00D369CB">
      <w:pPr>
        <w:pStyle w:val="texto"/>
      </w:pPr>
      <w:r>
        <w:t>Sobre los conceptos antigüedad y ayuda familiar, el Ayuntamiento de Pamplona considera que el informe provisional puede incurrir en una contradicción y que, además y por ello, no recoge la debida interpretación del ordenamiento jurídico.</w:t>
      </w:r>
    </w:p>
    <w:p w14:paraId="37F6D8DF" w14:textId="77777777" w:rsidR="00D369CB" w:rsidRDefault="00D369CB" w:rsidP="00D369CB">
      <w:pPr>
        <w:pStyle w:val="texto"/>
      </w:pPr>
      <w:r w:rsidRPr="002D7440">
        <w:rPr>
          <w:b/>
          <w:bCs/>
        </w:rPr>
        <w:t>1.1.-</w:t>
      </w:r>
      <w:r>
        <w:t xml:space="preserve"> El informe provisional puede considerarse contradictorio.</w:t>
      </w:r>
    </w:p>
    <w:p w14:paraId="13EABF40" w14:textId="77777777" w:rsidR="00D369CB" w:rsidRDefault="00D369CB" w:rsidP="00D369CB">
      <w:pPr>
        <w:pStyle w:val="texto"/>
      </w:pPr>
      <w:r>
        <w:t>La contradicción residiría en la doble afirmación que la Cámara efectúa: por un lado, el abono de estos conceptos se califica como contrario al ordenamiento jurídico; y, por otro, se manifiesta expresamente que su pago no es sino una “</w:t>
      </w:r>
      <w:r w:rsidRPr="00D27F1F">
        <w:rPr>
          <w:i/>
          <w:iCs/>
        </w:rPr>
        <w:t>materialización de las mejoras retributivas</w:t>
      </w:r>
      <w:r>
        <w:t>” recogidas en el “</w:t>
      </w:r>
      <w:r w:rsidRPr="00D27F1F">
        <w:rPr>
          <w:i/>
          <w:iCs/>
        </w:rPr>
        <w:t>Acuerdo para la mejora del empleo público y de las condiciones de trabajo entre el Ayuntamiento de Pamplona, sus organismos autónomos y los sindicatos</w:t>
      </w:r>
      <w:r>
        <w:t>”, aprobado por la Junta de Gobierno del Ayuntamiento en la sesión celebrada el día 21 de mayo de 2019.</w:t>
      </w:r>
    </w:p>
    <w:p w14:paraId="2FB7C4BB" w14:textId="77777777" w:rsidR="00D369CB" w:rsidRDefault="00D369CB" w:rsidP="00D369CB">
      <w:pPr>
        <w:pStyle w:val="texto"/>
      </w:pPr>
      <w:r>
        <w:t>Decimos que puede concurrir una discordancia entre ambas manifestaciones del informe provisional porque, si el acuerdo es legal, cosa que la Cámara de Comptos no cuestiona, y su materialización corresponde a los importes y condiciones del acuerdo, que tampoco se discute, no parece que pueda ser que una materialización de un acuerdo legal en las condiciones de su literalidad resulte contraria al ordenamiento jurídico.</w:t>
      </w:r>
    </w:p>
    <w:p w14:paraId="3803028A" w14:textId="77777777" w:rsidR="00D369CB" w:rsidRDefault="00D369CB" w:rsidP="00D369CB">
      <w:pPr>
        <w:pStyle w:val="texto"/>
      </w:pPr>
      <w:r w:rsidRPr="002D7440">
        <w:rPr>
          <w:b/>
          <w:bCs/>
        </w:rPr>
        <w:t>1.2.-</w:t>
      </w:r>
      <w:r>
        <w:t xml:space="preserve"> Los abonos responden plenamente al acuerdo adoptado por el Ayuntamiento de Pamplona y no concurre contravención legal.</w:t>
      </w:r>
    </w:p>
    <w:p w14:paraId="66854258" w14:textId="77777777" w:rsidR="00D369CB" w:rsidRDefault="00D369CB" w:rsidP="00D369CB">
      <w:pPr>
        <w:pStyle w:val="texto"/>
      </w:pPr>
      <w:r>
        <w:t>Acudiendo ya al contenido material de la cuestión, podernos apreciar que esta se resume en el apartado 24 del informe provisional, siendo los hechos los siguientes, según la literalidad de aquel:</w:t>
      </w:r>
    </w:p>
    <w:p w14:paraId="214F1E7C" w14:textId="77777777" w:rsidR="00D369CB" w:rsidRDefault="00D369CB" w:rsidP="00D369CB">
      <w:pPr>
        <w:pStyle w:val="texto"/>
      </w:pPr>
      <w:r>
        <w:lastRenderedPageBreak/>
        <w:t>• La Junta de Gobierno Local aprobó el 21 de mayo de 2019 el “Acuerdo para la mejora del empleo público y de las condiciones de trabajo entre el Ayuntamiento/OOAA y los sindicatos” y en el que se recogen una serie de incrementos retributivos referidos al periodo 2019-2021.</w:t>
      </w:r>
    </w:p>
    <w:p w14:paraId="73513FD4" w14:textId="77777777" w:rsidR="00D369CB" w:rsidRDefault="00D369CB" w:rsidP="00D369CB">
      <w:pPr>
        <w:pStyle w:val="texto"/>
      </w:pPr>
      <w:r>
        <w:t>• La aprobación de este acuerdo colectivo se corresponde con la aplicación de lo previsto en el “II Acuerdo Gobierno-Sindicatos para la mejora del empleo público y las condiciones de trabajo” que se aprobó en el Estado en marzo de 2018 y que, entre otras medidas, establece la posibilidad de destinar por las distintas administraciones públicas unos fondos adicionales que, previa negociación colectiva, puedan destinarse a determinadas mejoras retributivas.</w:t>
      </w:r>
    </w:p>
    <w:p w14:paraId="0F0A9E7B" w14:textId="77777777" w:rsidR="00D369CB" w:rsidRDefault="00D369CB" w:rsidP="00D369CB">
      <w:pPr>
        <w:pStyle w:val="texto"/>
      </w:pPr>
      <w:r>
        <w:t>• La materialización de las citadas mejoras retributivas en el acuerdo colectivo aprobado en el ayuntamiento se han concentrado en el ejercicio 2021, entre otras, en las siguientes medidas:</w:t>
      </w:r>
    </w:p>
    <w:p w14:paraId="256E8EE8" w14:textId="77777777" w:rsidR="00D369CB" w:rsidRDefault="00D369CB" w:rsidP="00D369CB">
      <w:pPr>
        <w:pStyle w:val="texto"/>
        <w:ind w:left="567" w:hanging="283"/>
      </w:pPr>
      <w:r>
        <w:t>– Ayuda familiar. El abono a todo el personal referido al sueldo inicial del nivel/grupo D.</w:t>
      </w:r>
    </w:p>
    <w:p w14:paraId="1D6D12EE" w14:textId="77777777" w:rsidR="00D369CB" w:rsidRDefault="00D369CB" w:rsidP="00D369CB">
      <w:pPr>
        <w:pStyle w:val="texto"/>
        <w:ind w:left="567" w:hanging="283"/>
      </w:pPr>
      <w:r>
        <w:t>– Premio de antigüedad. Se pretende llegar a su abono también sobre el nivel/grupo D, por lo que transitoriamente se va incrementando, habiéndose aumentado en 2021 un 2'75 por ciento sobre el nivel E.</w:t>
      </w:r>
    </w:p>
    <w:p w14:paraId="7C7BF439" w14:textId="77777777" w:rsidR="00D369CB" w:rsidRDefault="00D369CB" w:rsidP="00D369CB">
      <w:pPr>
        <w:pStyle w:val="texto"/>
      </w:pPr>
      <w:r>
        <w:t>Es decir:</w:t>
      </w:r>
    </w:p>
    <w:p w14:paraId="3A551EA7" w14:textId="77777777" w:rsidR="00D369CB" w:rsidRDefault="00D369CB" w:rsidP="00D369CB">
      <w:pPr>
        <w:pStyle w:val="texto"/>
      </w:pPr>
      <w:r>
        <w:t>• Por un lado, se adoptó el “II acuerdo para la mejora del empleo público y de condiciones de trabajo” entre el Gobierno de España y las organizaciones sindicales CCOO, UGT y CSIF, publicado en el BON número 74, de 26 de marzo de 2018, y cuyo tenor literal decía:</w:t>
      </w:r>
    </w:p>
    <w:p w14:paraId="6E85AE87" w14:textId="77777777" w:rsidR="00D369CB" w:rsidRDefault="00D369CB" w:rsidP="00D369CB">
      <w:pPr>
        <w:pStyle w:val="texto"/>
        <w:ind w:left="284" w:firstLine="0"/>
      </w:pPr>
      <w:r>
        <w:t>“</w:t>
      </w:r>
      <w:r w:rsidRPr="00D27F1F">
        <w:rPr>
          <w:i/>
          <w:iCs/>
        </w:rPr>
        <w:t>De acuerdo con lo previsto en el apartado relativo a fondos adicionales, se prevé asimismo que cada Administración pueda destinar un 0,30 % de su masa salarial para fondos adicionales. En el caso de cumplirse el objetivo de estabilidad presupuestaria (déficit público) en el año 2020 se añadiría en 2021 una subida adicional del 0,55 % ese año, que supondría un 3,85 % de incremento total para dicho ejercicio</w:t>
      </w:r>
      <w:r>
        <w:t>”.</w:t>
      </w:r>
    </w:p>
    <w:p w14:paraId="19856449" w14:textId="77777777" w:rsidR="00D369CB" w:rsidRDefault="00D369CB" w:rsidP="00D369CB">
      <w:pPr>
        <w:pStyle w:val="texto"/>
      </w:pPr>
      <w:r>
        <w:t>• Por otro parte, el acuerdo entre el Ayuntamiento y sus trabajadores, adoptado el día 21 de mayo de 2019, es del tenor literal siguiente:</w:t>
      </w:r>
    </w:p>
    <w:p w14:paraId="2D650615" w14:textId="77777777" w:rsidR="00D369CB" w:rsidRPr="00D27F1F" w:rsidRDefault="00D369CB" w:rsidP="00D369CB">
      <w:pPr>
        <w:pStyle w:val="texto"/>
        <w:ind w:left="284" w:firstLine="0"/>
        <w:rPr>
          <w:i/>
          <w:iCs/>
        </w:rPr>
      </w:pPr>
      <w:r w:rsidRPr="00D27F1F">
        <w:rPr>
          <w:i/>
          <w:iCs/>
        </w:rPr>
        <w:t>“III) Año 2021.</w:t>
      </w:r>
    </w:p>
    <w:p w14:paraId="17A72B00" w14:textId="77777777" w:rsidR="00D369CB" w:rsidRPr="00D27F1F" w:rsidRDefault="00D369CB" w:rsidP="00D369CB">
      <w:pPr>
        <w:pStyle w:val="texto"/>
        <w:ind w:left="284" w:firstLine="0"/>
        <w:rPr>
          <w:i/>
          <w:iCs/>
        </w:rPr>
      </w:pPr>
      <w:r w:rsidRPr="00D27F1F">
        <w:rPr>
          <w:i/>
          <w:iCs/>
        </w:rPr>
        <w:t>Para el caso de que en el año 2020 se cumpla el objetivo de estabilidad presupuestaria (déficit público) en los términos previstos en el II Acuerdo de mejora del empleo público y de condiciones de trabajo, de 9 de marzo de 2018, se prevé una subida adicional para el año 2021 del 0,55%, cuya cuantía se estima en 303.000,00 euros.</w:t>
      </w:r>
    </w:p>
    <w:p w14:paraId="03294A8A" w14:textId="77777777" w:rsidR="00D369CB" w:rsidRPr="00D27F1F" w:rsidRDefault="00D369CB" w:rsidP="00D369CB">
      <w:pPr>
        <w:pStyle w:val="texto"/>
        <w:ind w:left="284" w:firstLine="0"/>
        <w:rPr>
          <w:i/>
          <w:iCs/>
        </w:rPr>
      </w:pPr>
      <w:r w:rsidRPr="00D27F1F">
        <w:rPr>
          <w:i/>
          <w:iCs/>
        </w:rPr>
        <w:lastRenderedPageBreak/>
        <w:t>En el supuesto previsto en el párrafo anterior, con cargo a la citada cantidad y por el referido concepto se acuerda la materialización de las medidas que a continuación se exponen durante la citada anualidad:</w:t>
      </w:r>
    </w:p>
    <w:p w14:paraId="621D31B3" w14:textId="77777777" w:rsidR="00D369CB" w:rsidRPr="00D27F1F" w:rsidRDefault="00D369CB" w:rsidP="00D369CB">
      <w:pPr>
        <w:pStyle w:val="texto"/>
        <w:ind w:left="284" w:firstLine="0"/>
        <w:rPr>
          <w:i/>
          <w:iCs/>
        </w:rPr>
      </w:pPr>
      <w:r w:rsidRPr="00D27F1F">
        <w:rPr>
          <w:i/>
          <w:iCs/>
        </w:rPr>
        <w:t>1. Premio de antigüedad.</w:t>
      </w:r>
    </w:p>
    <w:p w14:paraId="15088842" w14:textId="77777777" w:rsidR="00D369CB" w:rsidRPr="00D27F1F" w:rsidRDefault="00D369CB" w:rsidP="00D369CB">
      <w:pPr>
        <w:pStyle w:val="texto"/>
        <w:ind w:left="284" w:firstLine="0"/>
        <w:rPr>
          <w:i/>
          <w:iCs/>
        </w:rPr>
      </w:pPr>
      <w:r w:rsidRPr="00D27F1F">
        <w:rPr>
          <w:i/>
          <w:iCs/>
        </w:rPr>
        <w:t>Se acuerda iniciar el aumento progresivo del importe del quinquenio para todo el personal al servicio del Ayuntamiento de Pamplona y sus organismos autónomos, al objeto de referirlo al sueldo inicial correspondiente al nivel/grupo D, mediante un incremento en 2021 concretado en 2,75% sobre el importe actual.</w:t>
      </w:r>
    </w:p>
    <w:p w14:paraId="0360097F" w14:textId="77777777" w:rsidR="00D369CB" w:rsidRPr="00D27F1F" w:rsidRDefault="00D369CB" w:rsidP="00D369CB">
      <w:pPr>
        <w:pStyle w:val="texto"/>
        <w:ind w:left="284" w:firstLine="0"/>
        <w:rPr>
          <w:i/>
          <w:iCs/>
        </w:rPr>
      </w:pPr>
      <w:r w:rsidRPr="00D27F1F">
        <w:rPr>
          <w:i/>
          <w:iCs/>
        </w:rPr>
        <w:t>2. Abono ayuda familiar referenciada al nivel/grupo D.</w:t>
      </w:r>
    </w:p>
    <w:p w14:paraId="1659057C" w14:textId="77777777" w:rsidR="00D369CB" w:rsidRDefault="00D369CB" w:rsidP="00D369CB">
      <w:pPr>
        <w:pStyle w:val="texto"/>
        <w:ind w:left="284" w:firstLine="0"/>
      </w:pPr>
      <w:r w:rsidRPr="00D27F1F">
        <w:rPr>
          <w:i/>
          <w:iCs/>
        </w:rPr>
        <w:t>Se acuerda abonar durante 2021 a todo el personal el concepto de Ayuda familiar referido al sueldo inicial del nivel/grupo D”.</w:t>
      </w:r>
    </w:p>
    <w:p w14:paraId="7034304C" w14:textId="77777777" w:rsidR="00D369CB" w:rsidRDefault="00D369CB" w:rsidP="00D369CB">
      <w:pPr>
        <w:pStyle w:val="texto"/>
      </w:pPr>
      <w:r>
        <w:t>Así pues, el acuerdo adoptado por el Ayuntamiento trae causa de uno previamente efectuado entre el Gobierno de España y varios sindicatos, y, en cuanto a la cuestión que nos ocupa, se limita a materializar los fondos adicionales a través de un mecanismo de pago que, si se quiere, puede calificarse como especial, pero en modo alguno ilegal.</w:t>
      </w:r>
    </w:p>
    <w:p w14:paraId="1D2DD40A" w14:textId="77777777" w:rsidR="00D369CB" w:rsidRDefault="00D369CB" w:rsidP="00D369CB">
      <w:pPr>
        <w:pStyle w:val="texto"/>
      </w:pPr>
      <w:r>
        <w:t>Es evidente que el incremento del premio de antigüedad y de la ayuda familiar es aplicación exclusiva de los fondos adicionales, porque así lo manifiesta el propio acuerdo, de manera literal y reiterada y sin posibilidad alguna de cualquier interpretación diferente. Así, el párrafo de determinación de los conceptos se anuda al previo que alude a los fondos adicionales (“</w:t>
      </w:r>
      <w:r w:rsidRPr="00D27F1F">
        <w:rPr>
          <w:i/>
          <w:iCs/>
        </w:rPr>
        <w:t>En el supuesto previsto en el párrafo anterior</w:t>
      </w:r>
      <w:r>
        <w:t>”), la cantidad que se abona se vincula a aquellos (“</w:t>
      </w:r>
      <w:r w:rsidRPr="00D27F1F">
        <w:rPr>
          <w:i/>
          <w:iCs/>
        </w:rPr>
        <w:t>con cargo la citada cantidad</w:t>
      </w:r>
      <w:r>
        <w:t>”), y no solo eso, sino que se explicita que se trata de abonar los fondos adicionales (“</w:t>
      </w:r>
      <w:r w:rsidRPr="00D27F1F">
        <w:rPr>
          <w:i/>
          <w:iCs/>
        </w:rPr>
        <w:t>y por el referido concepto</w:t>
      </w:r>
      <w:r>
        <w:t>”). En fin, se termina diciendo que los pagos en ayuda familiar y antigüedad son materialización de aquellos (“</w:t>
      </w:r>
      <w:r w:rsidRPr="00D27F1F">
        <w:rPr>
          <w:i/>
          <w:iCs/>
        </w:rPr>
        <w:t>se acuerda la materialización de las medidas</w:t>
      </w:r>
      <w:r>
        <w:t>”).</w:t>
      </w:r>
    </w:p>
    <w:p w14:paraId="022C4400" w14:textId="77777777" w:rsidR="00D369CB" w:rsidRDefault="00D369CB" w:rsidP="00D369CB">
      <w:pPr>
        <w:pStyle w:val="texto"/>
      </w:pPr>
      <w:r>
        <w:t>Resulta indiscutible que, materialmente, el incremento en el pago de ambos conceptos es el modo de abonar los fondos adicionales. O sea, el incremento de la base de ambos conceptos, pasando del nivel E al D es, simplemente, la forma de materializar ambos conceptos, de tal manera que no sea necesario, informáticamente, la creación de un nuevo concepto en la nómina.</w:t>
      </w:r>
    </w:p>
    <w:p w14:paraId="77396899" w14:textId="77777777" w:rsidR="00D369CB" w:rsidRDefault="00D369CB" w:rsidP="00D369CB">
      <w:pPr>
        <w:pStyle w:val="texto"/>
      </w:pPr>
      <w:r>
        <w:t>Correlativamente, las conclusiones del informe provisional no resultan conformes al ordenamiento jurídico, toda vez que no es cierto que se haya modificado el régimen legal por el Ayuntamiento ni que se haya pactado un régimen que se separe del recogido en la normativa aplicable.</w:t>
      </w:r>
    </w:p>
    <w:p w14:paraId="706EA30D" w14:textId="77777777" w:rsidR="00D369CB" w:rsidRDefault="00D369CB" w:rsidP="00D369CB">
      <w:pPr>
        <w:pStyle w:val="texto"/>
      </w:pPr>
      <w:r>
        <w:t xml:space="preserve">No hay modificación alguna del régimen legal porque, reiteramos, no se trata de alterar la base de abono de los complementos por antigüedad y ayuda familiar incumpliendo el Estatuto de Personal, sino de utilizar un mecanismo para abonar </w:t>
      </w:r>
      <w:r>
        <w:lastRenderedPageBreak/>
        <w:t>unos fondos adicionales, contemplados no solo en la normativa presupuestaria sino en los acuerdos del Gobierno de España con los sindicatos, que no se cuestionan.</w:t>
      </w:r>
    </w:p>
    <w:p w14:paraId="5F722906" w14:textId="77777777" w:rsidR="00D369CB" w:rsidRDefault="00D369CB" w:rsidP="00D369CB">
      <w:pPr>
        <w:pStyle w:val="texto"/>
      </w:pPr>
      <w:r>
        <w:t>No se ha pactado modificar el régimen legal de abono de tales complementos salariales, sino que, al revés, se ha pactado que, reconociendo que la base debe ser el nivel E, únicamente durante 2021 y por efecto del acuerdo, va a ser sobre el nivel D, como medio de pago de los fondos adicionales.</w:t>
      </w:r>
    </w:p>
    <w:p w14:paraId="399CBC66" w14:textId="77777777" w:rsidR="00D369CB" w:rsidRDefault="00D369CB" w:rsidP="00D369CB">
      <w:pPr>
        <w:pStyle w:val="texto"/>
      </w:pPr>
      <w:r>
        <w:t>En fin, la prueba de la legalidad material del asunto es que, de anularse estos pagos por estos conceptos, debería inmediatamente abonarse la misma cantidad de cualquier otra manera.</w:t>
      </w:r>
    </w:p>
    <w:p w14:paraId="4CF45A23" w14:textId="77777777" w:rsidR="00D369CB" w:rsidRDefault="00D369CB" w:rsidP="00D369CB">
      <w:pPr>
        <w:pStyle w:val="texto"/>
      </w:pPr>
      <w:r>
        <w:t>Tratándose, por lo expuesto, de una irregularidad formal, y en los términos del informe jurídico, procede la conversión de los complementos derivados de los fondos adicionales, de tal manera que queden desvinculados de los conceptos retributivos “ayuda familiar” y “antigüedad”, mediante la creación de un complemento nuevo de puesto de trabajo y, en su caso, puesto directivo, que dé cumplimiento al “Acuerdo para la mejora del empleo público y de las condiciones de trabajo entre el Ayuntamiento/OOAA y los sindicatos”.</w:t>
      </w:r>
    </w:p>
    <w:p w14:paraId="5532DCAF" w14:textId="77777777" w:rsidR="00D369CB" w:rsidRDefault="00D369CB" w:rsidP="00D369CB">
      <w:pPr>
        <w:pStyle w:val="texto"/>
      </w:pPr>
      <w:r>
        <w:t>Por ello, se solicita a la Cámara de Comptos la modificación del informe provisional en los términos expuestos en este apartado, sin perjuicio de que el Ayuntamiento de Pamplona también manifiesta expresamente su voluntad de proceder a la modificación de la Relación de Puestos de Trabajo desligando los importes de los fondos adicionales de los conceptos retributivos “antigüedad” y “ayuda familiar”, y creando para ello complementos específicos que atribuyan a cada puesto idénticas retribuciones a las otorgadas ya a través del mecanismo expuesto, de tal manera que, con efecto retroactivo, esta medida no comporte incumplimiento alguno del “Acuerdo para la mejora del empleo público y de las condiciones de trabajo entre el Ayuntamiento/OOAA y los sindicatos”.</w:t>
      </w:r>
    </w:p>
    <w:p w14:paraId="1B491BF7" w14:textId="7E5A6EA6" w:rsidR="00D369CB" w:rsidRPr="00D27F1F" w:rsidRDefault="00D369CB" w:rsidP="00D369CB">
      <w:pPr>
        <w:pStyle w:val="texto"/>
        <w:rPr>
          <w:b/>
          <w:bCs/>
        </w:rPr>
      </w:pPr>
      <w:r w:rsidRPr="00D27F1F">
        <w:rPr>
          <w:b/>
          <w:bCs/>
        </w:rPr>
        <w:t xml:space="preserve">Alegación </w:t>
      </w:r>
      <w:proofErr w:type="gramStart"/>
      <w:r>
        <w:rPr>
          <w:b/>
          <w:bCs/>
        </w:rPr>
        <w:t>segunda</w:t>
      </w:r>
      <w:r w:rsidRPr="00D27F1F">
        <w:rPr>
          <w:b/>
          <w:bCs/>
        </w:rPr>
        <w:t>.-</w:t>
      </w:r>
      <w:proofErr w:type="gramEnd"/>
      <w:r w:rsidRPr="00D27F1F">
        <w:rPr>
          <w:b/>
          <w:bCs/>
        </w:rPr>
        <w:t xml:space="preserve"> Complemento de funciones de puesto (Jefes de Área de la Policía Municipal).</w:t>
      </w:r>
    </w:p>
    <w:p w14:paraId="5EC285E8" w14:textId="77777777" w:rsidR="00D369CB" w:rsidRDefault="00D369CB" w:rsidP="00D369CB">
      <w:pPr>
        <w:pStyle w:val="texto"/>
      </w:pPr>
      <w:r>
        <w:t>El informe provisional afirma:</w:t>
      </w:r>
    </w:p>
    <w:p w14:paraId="6797F171" w14:textId="77777777" w:rsidR="00D369CB" w:rsidRDefault="00D369CB" w:rsidP="00D369CB">
      <w:pPr>
        <w:pStyle w:val="texto"/>
      </w:pPr>
      <w:r>
        <w:t>“</w:t>
      </w:r>
      <w:r w:rsidRPr="00D27F1F">
        <w:rPr>
          <w:i/>
          <w:iCs/>
        </w:rPr>
        <w:t>hemos observado que 26 empleados lo han percibido sin que tengan soporte en el citado anexo, si bien existen informes de servicios competentes y/o resolución expresa de autorización y abono, a excepción de tres empleados en los que no consta ninguna justificación. Entendemos que el abono de este complemento en estos tres empleados supone la realización de pagos indebidos y que hemos cuantificado en 36.987 euros en el periodo junio de 2017 a diciembre de 2021</w:t>
      </w:r>
      <w:r>
        <w:t>”.</w:t>
      </w:r>
    </w:p>
    <w:p w14:paraId="4B1665ED" w14:textId="77777777" w:rsidR="00D369CB" w:rsidRDefault="00D369CB" w:rsidP="00D369CB">
      <w:pPr>
        <w:pStyle w:val="texto"/>
      </w:pPr>
      <w:r>
        <w:t xml:space="preserve">El informe se refiere a los tres jefes de área, de las 4 en la que se organiza la Policía Municipal, conforme a su Reglamento de Organización y Funcionamiento, aprobado por el Pleno del Ayuntamiento en la sesión de 2 de marzo de </w:t>
      </w:r>
      <w:r>
        <w:lastRenderedPageBreak/>
        <w:t>2017 y publicado en el BON número 65, de 3 de abril de 2017. La Cámara cuestiona el abono de cuantías salariales a los tres jefes de área (comisarios) que corresponden a un complemento de puesto de trabajo que, en plantilla, únicamente se refleja en tal importe para el Comisario Principal.</w:t>
      </w:r>
    </w:p>
    <w:p w14:paraId="355101D3" w14:textId="77777777" w:rsidR="00D369CB" w:rsidRDefault="00D369CB" w:rsidP="00D369CB">
      <w:pPr>
        <w:pStyle w:val="texto"/>
      </w:pPr>
      <w:r>
        <w:t>En relación con este asunto, constan los siguientes antecedentes:</w:t>
      </w:r>
    </w:p>
    <w:p w14:paraId="7FBFD57D" w14:textId="77777777" w:rsidR="00D369CB" w:rsidRDefault="00D369CB" w:rsidP="00D369CB">
      <w:pPr>
        <w:pStyle w:val="texto"/>
      </w:pPr>
      <w:r>
        <w:t>• Tres resoluciones, dos de 2015 y una de 2016, que determinan el reconocimiento del derecho a percibir las diferencias retributivas entre los puestos de Comisario y Comisario Principal, y que resuelven en tal sentido las solicitudes formuladas por los Comisarios. Se adjunta copia.</w:t>
      </w:r>
    </w:p>
    <w:p w14:paraId="7D6E1471" w14:textId="77777777" w:rsidR="00D369CB" w:rsidRDefault="00D369CB" w:rsidP="00D369CB">
      <w:pPr>
        <w:pStyle w:val="texto"/>
      </w:pPr>
      <w:r>
        <w:t>• El nombramiento de las tres personas citadas como comisarios y jefes de área mediante Resolución de 2 de noviembre de 2015. Se acompaña copia.</w:t>
      </w:r>
    </w:p>
    <w:p w14:paraId="031332F5" w14:textId="77777777" w:rsidR="00D369CB" w:rsidRDefault="00D369CB" w:rsidP="00D369CB">
      <w:pPr>
        <w:pStyle w:val="texto"/>
      </w:pPr>
      <w:r>
        <w:t xml:space="preserve">• El informe del </w:t>
      </w:r>
      <w:proofErr w:type="gramStart"/>
      <w:r>
        <w:t>Jefe</w:t>
      </w:r>
      <w:proofErr w:type="gramEnd"/>
      <w:r>
        <w:t xml:space="preserve"> de la Policía Municipal, de 16 de diciembre de 2022, donde se manifiesta expresamente que “</w:t>
      </w:r>
      <w:r w:rsidRPr="00D27F1F">
        <w:rPr>
          <w:i/>
          <w:iCs/>
        </w:rPr>
        <w:t>las funciones que desempeñan los Jefes de Área (comisario principal y comisarios) son similares en cuanto a contenido y funciones</w:t>
      </w:r>
      <w:r>
        <w:t>”, así como que “</w:t>
      </w:r>
      <w:r w:rsidRPr="00D27F1F">
        <w:rPr>
          <w:i/>
          <w:iCs/>
        </w:rPr>
        <w:t>en la práctica diaria, no existe diferenciación a nivel decisional, operativo, de estructura y contenido entre los jefes de área, independientemente de su categoría profesional (comisario Principal o Comisario)</w:t>
      </w:r>
      <w:r>
        <w:t>”. Se acompaña copia.</w:t>
      </w:r>
    </w:p>
    <w:p w14:paraId="129696E1" w14:textId="77777777" w:rsidR="00D369CB" w:rsidRDefault="00D369CB" w:rsidP="00D369CB">
      <w:pPr>
        <w:pStyle w:val="texto"/>
      </w:pPr>
      <w:r>
        <w:t>• El informe de la Letrada de la Asesoría Jurídica especializada en personal que considera:</w:t>
      </w:r>
    </w:p>
    <w:p w14:paraId="36270038" w14:textId="77777777" w:rsidR="00D369CB" w:rsidRDefault="00D369CB" w:rsidP="00D369CB">
      <w:pPr>
        <w:pStyle w:val="texto"/>
      </w:pPr>
      <w:r>
        <w:t>– Que “</w:t>
      </w:r>
      <w:r w:rsidRPr="00D27F1F">
        <w:rPr>
          <w:i/>
          <w:iCs/>
        </w:rPr>
        <w:t>la razón de aplicación de este complemento se encuentra en el Acuerdo de Equiparación de Policía municipal de Pamplona con Policía Foral, equiparación que data del año 2003 y plasmada también en la actualidad en la disposición adicional primera del Acuerdo Colectivo del Personal del Ayuntamiento de Pamplona y sus Organismos Autónomos para 2017-2019, prorrogado anualmente y ahora vigente (BON 174, de 8 de septiembre de 2017)”.</w:t>
      </w:r>
    </w:p>
    <w:p w14:paraId="114043F5" w14:textId="77777777" w:rsidR="00D369CB" w:rsidRPr="00D27F1F" w:rsidRDefault="00D369CB" w:rsidP="00D369CB">
      <w:pPr>
        <w:pStyle w:val="texto"/>
        <w:rPr>
          <w:i/>
          <w:iCs/>
        </w:rPr>
      </w:pPr>
      <w:r>
        <w:t>Específicamente que “</w:t>
      </w:r>
      <w:r w:rsidRPr="00D27F1F">
        <w:rPr>
          <w:i/>
          <w:iCs/>
        </w:rPr>
        <w:t>a la vista de este acuerdo de equiparación y dada la especial situación de mando que ejercen dentro de la Policía Local los jefes de área, les ha sido asignado el complemento de Jefatura de un 10% que la Policía Foral asigna dentro de su plantilla a aquellos puestos que según su organización y estructura también considera de especial situación de mando”.</w:t>
      </w:r>
    </w:p>
    <w:p w14:paraId="697BB8C9" w14:textId="77777777" w:rsidR="00D369CB" w:rsidRDefault="00D369CB" w:rsidP="00D369CB">
      <w:pPr>
        <w:pStyle w:val="texto"/>
      </w:pPr>
      <w:r>
        <w:t>– Que “</w:t>
      </w:r>
      <w:r w:rsidRPr="00D620D9">
        <w:rPr>
          <w:i/>
          <w:iCs/>
        </w:rPr>
        <w:t xml:space="preserve">paralelamente a esta circunstancia normativa, merece destacarse el cambio organizativo efectivo producido dentro de la cúpula de Policía Municipal, en la que el cargo de Comisario principal ha experimentado un proceso de disminución progresiva (amortizaciones naturales mediante jubilaciones) pasando a ser el empleo de Comisario el empleo jerárquico máximo después del </w:t>
      </w:r>
      <w:proofErr w:type="gramStart"/>
      <w:r w:rsidRPr="00D620D9">
        <w:rPr>
          <w:i/>
          <w:iCs/>
        </w:rPr>
        <w:t>Jefe</w:t>
      </w:r>
      <w:proofErr w:type="gramEnd"/>
      <w:r w:rsidRPr="00D620D9">
        <w:rPr>
          <w:i/>
          <w:iCs/>
        </w:rPr>
        <w:t xml:space="preserve"> de Policía. Esto queda reflejado en las plantillas orgánicas correspondientes de Pamplona: así de 2011 a 2016 se preveía una estructura en plantilla or</w:t>
      </w:r>
      <w:r w:rsidRPr="00D620D9">
        <w:rPr>
          <w:i/>
          <w:iCs/>
        </w:rPr>
        <w:lastRenderedPageBreak/>
        <w:t>gánica de 4 comisarios principales y 5 comisarios; en 2017 y 2018 de 2 comisarios principales y 4 comisarios y desde el 2019 hasta la actualidad 1 solo comisario principal y 4 comisarios”.</w:t>
      </w:r>
    </w:p>
    <w:p w14:paraId="4A6CEC5B" w14:textId="77777777" w:rsidR="00D369CB" w:rsidRDefault="00D369CB" w:rsidP="00D369CB">
      <w:pPr>
        <w:pStyle w:val="texto"/>
      </w:pPr>
      <w:r>
        <w:t>– Que, siendo cierto que las equiparaciones retributivas se efectuaron estando vigente un Reglamento de Organización y funcionamiento de la Policía ya modificado, la norma que ahora despliega efectos jurídicos fundamenta más todavía la equiparación:</w:t>
      </w:r>
    </w:p>
    <w:p w14:paraId="4FB44A21" w14:textId="77777777" w:rsidR="00D369CB" w:rsidRPr="00D369CB" w:rsidRDefault="00D369CB" w:rsidP="00D369CB">
      <w:pPr>
        <w:pStyle w:val="texto"/>
        <w:ind w:left="284" w:firstLine="0"/>
      </w:pPr>
      <w:r w:rsidRPr="00D369CB">
        <w:t>Este complemento retribuye las labores de Jefatura de Área del Cuerpo de la Policía municipal de Pamplona, en un 10% sobre el nivel A. Dicha Jefatura a lo largo de estos 10 últimos años ha venido desempeñada por el empleo Comisario Principal y Comisario. El Reglamento de Organización y Funcionamiento de Policía municipal de Pamplona, publicado en el BON 103 de 31 de mayo de 2012 y vigente hasta el 3 de abril de 2017 (momento en que se publica el ahora vigente) atribuía la Jefatura de Área al Comisario Principal, y no al Comisario que jerárquicamente inferior le correspondería la Jefatura de Brigada y no de Área. Sin embargo, en el Reglamento actualmente vigente la figura del Comisario cobra mayor relevancia y tendrá asignada al igual que el Comisario Principal la Jefatura de Áreas dentro de la estructura del Cuerpo Policía.</w:t>
      </w:r>
    </w:p>
    <w:p w14:paraId="528CC37B" w14:textId="77777777" w:rsidR="00D369CB" w:rsidRDefault="00D369CB" w:rsidP="00D369CB">
      <w:pPr>
        <w:pStyle w:val="texto"/>
      </w:pPr>
      <w:r>
        <w:t>– Que, en todo caso, ha de regularizarse la situación:</w:t>
      </w:r>
    </w:p>
    <w:p w14:paraId="7D342A4F" w14:textId="77777777" w:rsidR="00D369CB" w:rsidRPr="00D369CB" w:rsidRDefault="00D369CB" w:rsidP="00D369CB">
      <w:pPr>
        <w:pStyle w:val="texto"/>
        <w:ind w:left="284" w:firstLine="0"/>
      </w:pPr>
      <w:r w:rsidRPr="00D369CB">
        <w:t>Ahora bien, de la misma manera se evidencia que corresponde efectuar la correspondiente actualización en los complementos retributivos, debiéndose regularizar la plantilla orgánica para este año 2022 en el sentido de ampliar en un 10 % el complemento de puesto de trabajo, o bien y más adecuado todavía incorporar un complemento de Jefatura al empleo de Comisario en un 10%, de conformidad con el artículo 61 de la Ley Foral 23/2018 de Policías de Navarra.</w:t>
      </w:r>
    </w:p>
    <w:p w14:paraId="554816BA" w14:textId="77777777" w:rsidR="00D369CB" w:rsidRDefault="00D369CB" w:rsidP="00D369CB">
      <w:pPr>
        <w:pStyle w:val="texto"/>
      </w:pPr>
      <w:r>
        <w:t>Resulta de todo ello que los comisarios jefes de área desempeñan funciones similares a las atribuidas al comisario principal, como así se ha reconocido expresamente por actos declarativos de derechos cuya vigencia actual debe propugnarse, lo que no impide que deba procederse expresamente a la regularización de los complementos en la relación de puestos de trabajo y plantilla de personal.</w:t>
      </w:r>
    </w:p>
    <w:p w14:paraId="499CCB7D" w14:textId="77777777" w:rsidR="00D369CB" w:rsidRDefault="00D369CB" w:rsidP="00D369CB">
      <w:pPr>
        <w:pStyle w:val="texto"/>
      </w:pPr>
      <w:r>
        <w:t>Por ello, se solicita a la Cámara de Comptos la modificación del informe provisional en los términos expuestos en este apartado, manifestando el Ayuntamiento de Pamplona, no obstante, su voluntad expresa de acometer la regularización de la relación de puestos de trabajo, de tal manera que se corrija la errónea omisión de la constatación de los reiterados complementos.</w:t>
      </w:r>
      <w:bookmarkEnd w:id="185"/>
    </w:p>
    <w:p w14:paraId="6BA51685" w14:textId="77777777" w:rsidR="00C71963" w:rsidRDefault="00C71963">
      <w:pPr>
        <w:spacing w:after="0"/>
        <w:ind w:firstLine="0"/>
        <w:jc w:val="left"/>
        <w:rPr>
          <w:rFonts w:ascii="Arial" w:hAnsi="Arial"/>
          <w:b/>
          <w:color w:val="000000"/>
          <w:kern w:val="28"/>
          <w:sz w:val="25"/>
          <w:szCs w:val="26"/>
        </w:rPr>
      </w:pPr>
      <w:r>
        <w:br w:type="page"/>
      </w:r>
    </w:p>
    <w:p w14:paraId="375DD4EB" w14:textId="77777777" w:rsidR="00C71963" w:rsidRDefault="00C71963" w:rsidP="00C71963">
      <w:pPr>
        <w:pStyle w:val="atitulo1"/>
      </w:pPr>
      <w:bookmarkStart w:id="187" w:name="_Toc129243506"/>
      <w:r>
        <w:lastRenderedPageBreak/>
        <w:t>Contestación de la Cámara de Comptos a las alegaciones presentadas al Informe Provisional</w:t>
      </w:r>
      <w:bookmarkEnd w:id="187"/>
    </w:p>
    <w:p w14:paraId="25BE04BA" w14:textId="77777777" w:rsidR="0074532A" w:rsidRPr="000447F1" w:rsidRDefault="0074532A" w:rsidP="0074532A">
      <w:pPr>
        <w:rPr>
          <w:sz w:val="26"/>
          <w:szCs w:val="26"/>
        </w:rPr>
      </w:pPr>
      <w:r w:rsidRPr="000447F1">
        <w:rPr>
          <w:rStyle w:val="markedcontent"/>
          <w:sz w:val="26"/>
          <w:szCs w:val="26"/>
        </w:rPr>
        <w:t xml:space="preserve">Se han analizado las alegaciones recibidas el 10 de enero de 2023 presentadas por el </w:t>
      </w:r>
      <w:proofErr w:type="gramStart"/>
      <w:r w:rsidRPr="000447F1">
        <w:rPr>
          <w:rStyle w:val="markedcontent"/>
          <w:sz w:val="26"/>
          <w:szCs w:val="26"/>
        </w:rPr>
        <w:t>Alcalde</w:t>
      </w:r>
      <w:proofErr w:type="gramEnd"/>
      <w:r w:rsidRPr="000447F1">
        <w:rPr>
          <w:rStyle w:val="markedcontent"/>
          <w:sz w:val="26"/>
          <w:szCs w:val="26"/>
        </w:rPr>
        <w:t xml:space="preserve"> del Ayuntamiento de Pamplona, las cuales se incorporan a este informe junto con la respuesta de esta Cámara. </w:t>
      </w:r>
    </w:p>
    <w:p w14:paraId="05C826BF" w14:textId="77777777" w:rsidR="0074532A" w:rsidRPr="000447F1" w:rsidRDefault="0074532A" w:rsidP="0074532A">
      <w:pPr>
        <w:pStyle w:val="Default"/>
        <w:rPr>
          <w:rFonts w:ascii="Times New Roman" w:hAnsi="Times New Roman" w:cs="Times New Roman"/>
          <w:b/>
          <w:bCs/>
          <w:sz w:val="26"/>
          <w:szCs w:val="26"/>
        </w:rPr>
      </w:pPr>
      <w:r w:rsidRPr="000447F1">
        <w:rPr>
          <w:rFonts w:ascii="Times New Roman" w:hAnsi="Times New Roman" w:cs="Times New Roman"/>
          <w:b/>
          <w:bCs/>
          <w:sz w:val="26"/>
          <w:szCs w:val="26"/>
        </w:rPr>
        <w:t>1.- Alegación primera. Antigüedad y ayuda familiar. Alegación no admitida</w:t>
      </w:r>
    </w:p>
    <w:p w14:paraId="6A831253" w14:textId="77777777" w:rsidR="0074532A" w:rsidRPr="000447F1" w:rsidRDefault="0074532A" w:rsidP="0074532A">
      <w:pPr>
        <w:pStyle w:val="Default"/>
        <w:rPr>
          <w:rFonts w:ascii="Times New Roman" w:hAnsi="Times New Roman" w:cs="Times New Roman"/>
          <w:sz w:val="26"/>
          <w:szCs w:val="26"/>
        </w:rPr>
      </w:pPr>
    </w:p>
    <w:p w14:paraId="4162E90C" w14:textId="77777777" w:rsidR="0074532A" w:rsidRPr="000447F1" w:rsidRDefault="0074532A" w:rsidP="0074532A">
      <w:pPr>
        <w:rPr>
          <w:b/>
          <w:bCs/>
          <w:sz w:val="26"/>
          <w:szCs w:val="26"/>
        </w:rPr>
      </w:pPr>
      <w:r w:rsidRPr="000447F1">
        <w:rPr>
          <w:b/>
          <w:bCs/>
          <w:sz w:val="26"/>
          <w:szCs w:val="26"/>
        </w:rPr>
        <w:t>1.1.- El informe provisional es contradictorio</w:t>
      </w:r>
    </w:p>
    <w:p w14:paraId="0A93449C" w14:textId="77777777" w:rsidR="0074532A" w:rsidRPr="000447F1" w:rsidRDefault="0074532A" w:rsidP="0074532A">
      <w:pPr>
        <w:rPr>
          <w:sz w:val="26"/>
          <w:szCs w:val="26"/>
        </w:rPr>
      </w:pPr>
      <w:r w:rsidRPr="000447F1">
        <w:rPr>
          <w:sz w:val="26"/>
          <w:szCs w:val="26"/>
        </w:rPr>
        <w:t xml:space="preserve">El informe provisional en modo alguno es contradictorio. Esta Cámara sí cuestiona la legalidad de la materialización en 2021 de los conceptos “premio por antigüedad” y “ayuda familiar”, y por tanto lo dispuesto en el Acuerdo Colectivo al respecto. Como indicamos en nuestro informe, tanto lo dispuesto en el Acuerdo Colectivo como su materialización es contrario a lo dispuesto en el Estatuto del personal al servicio de las Administraciones Públicas de Navarra.  </w:t>
      </w:r>
    </w:p>
    <w:p w14:paraId="4EBBC094" w14:textId="77777777" w:rsidR="0074532A" w:rsidRPr="000447F1" w:rsidRDefault="0074532A" w:rsidP="0074532A">
      <w:pPr>
        <w:rPr>
          <w:sz w:val="26"/>
          <w:szCs w:val="26"/>
        </w:rPr>
      </w:pPr>
      <w:r w:rsidRPr="000447F1">
        <w:rPr>
          <w:b/>
          <w:bCs/>
          <w:sz w:val="26"/>
          <w:szCs w:val="26"/>
        </w:rPr>
        <w:t>1.2.- Los abonos responden plenamente al acuerdo adoptado por el Ayuntamiento de Pamplona y no existe contravención legal alguna.</w:t>
      </w:r>
    </w:p>
    <w:p w14:paraId="13D7D88B" w14:textId="77777777" w:rsidR="0074532A" w:rsidRPr="000447F1" w:rsidRDefault="0074532A" w:rsidP="0074532A">
      <w:pPr>
        <w:rPr>
          <w:sz w:val="26"/>
          <w:szCs w:val="26"/>
        </w:rPr>
      </w:pPr>
      <w:r w:rsidRPr="000447F1">
        <w:rPr>
          <w:sz w:val="26"/>
          <w:szCs w:val="26"/>
        </w:rPr>
        <w:t xml:space="preserve">Esta Cámara se reitera en su afirmación de que la aplicación de los fondos adicionales en el ejercicio 2021 deberá hacerse respetando la legalidad vigente. Los Acuerdos que determinen condiciones de trabajo de los funcionarios están sometidos al principio de legalidad y jerarquía normativa, y consecuentemente, no pueden desplazar ni ser contrarios a lo previsto en una norma con rango de ley. </w:t>
      </w:r>
    </w:p>
    <w:p w14:paraId="5A9AF9C0" w14:textId="77777777" w:rsidR="0074532A" w:rsidRPr="000447F1" w:rsidRDefault="0074532A" w:rsidP="0074532A">
      <w:pPr>
        <w:rPr>
          <w:iCs/>
          <w:sz w:val="26"/>
          <w:szCs w:val="26"/>
        </w:rPr>
      </w:pPr>
      <w:r w:rsidRPr="000447F1">
        <w:rPr>
          <w:sz w:val="26"/>
          <w:szCs w:val="26"/>
        </w:rPr>
        <w:t>En concreto, la existencia de un Acuerdo Colectivo no ampara la modificación del régimen legal de cuantificación y abono de los complementos salariales de ayuda familiar y antigüedad que, para los funcionarios del Ayuntamiento de Pamplona, se encuentra recogido expresamente en el Decreto Foral Legislativo 251/1993, de 30 de agosto, por el que se aprueba el Texto Refundido del Estatuto del personal al servicio de las Administraciones Públicas de Navarra. De hecho, el “</w:t>
      </w:r>
      <w:r w:rsidRPr="000447F1">
        <w:rPr>
          <w:i/>
          <w:sz w:val="26"/>
          <w:szCs w:val="26"/>
        </w:rPr>
        <w:t xml:space="preserve">II Acuerdo Gobierno-Sindicatos para la mejora del empleo público y de las condiciones de trabajo” </w:t>
      </w:r>
      <w:r w:rsidRPr="000447F1">
        <w:rPr>
          <w:sz w:val="26"/>
          <w:szCs w:val="26"/>
        </w:rPr>
        <w:t>de 9 de marzo de 2018</w:t>
      </w:r>
      <w:r w:rsidRPr="000447F1">
        <w:rPr>
          <w:i/>
          <w:sz w:val="26"/>
          <w:szCs w:val="26"/>
        </w:rPr>
        <w:t xml:space="preserve"> </w:t>
      </w:r>
      <w:r w:rsidRPr="000447F1">
        <w:rPr>
          <w:iCs/>
          <w:sz w:val="26"/>
          <w:szCs w:val="26"/>
        </w:rPr>
        <w:t>expresamente determina que cualquier actuación derivada del Acuerdo deberá siempre realizarse “</w:t>
      </w:r>
      <w:r w:rsidRPr="000447F1">
        <w:rPr>
          <w:i/>
          <w:sz w:val="26"/>
          <w:szCs w:val="26"/>
        </w:rPr>
        <w:t>con sujeción a la legalidad vigente en cada momento</w:t>
      </w:r>
      <w:r w:rsidRPr="000447F1">
        <w:rPr>
          <w:iCs/>
          <w:sz w:val="26"/>
          <w:szCs w:val="26"/>
        </w:rPr>
        <w:t xml:space="preserve">”. </w:t>
      </w:r>
    </w:p>
    <w:p w14:paraId="066C2FDE" w14:textId="77777777" w:rsidR="0074532A" w:rsidRPr="000447F1" w:rsidRDefault="0074532A" w:rsidP="0074532A">
      <w:pPr>
        <w:rPr>
          <w:iCs/>
          <w:sz w:val="26"/>
          <w:szCs w:val="26"/>
        </w:rPr>
      </w:pPr>
      <w:r w:rsidRPr="000447F1">
        <w:rPr>
          <w:iCs/>
          <w:sz w:val="26"/>
          <w:szCs w:val="26"/>
        </w:rPr>
        <w:t>En todo caso, esta Cámara concluye sobre hechos revisados en el ejercicio 2021, excediendo por lo tanto de nuestro alcance la fiscalización de posibles hechos o actos de relevancia jurídica a efectuar a posteriori, y sobre los que no podemos pronunciarnos.</w:t>
      </w:r>
    </w:p>
    <w:p w14:paraId="7F750773" w14:textId="77777777" w:rsidR="0074532A" w:rsidRPr="000447F1" w:rsidRDefault="0074532A" w:rsidP="0074532A">
      <w:pPr>
        <w:rPr>
          <w:sz w:val="26"/>
          <w:szCs w:val="26"/>
        </w:rPr>
      </w:pPr>
      <w:r w:rsidRPr="000447F1">
        <w:rPr>
          <w:b/>
          <w:bCs/>
          <w:sz w:val="26"/>
          <w:szCs w:val="26"/>
        </w:rPr>
        <w:t>2.- Alegación segunda. Complemento de funciones de puesto (</w:t>
      </w:r>
      <w:proofErr w:type="gramStart"/>
      <w:r w:rsidRPr="000447F1">
        <w:rPr>
          <w:b/>
          <w:bCs/>
          <w:sz w:val="26"/>
          <w:szCs w:val="26"/>
        </w:rPr>
        <w:t>Jefes</w:t>
      </w:r>
      <w:proofErr w:type="gramEnd"/>
      <w:r w:rsidRPr="000447F1">
        <w:rPr>
          <w:b/>
          <w:bCs/>
          <w:sz w:val="26"/>
          <w:szCs w:val="26"/>
        </w:rPr>
        <w:t xml:space="preserve"> de Área de la Policía Municipal). Alegación admitida</w:t>
      </w:r>
    </w:p>
    <w:p w14:paraId="47ABC2A2" w14:textId="77777777" w:rsidR="0074532A" w:rsidRPr="000447F1" w:rsidRDefault="0074532A" w:rsidP="0074532A">
      <w:pPr>
        <w:rPr>
          <w:iCs/>
          <w:sz w:val="26"/>
          <w:szCs w:val="26"/>
        </w:rPr>
      </w:pPr>
      <w:proofErr w:type="gramStart"/>
      <w:r w:rsidRPr="000447F1">
        <w:rPr>
          <w:rStyle w:val="markedcontent"/>
          <w:sz w:val="26"/>
          <w:szCs w:val="26"/>
        </w:rPr>
        <w:t>En relación a</w:t>
      </w:r>
      <w:proofErr w:type="gramEnd"/>
      <w:r w:rsidRPr="000447F1">
        <w:rPr>
          <w:rStyle w:val="markedcontent"/>
          <w:sz w:val="26"/>
          <w:szCs w:val="26"/>
        </w:rPr>
        <w:t xml:space="preserve"> esta alegación, destacamos que se ha aportado acompañando a la misma, nueva documentación que no fue facilitada en el momento de emisión del </w:t>
      </w:r>
      <w:r w:rsidRPr="000447F1">
        <w:rPr>
          <w:rStyle w:val="markedcontent"/>
          <w:sz w:val="26"/>
          <w:szCs w:val="26"/>
        </w:rPr>
        <w:lastRenderedPageBreak/>
        <w:t>informe provisional. No obstante, s</w:t>
      </w:r>
      <w:r w:rsidRPr="000447F1">
        <w:rPr>
          <w:iCs/>
          <w:sz w:val="26"/>
          <w:szCs w:val="26"/>
        </w:rPr>
        <w:t xml:space="preserve">e admite la alegación, al acreditar el ayuntamiento la existencia de actos administrativos generadores de derechos favorables a los interesados que fueron aprobados en los ejercicios 2015 y 2016 y que se mantienen vigentes. </w:t>
      </w:r>
    </w:p>
    <w:p w14:paraId="2356A46F" w14:textId="77777777" w:rsidR="0074532A" w:rsidRPr="000447F1" w:rsidRDefault="0074532A" w:rsidP="0074532A">
      <w:pPr>
        <w:rPr>
          <w:iCs/>
          <w:sz w:val="26"/>
          <w:szCs w:val="26"/>
        </w:rPr>
      </w:pPr>
      <w:r w:rsidRPr="000447F1">
        <w:rPr>
          <w:iCs/>
          <w:sz w:val="26"/>
          <w:szCs w:val="26"/>
        </w:rPr>
        <w:t>Asimismo, indicamos que el nuevo Reglamento de Organización de la Policía Municipal de 2 de marzo de 2017, atribuye una expresa diferenciación de funciones y responsabilidades entre el comisario principal y los comisarios, modificando lo dispuesto sobre esta cuestión que establecía el anterior reglamento de 2012. Esta diferencia en el ejercicio de funciones está identificada en los respectivos puestos de trabajo de la plantilla orgánica de 2021, donde únicamente para el puesto de trabajo de comisario principal figura un complemento de puesto de trabajo superior en un diez por ciento respecto a los comisarios.</w:t>
      </w:r>
    </w:p>
    <w:p w14:paraId="4DEEF929" w14:textId="77777777" w:rsidR="0074532A" w:rsidRPr="000447F1" w:rsidRDefault="0074532A" w:rsidP="0074532A">
      <w:pPr>
        <w:rPr>
          <w:iCs/>
          <w:sz w:val="26"/>
          <w:szCs w:val="26"/>
        </w:rPr>
      </w:pPr>
      <w:r w:rsidRPr="000447F1">
        <w:rPr>
          <w:iCs/>
          <w:sz w:val="26"/>
          <w:szCs w:val="26"/>
        </w:rPr>
        <w:t>Por lo tanto, desde el 4 de abril de 2017, fecha de entrada en vigor del nuevo reglamento, se debiera haber contemplado en la plantilla orgánica los complementos que correspondiesen a cada puesto de trabajo en coherencia con el ejercicio de funciones establecido en el marco legal vigente.</w:t>
      </w:r>
    </w:p>
    <w:p w14:paraId="63D974A1" w14:textId="77777777" w:rsidR="0074532A" w:rsidRPr="000447F1" w:rsidRDefault="0074532A" w:rsidP="0074532A">
      <w:pPr>
        <w:rPr>
          <w:b/>
          <w:iCs/>
          <w:sz w:val="26"/>
          <w:szCs w:val="26"/>
        </w:rPr>
      </w:pPr>
    </w:p>
    <w:p w14:paraId="285C436B" w14:textId="77777777" w:rsidR="0074532A" w:rsidRPr="000447F1" w:rsidRDefault="0074532A" w:rsidP="0074532A">
      <w:pPr>
        <w:rPr>
          <w:iCs/>
          <w:sz w:val="26"/>
          <w:szCs w:val="26"/>
        </w:rPr>
      </w:pPr>
      <w:r w:rsidRPr="000447F1">
        <w:rPr>
          <w:b/>
          <w:iCs/>
          <w:sz w:val="26"/>
          <w:szCs w:val="26"/>
        </w:rPr>
        <w:t>Nota.</w:t>
      </w:r>
      <w:r w:rsidRPr="000447F1">
        <w:rPr>
          <w:iCs/>
          <w:sz w:val="26"/>
          <w:szCs w:val="26"/>
        </w:rPr>
        <w:t xml:space="preserve"> En las alegaciones presentadas por el Ayuntamiento de Pamplona hemos procedido a eliminar todos aquellos datos personales en cumplimiento de la política de protección de datos personales de la Cámara de Comptos.</w:t>
      </w:r>
    </w:p>
    <w:p w14:paraId="76932E2B" w14:textId="77777777" w:rsidR="0074532A" w:rsidRPr="000447F1" w:rsidRDefault="0074532A" w:rsidP="0074532A">
      <w:pPr>
        <w:rPr>
          <w:sz w:val="26"/>
          <w:szCs w:val="26"/>
        </w:rPr>
      </w:pPr>
    </w:p>
    <w:p w14:paraId="075F20B6" w14:textId="77777777" w:rsidR="0074532A" w:rsidRPr="000447F1" w:rsidRDefault="0074532A" w:rsidP="0074532A">
      <w:pPr>
        <w:jc w:val="center"/>
        <w:rPr>
          <w:sz w:val="26"/>
          <w:szCs w:val="26"/>
        </w:rPr>
      </w:pPr>
      <w:r w:rsidRPr="000447F1">
        <w:rPr>
          <w:sz w:val="26"/>
          <w:szCs w:val="26"/>
        </w:rPr>
        <w:t>Pamplona a 12 de enero de 2023</w:t>
      </w:r>
    </w:p>
    <w:p w14:paraId="6776879C" w14:textId="77777777" w:rsidR="0074532A" w:rsidRPr="000447F1" w:rsidRDefault="0074532A" w:rsidP="0074532A">
      <w:pPr>
        <w:jc w:val="center"/>
        <w:rPr>
          <w:sz w:val="26"/>
          <w:szCs w:val="26"/>
        </w:rPr>
      </w:pPr>
      <w:r w:rsidRPr="000447F1">
        <w:rPr>
          <w:sz w:val="26"/>
          <w:szCs w:val="26"/>
        </w:rPr>
        <w:t>El presidente, Ignacio Cabeza del Salvador</w:t>
      </w:r>
    </w:p>
    <w:p w14:paraId="493D4CEE" w14:textId="77777777" w:rsidR="0074532A" w:rsidRDefault="0074532A" w:rsidP="000E6410">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p>
    <w:p w14:paraId="4FBD1775" w14:textId="77777777" w:rsidR="0074532A" w:rsidRDefault="0074532A" w:rsidP="000E6410">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p>
    <w:p w14:paraId="2439CAE8" w14:textId="77777777" w:rsidR="0074532A" w:rsidRDefault="0074532A" w:rsidP="000E6410">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p>
    <w:p w14:paraId="5829F33B" w14:textId="77777777" w:rsidR="0074532A" w:rsidRDefault="0074532A" w:rsidP="000E6410">
      <w:pPr>
        <w:tabs>
          <w:tab w:val="left" w:pos="142"/>
          <w:tab w:val="center" w:pos="2835"/>
          <w:tab w:val="center" w:pos="3969"/>
          <w:tab w:val="center" w:pos="5103"/>
          <w:tab w:val="center" w:pos="6237"/>
          <w:tab w:val="center" w:pos="7371"/>
        </w:tabs>
        <w:spacing w:before="120" w:after="240"/>
        <w:ind w:firstLine="284"/>
        <w:rPr>
          <w:rFonts w:cs="Arial"/>
          <w:spacing w:val="6"/>
          <w:sz w:val="26"/>
          <w:szCs w:val="24"/>
        </w:rPr>
      </w:pPr>
    </w:p>
    <w:p w14:paraId="5C650D2D" w14:textId="77777777" w:rsidR="00C71963" w:rsidRDefault="00C71963">
      <w:pPr>
        <w:spacing w:after="0"/>
        <w:ind w:firstLine="0"/>
        <w:jc w:val="left"/>
        <w:rPr>
          <w:rFonts w:ascii="Arial" w:hAnsi="Arial"/>
          <w:b/>
          <w:color w:val="000000"/>
          <w:kern w:val="28"/>
          <w:sz w:val="25"/>
          <w:szCs w:val="26"/>
        </w:rPr>
      </w:pPr>
      <w:r>
        <w:br w:type="page"/>
      </w:r>
    </w:p>
    <w:p w14:paraId="2BB76305" w14:textId="77777777" w:rsidR="00C71963" w:rsidRDefault="00C71963" w:rsidP="00C71963">
      <w:pPr>
        <w:pStyle w:val="atitulo1"/>
      </w:pPr>
      <w:bookmarkStart w:id="188" w:name="_Toc55460331"/>
      <w:bookmarkStart w:id="189" w:name="_Toc118266047"/>
      <w:bookmarkStart w:id="190" w:name="_Toc129243507"/>
      <w:r w:rsidRPr="00667DFF">
        <w:lastRenderedPageBreak/>
        <w:t>Memoria de las cuentas anuales consolidadas del Ayuntamiento de Pamplona, a 31</w:t>
      </w:r>
      <w:r>
        <w:t>/12/202</w:t>
      </w:r>
      <w:bookmarkEnd w:id="188"/>
      <w:bookmarkEnd w:id="189"/>
      <w:r>
        <w:t>1</w:t>
      </w:r>
      <w:bookmarkEnd w:id="190"/>
    </w:p>
    <w:p w14:paraId="355E9155" w14:textId="77777777" w:rsidR="00C71963" w:rsidRDefault="00C71963" w:rsidP="00C71963">
      <w:pPr>
        <w:pStyle w:val="atitulo1"/>
      </w:pPr>
    </w:p>
    <w:p w14:paraId="07FA2D8B" w14:textId="77777777" w:rsidR="00C71963" w:rsidRDefault="00C71963" w:rsidP="00C71963">
      <w:pPr>
        <w:pStyle w:val="atitulo1"/>
      </w:pPr>
    </w:p>
    <w:p w14:paraId="23B1E1CC" w14:textId="77777777" w:rsidR="00C71963" w:rsidRPr="004B2F01" w:rsidRDefault="00C71963" w:rsidP="00C71963">
      <w:pPr>
        <w:pStyle w:val="atitulo1"/>
      </w:pPr>
    </w:p>
    <w:sectPr w:rsidR="00C71963" w:rsidRPr="004B2F01" w:rsidSect="000D7AE1">
      <w:headerReference w:type="default" r:id="rId18"/>
      <w:footerReference w:type="default" r:id="rId19"/>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C7A6" w14:textId="77777777" w:rsidR="001933A8" w:rsidRDefault="001933A8">
      <w:r>
        <w:separator/>
      </w:r>
    </w:p>
    <w:p w14:paraId="2A910FEF" w14:textId="77777777" w:rsidR="001933A8" w:rsidRDefault="001933A8"/>
    <w:p w14:paraId="1A1D1B7E" w14:textId="77777777" w:rsidR="001933A8" w:rsidRDefault="001933A8"/>
    <w:p w14:paraId="69B4782E" w14:textId="77777777" w:rsidR="001933A8" w:rsidRDefault="001933A8"/>
  </w:endnote>
  <w:endnote w:type="continuationSeparator" w:id="0">
    <w:p w14:paraId="23648A0B" w14:textId="77777777" w:rsidR="001933A8" w:rsidRDefault="001933A8">
      <w:r>
        <w:continuationSeparator/>
      </w:r>
    </w:p>
    <w:p w14:paraId="631086C9" w14:textId="77777777" w:rsidR="001933A8" w:rsidRDefault="001933A8"/>
    <w:p w14:paraId="0C0FAF1B" w14:textId="77777777" w:rsidR="001933A8" w:rsidRDefault="001933A8"/>
    <w:p w14:paraId="50BD495E" w14:textId="77777777" w:rsidR="001933A8" w:rsidRDefault="00193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jan">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BE62" w14:textId="77777777" w:rsidR="001933A8" w:rsidRDefault="001933A8"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23A4B8" w14:textId="77777777" w:rsidR="001933A8" w:rsidRDefault="001933A8"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12B2" w14:textId="77777777" w:rsidR="001933A8" w:rsidRPr="00F03814" w:rsidRDefault="001933A8"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D480CFF" wp14:editId="20274930">
          <wp:extent cx="219075" cy="371475"/>
          <wp:effectExtent l="0" t="0" r="9525" b="9525"/>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11C10A23" w14:textId="77777777" w:rsidR="001933A8" w:rsidRPr="00F74E38" w:rsidRDefault="001933A8" w:rsidP="00F03814">
    <w:pPr>
      <w:pStyle w:val="Piedepgina"/>
      <w:tabs>
        <w:tab w:val="clear" w:pos="4252"/>
        <w:tab w:val="clear" w:pos="8504"/>
        <w:tab w:val="center" w:pos="4560"/>
      </w:tabs>
      <w:ind w:right="360"/>
      <w:jc w:val="left"/>
      <w:rPr>
        <w:rStyle w:val="Nmerodepgina"/>
      </w:rPr>
    </w:pPr>
  </w:p>
  <w:p w14:paraId="35AEA187" w14:textId="77777777" w:rsidR="001933A8" w:rsidRPr="00C13453" w:rsidRDefault="001933A8" w:rsidP="00D2472C">
    <w:pPr>
      <w:pStyle w:val="BorradorProvisional"/>
      <w:ind w:left="0"/>
      <w:jc w:val="center"/>
    </w:pPr>
    <w:r w:rsidRPr="00C13453">
      <w:t xml:space="preserve">Borrador </w:t>
    </w:r>
    <w:r>
      <w:t>inicial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064F" w14:textId="77777777" w:rsidR="001933A8" w:rsidRPr="00F03814" w:rsidRDefault="001933A8"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164BE105" wp14:editId="78043768">
          <wp:extent cx="213100" cy="3714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76ACFF0E" w14:textId="77777777" w:rsidR="001933A8" w:rsidRPr="00C13453" w:rsidRDefault="001933A8" w:rsidP="00D2472C">
    <w:pPr>
      <w:pStyle w:val="BorradorProvisional"/>
      <w:ind w:left="0"/>
      <w:jc w:val="center"/>
    </w:pPr>
  </w:p>
  <w:p w14:paraId="65C1ADC0" w14:textId="77777777" w:rsidR="001933A8" w:rsidRDefault="001933A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A60F" w14:textId="77777777" w:rsidR="001933A8" w:rsidRPr="00F03814" w:rsidRDefault="001933A8"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4CE92A2" wp14:editId="13DC2274">
          <wp:extent cx="213100" cy="3714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74532A">
      <w:rPr>
        <w:rStyle w:val="Nmerodepgina"/>
        <w:noProof/>
        <w:szCs w:val="24"/>
      </w:rPr>
      <w:t>18</w:t>
    </w:r>
    <w:r w:rsidRPr="001D4F09">
      <w:rPr>
        <w:rStyle w:val="Nmerodepgina"/>
        <w:szCs w:val="24"/>
      </w:rPr>
      <w:fldChar w:fldCharType="end"/>
    </w:r>
    <w:r w:rsidRPr="001D4F09">
      <w:rPr>
        <w:rStyle w:val="Nmerodepgina"/>
        <w:szCs w:val="24"/>
      </w:rPr>
      <w:t xml:space="preserve"> -</w:t>
    </w:r>
  </w:p>
  <w:p w14:paraId="457F5B99" w14:textId="77777777" w:rsidR="001933A8" w:rsidRPr="00C13453" w:rsidRDefault="001933A8" w:rsidP="00D2472C">
    <w:pPr>
      <w:pStyle w:val="BorradorProvisional"/>
      <w:ind w:left="0"/>
      <w:jc w:val="center"/>
    </w:pPr>
  </w:p>
  <w:p w14:paraId="41E9E7BB" w14:textId="77777777" w:rsidR="001933A8" w:rsidRDefault="001933A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271C" w14:textId="77777777" w:rsidR="001933A8" w:rsidRPr="00F03814" w:rsidRDefault="001933A8"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4BECE2D4" wp14:editId="59C6B57B">
          <wp:extent cx="213100" cy="371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Fonts w:ascii="GillSans" w:hAnsi="GillSans"/>
      </w:rPr>
      <w:tab/>
    </w:r>
    <w:r>
      <w:rPr>
        <w:rFonts w:ascii="GillSans" w:hAnsi="GillSans"/>
      </w:rPr>
      <w:tab/>
      <w:t xml:space="preserve">         </w:t>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74532A">
      <w:rPr>
        <w:rStyle w:val="Nmerodepgina"/>
        <w:noProof/>
        <w:szCs w:val="24"/>
      </w:rPr>
      <w:t>19</w:t>
    </w:r>
    <w:r w:rsidRPr="001D4F09">
      <w:rPr>
        <w:rStyle w:val="Nmerodepgina"/>
        <w:szCs w:val="24"/>
      </w:rPr>
      <w:fldChar w:fldCharType="end"/>
    </w:r>
    <w:r w:rsidRPr="001D4F09">
      <w:rPr>
        <w:rStyle w:val="Nmerodepgina"/>
        <w:szCs w:val="24"/>
      </w:rPr>
      <w:t xml:space="preserve"> -</w:t>
    </w:r>
  </w:p>
  <w:p w14:paraId="19FD2661" w14:textId="77777777" w:rsidR="001933A8" w:rsidRPr="00C13453" w:rsidRDefault="001933A8" w:rsidP="00D2472C">
    <w:pPr>
      <w:pStyle w:val="BorradorProvisional"/>
      <w:ind w:left="0"/>
      <w:jc w:val="center"/>
    </w:pPr>
  </w:p>
  <w:p w14:paraId="1FB61C79" w14:textId="77777777" w:rsidR="001933A8" w:rsidRDefault="001933A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118D" w14:textId="77777777" w:rsidR="001933A8" w:rsidRPr="00F03814" w:rsidRDefault="001933A8"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390D6C0" wp14:editId="468B7AE3">
          <wp:extent cx="213100" cy="3714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74532A">
      <w:rPr>
        <w:rStyle w:val="Nmerodepgina"/>
        <w:noProof/>
        <w:szCs w:val="24"/>
      </w:rPr>
      <w:t>21</w:t>
    </w:r>
    <w:r w:rsidRPr="001D4F09">
      <w:rPr>
        <w:rStyle w:val="Nmerodepgina"/>
        <w:szCs w:val="24"/>
      </w:rPr>
      <w:fldChar w:fldCharType="end"/>
    </w:r>
    <w:r w:rsidRPr="001D4F09">
      <w:rPr>
        <w:rStyle w:val="Nmerodepgina"/>
        <w:szCs w:val="24"/>
      </w:rPr>
      <w:t xml:space="preserve"> -</w:t>
    </w:r>
  </w:p>
  <w:p w14:paraId="2ED03540" w14:textId="77777777" w:rsidR="001933A8" w:rsidRPr="00C13453" w:rsidRDefault="001933A8" w:rsidP="00D2472C">
    <w:pPr>
      <w:pStyle w:val="BorradorProvisional"/>
      <w:ind w:left="0"/>
      <w:jc w:val="center"/>
    </w:pPr>
  </w:p>
  <w:p w14:paraId="0497A8BA" w14:textId="77777777" w:rsidR="001933A8" w:rsidRDefault="00193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ADFE" w14:textId="77777777" w:rsidR="001933A8" w:rsidRDefault="001933A8">
      <w:r>
        <w:separator/>
      </w:r>
    </w:p>
  </w:footnote>
  <w:footnote w:type="continuationSeparator" w:id="0">
    <w:p w14:paraId="7AB6BAAE" w14:textId="77777777" w:rsidR="001933A8" w:rsidRDefault="001933A8">
      <w:r>
        <w:continuationSeparator/>
      </w:r>
    </w:p>
    <w:p w14:paraId="4F24AB2F" w14:textId="77777777" w:rsidR="001933A8" w:rsidRDefault="001933A8"/>
    <w:p w14:paraId="4CC7FB39" w14:textId="77777777" w:rsidR="001933A8" w:rsidRDefault="001933A8"/>
    <w:p w14:paraId="2EFD88AF" w14:textId="77777777" w:rsidR="001933A8" w:rsidRDefault="001933A8"/>
  </w:footnote>
  <w:footnote w:id="1">
    <w:p w14:paraId="6FF628F5" w14:textId="77777777" w:rsidR="001933A8" w:rsidRDefault="001933A8" w:rsidP="00A55B2E">
      <w:pPr>
        <w:pStyle w:val="Textonotapie"/>
        <w:ind w:firstLine="0"/>
        <w:rPr>
          <w:sz w:val="16"/>
          <w:szCs w:val="16"/>
        </w:rPr>
      </w:pPr>
      <w:r>
        <w:rPr>
          <w:rStyle w:val="Refdenotaalpie"/>
        </w:rPr>
        <w:footnoteRef/>
      </w:r>
      <w:r>
        <w:t xml:space="preserve"> </w:t>
      </w:r>
      <w:r>
        <w:rPr>
          <w:sz w:val="16"/>
          <w:szCs w:val="16"/>
        </w:rPr>
        <w:t>Nuestro</w:t>
      </w:r>
      <w:r w:rsidRPr="001E6C2C">
        <w:rPr>
          <w:sz w:val="16"/>
          <w:szCs w:val="16"/>
        </w:rPr>
        <w:t xml:space="preserve"> informe se</w:t>
      </w:r>
      <w:r>
        <w:rPr>
          <w:sz w:val="16"/>
          <w:szCs w:val="16"/>
        </w:rPr>
        <w:t xml:space="preserve"> </w:t>
      </w:r>
      <w:r w:rsidRPr="001E6C2C">
        <w:rPr>
          <w:sz w:val="16"/>
          <w:szCs w:val="16"/>
        </w:rPr>
        <w:t xml:space="preserve">acompaña de </w:t>
      </w:r>
      <w:r>
        <w:rPr>
          <w:sz w:val="16"/>
          <w:szCs w:val="16"/>
        </w:rPr>
        <w:t xml:space="preserve">la memoria sobre las Cuenta General del Ayuntamiento de Pamplona </w:t>
      </w:r>
      <w:r w:rsidRPr="001E6C2C">
        <w:rPr>
          <w:sz w:val="16"/>
          <w:szCs w:val="16"/>
        </w:rPr>
        <w:t>corr</w:t>
      </w:r>
      <w:r>
        <w:rPr>
          <w:sz w:val="16"/>
          <w:szCs w:val="16"/>
        </w:rPr>
        <w:t>espondiente al ejercicio 2021. El contenido</w:t>
      </w:r>
      <w:r w:rsidRPr="001E6C2C">
        <w:rPr>
          <w:sz w:val="16"/>
          <w:szCs w:val="16"/>
        </w:rPr>
        <w:t xml:space="preserve"> completo de la </w:t>
      </w:r>
      <w:r>
        <w:rPr>
          <w:sz w:val="16"/>
          <w:szCs w:val="16"/>
        </w:rPr>
        <w:t xml:space="preserve">Cuenta General </w:t>
      </w:r>
      <w:r w:rsidRPr="001E6C2C">
        <w:rPr>
          <w:sz w:val="16"/>
          <w:szCs w:val="16"/>
        </w:rPr>
        <w:t>puede consultarse en:</w:t>
      </w:r>
    </w:p>
    <w:p w14:paraId="518E3EAE" w14:textId="77777777" w:rsidR="001933A8" w:rsidRDefault="00BC34BC" w:rsidP="00703528">
      <w:pPr>
        <w:pStyle w:val="Textonotapie"/>
        <w:ind w:firstLine="0"/>
      </w:pPr>
      <w:hyperlink r:id="rId1" w:history="1">
        <w:r w:rsidR="001933A8" w:rsidRPr="003E787A">
          <w:rPr>
            <w:rStyle w:val="Hipervnculo"/>
          </w:rPr>
          <w:t>https://www.pamplona.es/ayuntamiento/presupuestos-municipales</w:t>
        </w:r>
      </w:hyperlink>
    </w:p>
    <w:p w14:paraId="590786D4" w14:textId="77777777" w:rsidR="001933A8" w:rsidRDefault="001933A8" w:rsidP="001E3532">
      <w:pPr>
        <w:pStyle w:val="Textonotapie"/>
      </w:pPr>
    </w:p>
  </w:footnote>
  <w:footnote w:id="2">
    <w:p w14:paraId="10CC6941" w14:textId="77777777" w:rsidR="001933A8" w:rsidRDefault="001933A8" w:rsidP="00A54E24">
      <w:pPr>
        <w:pStyle w:val="Textonotapie"/>
        <w:ind w:firstLine="0"/>
      </w:pPr>
      <w:r>
        <w:rPr>
          <w:rStyle w:val="Refdenotaalpie"/>
        </w:rPr>
        <w:footnoteRef/>
      </w:r>
      <w:r>
        <w:t xml:space="preserve"> Resolución de 22 de marzo de 2018, de la Secretaría de Estado de Función Pública, por la que se publica el II Acuerdo Gobierno-Sindicatos para la mejora del empleo público y las condiciones de trabajo. BOE de 26 de marzo de 2018</w:t>
      </w:r>
    </w:p>
  </w:footnote>
  <w:footnote w:id="3">
    <w:p w14:paraId="0CEEAE38" w14:textId="77777777" w:rsidR="001933A8" w:rsidRDefault="001933A8" w:rsidP="00F60014">
      <w:pPr>
        <w:pStyle w:val="Textonotapie"/>
        <w:ind w:firstLine="0"/>
      </w:pPr>
      <w:r>
        <w:rPr>
          <w:rStyle w:val="Refdenotaalpie"/>
        </w:rPr>
        <w:footnoteRef/>
      </w:r>
      <w:r>
        <w:t xml:space="preserve"> Los presupuestos de 2019 y 2020 fueron presupuestos prorrogados del ejercicio 2018.</w:t>
      </w:r>
    </w:p>
  </w:footnote>
  <w:footnote w:id="4">
    <w:p w14:paraId="3B9E5863" w14:textId="77777777" w:rsidR="001933A8" w:rsidRDefault="001933A8" w:rsidP="00F60014">
      <w:pPr>
        <w:pStyle w:val="Textonotapie"/>
        <w:ind w:firstLine="0"/>
      </w:pPr>
      <w:r>
        <w:rPr>
          <w:rStyle w:val="Refdenotaalpie"/>
        </w:rPr>
        <w:footnoteRef/>
      </w:r>
      <w:r>
        <w:t xml:space="preserve"> La carga financiera incluye la amortización anual de préstamos más los intereses. </w:t>
      </w:r>
    </w:p>
  </w:footnote>
  <w:footnote w:id="5">
    <w:p w14:paraId="44B190BA" w14:textId="77777777" w:rsidR="001933A8" w:rsidRPr="00F02464" w:rsidRDefault="001933A8" w:rsidP="00F02464">
      <w:pPr>
        <w:spacing w:before="100" w:beforeAutospacing="1" w:after="100" w:afterAutospacing="1"/>
        <w:ind w:firstLine="0"/>
        <w:jc w:val="left"/>
        <w:outlineLvl w:val="2"/>
      </w:pPr>
      <w:r>
        <w:rPr>
          <w:rStyle w:val="Refdenotaalpie"/>
        </w:rPr>
        <w:footnoteRef/>
      </w:r>
      <w:r>
        <w:t xml:space="preserve"> </w:t>
      </w:r>
      <w:r w:rsidRPr="00F02464">
        <w:t>Real Decreto 424/2017, de 28 de abril, por el que se regula el régimen jurídico del control interno en las entidades del Sector Público Local</w:t>
      </w:r>
      <w:r>
        <w:t>.</w:t>
      </w:r>
    </w:p>
    <w:p w14:paraId="6B0A0356" w14:textId="77777777" w:rsidR="001933A8" w:rsidRDefault="001933A8">
      <w:pPr>
        <w:pStyle w:val="Textonotapie"/>
      </w:pPr>
    </w:p>
  </w:footnote>
  <w:footnote w:id="6">
    <w:p w14:paraId="7A2EFD4A" w14:textId="77777777" w:rsidR="001933A8" w:rsidRPr="00754803" w:rsidRDefault="001933A8" w:rsidP="00A220F1">
      <w:pPr>
        <w:pStyle w:val="Textonotapie"/>
        <w:ind w:firstLine="0"/>
      </w:pPr>
      <w:r w:rsidRPr="00754803">
        <w:rPr>
          <w:rStyle w:val="Refdenotaalpie"/>
        </w:rPr>
        <w:footnoteRef/>
      </w:r>
      <w:r w:rsidRPr="00754803">
        <w:t xml:space="preserve"> Párrafo modificado al aceptarse la Alegación Segunda. </w:t>
      </w:r>
    </w:p>
  </w:footnote>
  <w:footnote w:id="7">
    <w:p w14:paraId="77B7F43E" w14:textId="77777777" w:rsidR="001933A8" w:rsidRDefault="001933A8" w:rsidP="00A54E24">
      <w:pPr>
        <w:pStyle w:val="Textonotapie"/>
        <w:ind w:firstLine="0"/>
      </w:pPr>
      <w:r>
        <w:rPr>
          <w:rStyle w:val="Refdenotaalpie"/>
        </w:rPr>
        <w:footnoteRef/>
      </w:r>
      <w:r>
        <w:t xml:space="preserve"> Resolución de 22 de marzo de 2018, de la Secretaría de Estado de Función Pública, por la que se publica el II Acuerdo Gobierno-Sindicatos para la mejora del empleo público y las condiciones de trabajo. BOE de 26 de marzo de 2018.</w:t>
      </w:r>
    </w:p>
  </w:footnote>
  <w:footnote w:id="8">
    <w:p w14:paraId="6721F22C" w14:textId="77777777" w:rsidR="001933A8" w:rsidRDefault="001933A8" w:rsidP="002B0291">
      <w:pPr>
        <w:pStyle w:val="Textonotapie"/>
        <w:ind w:firstLine="0"/>
      </w:pPr>
      <w:r>
        <w:rPr>
          <w:rStyle w:val="Refdenotaalpie"/>
        </w:rPr>
        <w:footnoteRef/>
      </w:r>
      <w:r>
        <w:t xml:space="preserve"> Financiación prevista en el artículo 2.e) de la Ley Orgánica 8/2007 de 4 de julio de financiación de los partidos políticos.</w:t>
      </w:r>
    </w:p>
  </w:footnote>
  <w:footnote w:id="9">
    <w:p w14:paraId="1C54615F" w14:textId="77777777" w:rsidR="001933A8" w:rsidRDefault="001933A8" w:rsidP="0012553E">
      <w:pPr>
        <w:pStyle w:val="Textonotapie"/>
        <w:ind w:firstLine="0"/>
      </w:pPr>
      <w:r>
        <w:rPr>
          <w:rStyle w:val="Refdenotaalpie"/>
        </w:rPr>
        <w:footnoteRef/>
      </w:r>
      <w:r>
        <w:t xml:space="preserve"> </w:t>
      </w:r>
      <w:r w:rsidRPr="009302BE">
        <w:rPr>
          <w:sz w:val="18"/>
          <w:szCs w:val="18"/>
        </w:rPr>
        <w:t>Escuela Infantil en el barrio del Soto Lezkairu</w:t>
      </w:r>
      <w:r>
        <w:rPr>
          <w:sz w:val="18"/>
          <w:szCs w:val="18"/>
        </w:rPr>
        <w:t>.</w:t>
      </w:r>
    </w:p>
  </w:footnote>
  <w:footnote w:id="10">
    <w:p w14:paraId="6C2835C0" w14:textId="77777777" w:rsidR="001933A8" w:rsidRDefault="001933A8" w:rsidP="004F7778">
      <w:pPr>
        <w:pStyle w:val="Textonotapie"/>
        <w:ind w:firstLine="0"/>
      </w:pPr>
      <w:r w:rsidRPr="00677E63">
        <w:rPr>
          <w:rStyle w:val="Refdenotaalpie"/>
        </w:rPr>
        <w:footnoteRef/>
      </w:r>
      <w:r w:rsidRPr="00677E63">
        <w:t xml:space="preserve"> Se argumenta en los informes técnicos la existencia de incrementos del coste, del precio medio/hora y disminución tanto en el nivel de horas prestadas como en el nivel de actividad, así como una serie de problemas organizativos que afectan a la calidad del servicio. La referencia a estas circunstancias se incluye en las sentencias citadas.</w:t>
      </w:r>
    </w:p>
  </w:footnote>
  <w:footnote w:id="11">
    <w:p w14:paraId="5DA30873" w14:textId="77777777" w:rsidR="001933A8" w:rsidRDefault="001933A8" w:rsidP="003D7066">
      <w:pPr>
        <w:pStyle w:val="Textonotapie"/>
        <w:ind w:firstLine="0"/>
      </w:pPr>
      <w:r>
        <w:rPr>
          <w:rStyle w:val="Refdenotaalpie"/>
        </w:rPr>
        <w:footnoteRef/>
      </w:r>
      <w:r>
        <w:t xml:space="preserve"> </w:t>
      </w:r>
      <w:r>
        <w:rPr>
          <w:rFonts w:asciiTheme="majorHAnsi" w:hAnsiTheme="majorHAnsi" w:cstheme="majorHAnsi"/>
          <w:lang w:val="es-ES"/>
        </w:rPr>
        <w:t xml:space="preserve">El art.13 del Convenio Colectivo del Personal Laboral del Ayuntamiento de Pamplona, bajo la rúbrica </w:t>
      </w:r>
      <w:r w:rsidRPr="0005198F">
        <w:rPr>
          <w:rFonts w:asciiTheme="majorHAnsi" w:hAnsiTheme="majorHAnsi" w:cstheme="majorHAnsi"/>
          <w:i/>
          <w:lang w:val="es-ES"/>
        </w:rPr>
        <w:t xml:space="preserve">“promoción del empleo público (..)”, </w:t>
      </w:r>
      <w:r w:rsidRPr="00A60F22">
        <w:t>establece que</w:t>
      </w:r>
      <w:r w:rsidRPr="0005198F">
        <w:rPr>
          <w:rFonts w:asciiTheme="majorHAnsi" w:hAnsiTheme="majorHAnsi" w:cstheme="majorHAnsi"/>
          <w:i/>
          <w:lang w:val="es-ES"/>
        </w:rPr>
        <w:t xml:space="preserve"> “el Ayuntamiento de Pamplona, con el fin de proporcional el empleo público, no externa</w:t>
      </w:r>
      <w:r>
        <w:rPr>
          <w:rFonts w:asciiTheme="majorHAnsi" w:hAnsiTheme="majorHAnsi" w:cstheme="majorHAnsi"/>
          <w:i/>
          <w:lang w:val="es-ES"/>
        </w:rPr>
        <w:t>l</w:t>
      </w:r>
      <w:r w:rsidRPr="0005198F">
        <w:rPr>
          <w:rFonts w:asciiTheme="majorHAnsi" w:hAnsiTheme="majorHAnsi" w:cstheme="majorHAnsi"/>
          <w:i/>
          <w:lang w:val="es-ES"/>
        </w:rPr>
        <w:t>izará trabajos actualmente realizados por personal laboral fijo o indefinido no fijo”</w:t>
      </w:r>
      <w:r>
        <w:rPr>
          <w:rFonts w:asciiTheme="majorHAnsi" w:hAnsiTheme="majorHAnsi" w:cstheme="majorHAnsi"/>
          <w:i/>
          <w:lang w:val="es-ES"/>
        </w:rPr>
        <w:t>.</w:t>
      </w:r>
    </w:p>
  </w:footnote>
  <w:footnote w:id="12">
    <w:p w14:paraId="52880DCD" w14:textId="77777777" w:rsidR="001933A8" w:rsidRDefault="001933A8" w:rsidP="003D7066">
      <w:pPr>
        <w:pStyle w:val="Textonotapie"/>
        <w:ind w:firstLine="0"/>
      </w:pPr>
      <w:r>
        <w:rPr>
          <w:rStyle w:val="Refdenotaalpie"/>
        </w:rPr>
        <w:footnoteRef/>
      </w:r>
      <w:r>
        <w:t xml:space="preserve"> Equipo Municipal de Atención a Domicilio.</w:t>
      </w:r>
    </w:p>
  </w:footnote>
  <w:footnote w:id="13">
    <w:p w14:paraId="48864C23" w14:textId="77777777" w:rsidR="001933A8" w:rsidRDefault="001933A8" w:rsidP="0012553E">
      <w:pPr>
        <w:pStyle w:val="Textonotapie"/>
        <w:ind w:firstLine="0"/>
      </w:pPr>
      <w:r>
        <w:rPr>
          <w:rStyle w:val="Refdenotaalpie"/>
        </w:rPr>
        <w:footnoteRef/>
      </w:r>
      <w:r>
        <w:t xml:space="preserve"> Demarcación de Navarra.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D434" w14:textId="77777777" w:rsidR="001933A8" w:rsidRPr="0059650E" w:rsidRDefault="001933A8" w:rsidP="00807992">
    <w:pPr>
      <w:pStyle w:val="Encabezado"/>
      <w:pBdr>
        <w:bottom w:val="single" w:sz="4" w:space="1" w:color="auto"/>
      </w:pBdr>
      <w:spacing w:after="40"/>
      <w:ind w:firstLine="0"/>
      <w:jc w:val="left"/>
      <w:rPr>
        <w:lang w:val="es-ES"/>
      </w:rPr>
    </w:pPr>
    <w:r>
      <w:rPr>
        <w:b/>
        <w:noProof/>
        <w:lang w:val="es-ES" w:eastAsia="es-ES"/>
      </w:rPr>
      <w:drawing>
        <wp:inline distT="0" distB="0" distL="0" distR="0" wp14:anchorId="30F784B4" wp14:editId="22AACB5A">
          <wp:extent cx="771525" cy="762000"/>
          <wp:effectExtent l="0" t="0" r="9525" b="0"/>
          <wp:docPr id="4" name="Imagen 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Borrador INICIAL del informe de fiscalización SOBRE ELAYUNTAMIENTO DE PAMPLONA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B4E3" w14:textId="77777777" w:rsidR="001933A8" w:rsidRDefault="001933A8" w:rsidP="006A2D41">
    <w:pPr>
      <w:pStyle w:val="Encabezado"/>
      <w:ind w:firstLine="0"/>
      <w:jc w:val="left"/>
    </w:pPr>
    <w:r>
      <w:rPr>
        <w:noProof/>
        <w:lang w:val="es-ES" w:eastAsia="es-ES"/>
      </w:rPr>
      <w:drawing>
        <wp:inline distT="0" distB="0" distL="0" distR="0" wp14:anchorId="1E2F72E8" wp14:editId="1D57F82A">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C163" w14:textId="77777777" w:rsidR="001933A8" w:rsidRDefault="001933A8"/>
  <w:p w14:paraId="4637A7B7" w14:textId="77777777" w:rsidR="001933A8" w:rsidRDefault="001933A8"/>
  <w:p w14:paraId="602A0384" w14:textId="77777777" w:rsidR="001933A8" w:rsidRDefault="001933A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3281" w14:textId="77777777" w:rsidR="001933A8" w:rsidRPr="0059650E" w:rsidRDefault="001933A8" w:rsidP="00A07F13">
    <w:pPr>
      <w:pStyle w:val="Encabezado"/>
      <w:pBdr>
        <w:bottom w:val="single" w:sz="4" w:space="1" w:color="auto"/>
      </w:pBdr>
      <w:spacing w:after="40"/>
      <w:ind w:firstLine="0"/>
      <w:jc w:val="left"/>
      <w:rPr>
        <w:lang w:val="es-ES"/>
      </w:rPr>
    </w:pPr>
    <w:r>
      <w:rPr>
        <w:b/>
        <w:noProof/>
        <w:lang w:val="es-ES" w:eastAsia="es-ES"/>
      </w:rPr>
      <w:drawing>
        <wp:inline distT="0" distB="0" distL="0" distR="0" wp14:anchorId="52D81A7B" wp14:editId="477CB581">
          <wp:extent cx="771525" cy="762000"/>
          <wp:effectExtent l="0" t="0" r="9525" b="0"/>
          <wp:docPr id="22" name="Imagen 2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la cuenta general dEL AYUNTAMIENTO </w:t>
    </w:r>
    <w:proofErr w:type="gramStart"/>
    <w:r>
      <w:rPr>
        <w:lang w:val="es-ES"/>
      </w:rPr>
      <w:t>DE  PAMPLONA</w:t>
    </w:r>
    <w:proofErr w:type="gramEnd"/>
    <w:r>
      <w:rPr>
        <w:lang w:val="es-ES"/>
      </w:rPr>
      <w:t xml:space="preserve"> 2021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306A" w14:textId="77777777" w:rsidR="001933A8" w:rsidRPr="0059650E" w:rsidRDefault="001933A8" w:rsidP="00A07F13">
    <w:pPr>
      <w:pStyle w:val="Encabezado"/>
      <w:pBdr>
        <w:bottom w:val="single" w:sz="4" w:space="1" w:color="auto"/>
      </w:pBdr>
      <w:spacing w:after="40"/>
      <w:ind w:firstLine="0"/>
      <w:jc w:val="left"/>
      <w:rPr>
        <w:lang w:val="es-ES"/>
      </w:rPr>
    </w:pPr>
    <w:r>
      <w:rPr>
        <w:b/>
        <w:noProof/>
        <w:lang w:val="es-ES" w:eastAsia="es-ES"/>
      </w:rPr>
      <w:drawing>
        <wp:inline distT="0" distB="0" distL="0" distR="0" wp14:anchorId="7F226832" wp14:editId="66043EDF">
          <wp:extent cx="771525" cy="762000"/>
          <wp:effectExtent l="0" t="0" r="9525" b="0"/>
          <wp:docPr id="3" name="Imagen 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la cuenta general dEL AYUNTAMIENTO </w:t>
    </w:r>
    <w:proofErr w:type="gramStart"/>
    <w:r>
      <w:rPr>
        <w:lang w:val="es-ES"/>
      </w:rPr>
      <w:t>DE  PAMPLONA</w:t>
    </w:r>
    <w:proofErr w:type="gramEnd"/>
    <w:r>
      <w:rPr>
        <w:lang w:val="es-ES"/>
      </w:rPr>
      <w:t xml:space="preserve"> 2021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19A5" w14:textId="77777777" w:rsidR="001933A8" w:rsidRPr="0059650E" w:rsidRDefault="001933A8" w:rsidP="00A07F13">
    <w:pPr>
      <w:pStyle w:val="Encabezado"/>
      <w:pBdr>
        <w:bottom w:val="single" w:sz="4" w:space="1" w:color="auto"/>
      </w:pBdr>
      <w:spacing w:after="40"/>
      <w:ind w:firstLine="0"/>
      <w:jc w:val="left"/>
      <w:rPr>
        <w:lang w:val="es-ES"/>
      </w:rPr>
    </w:pPr>
    <w:r>
      <w:rPr>
        <w:b/>
        <w:noProof/>
        <w:lang w:val="es-ES" w:eastAsia="es-ES"/>
      </w:rPr>
      <w:drawing>
        <wp:inline distT="0" distB="0" distL="0" distR="0" wp14:anchorId="372D210D" wp14:editId="5959C2BE">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informe   de fiscalización SOBRE la cuenta general dEL AYUNTAMIENTO DE PAMPLONA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815"/>
    <w:multiLevelType w:val="hybridMultilevel"/>
    <w:tmpl w:val="B934A08E"/>
    <w:lvl w:ilvl="0" w:tplc="CE90F76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4851E68"/>
    <w:multiLevelType w:val="hybridMultilevel"/>
    <w:tmpl w:val="86C484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472D52"/>
    <w:multiLevelType w:val="hybridMultilevel"/>
    <w:tmpl w:val="89CCEAA0"/>
    <w:lvl w:ilvl="0" w:tplc="F90A7608">
      <w:start w:val="2"/>
      <w:numFmt w:val="bullet"/>
      <w:lvlText w:val="-"/>
      <w:lvlJc w:val="left"/>
      <w:pPr>
        <w:ind w:left="502" w:hanging="360"/>
      </w:pPr>
      <w:rPr>
        <w:rFonts w:ascii="Times New Roman" w:eastAsia="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0CF958B7"/>
    <w:multiLevelType w:val="hybridMultilevel"/>
    <w:tmpl w:val="53904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15:restartNumberingAfterBreak="0">
    <w:nsid w:val="19F16E5E"/>
    <w:multiLevelType w:val="hybridMultilevel"/>
    <w:tmpl w:val="D8D61438"/>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15:restartNumberingAfterBreak="0">
    <w:nsid w:val="1DA32B9B"/>
    <w:multiLevelType w:val="hybridMultilevel"/>
    <w:tmpl w:val="475CF85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210322AD"/>
    <w:multiLevelType w:val="hybridMultilevel"/>
    <w:tmpl w:val="E086FEC4"/>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2419157E"/>
    <w:multiLevelType w:val="hybridMultilevel"/>
    <w:tmpl w:val="06C05E58"/>
    <w:lvl w:ilvl="0" w:tplc="F90A7608">
      <w:start w:val="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88246EB"/>
    <w:multiLevelType w:val="hybridMultilevel"/>
    <w:tmpl w:val="F636F5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81026E"/>
    <w:multiLevelType w:val="hybridMultilevel"/>
    <w:tmpl w:val="E78A3AF8"/>
    <w:lvl w:ilvl="0" w:tplc="0C0A0017">
      <w:start w:val="1"/>
      <w:numFmt w:val="lowerLetter"/>
      <w:lvlText w:val="%1)"/>
      <w:lvlJc w:val="left"/>
      <w:pPr>
        <w:ind w:left="1211" w:hanging="360"/>
      </w:pPr>
      <w:rPr>
        <w:rFont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1" w15:restartNumberingAfterBreak="0">
    <w:nsid w:val="31D20864"/>
    <w:multiLevelType w:val="hybridMultilevel"/>
    <w:tmpl w:val="16065DBE"/>
    <w:lvl w:ilvl="0" w:tplc="37AAC190">
      <w:start w:val="1"/>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2536895"/>
    <w:multiLevelType w:val="hybridMultilevel"/>
    <w:tmpl w:val="F0163C6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347946A4"/>
    <w:multiLevelType w:val="hybridMultilevel"/>
    <w:tmpl w:val="78607A2A"/>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34AC6EDC"/>
    <w:multiLevelType w:val="hybridMultilevel"/>
    <w:tmpl w:val="5E94AD1C"/>
    <w:lvl w:ilvl="0" w:tplc="F90A7608">
      <w:start w:val="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8D745DF"/>
    <w:multiLevelType w:val="hybridMultilevel"/>
    <w:tmpl w:val="9D2AD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3B4CDC"/>
    <w:multiLevelType w:val="hybridMultilevel"/>
    <w:tmpl w:val="086C5CEE"/>
    <w:lvl w:ilvl="0" w:tplc="3904D050">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3A700BE0"/>
    <w:multiLevelType w:val="hybridMultilevel"/>
    <w:tmpl w:val="6226E33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15:restartNumberingAfterBreak="0">
    <w:nsid w:val="3CD61064"/>
    <w:multiLevelType w:val="hybridMultilevel"/>
    <w:tmpl w:val="79D67DDC"/>
    <w:lvl w:ilvl="0" w:tplc="0C0A0003">
      <w:start w:val="1"/>
      <w:numFmt w:val="bullet"/>
      <w:lvlText w:val="o"/>
      <w:lvlJc w:val="left"/>
      <w:pPr>
        <w:ind w:left="1174" w:hanging="360"/>
      </w:pPr>
      <w:rPr>
        <w:rFonts w:ascii="Courier New" w:hAnsi="Courier New" w:cs="Courier New" w:hint="default"/>
      </w:rPr>
    </w:lvl>
    <w:lvl w:ilvl="1" w:tplc="0C0A0005">
      <w:start w:val="1"/>
      <w:numFmt w:val="bullet"/>
      <w:lvlText w:val=""/>
      <w:lvlJc w:val="left"/>
      <w:pPr>
        <w:ind w:left="1894" w:hanging="360"/>
      </w:pPr>
      <w:rPr>
        <w:rFonts w:ascii="Wingdings" w:hAnsi="Wingdings"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19" w15:restartNumberingAfterBreak="0">
    <w:nsid w:val="41576688"/>
    <w:multiLevelType w:val="hybridMultilevel"/>
    <w:tmpl w:val="95F68280"/>
    <w:lvl w:ilvl="0" w:tplc="F90A7608">
      <w:start w:val="2"/>
      <w:numFmt w:val="bullet"/>
      <w:lvlText w:val="-"/>
      <w:lvlJc w:val="left"/>
      <w:pPr>
        <w:ind w:left="786" w:hanging="360"/>
      </w:pPr>
      <w:rPr>
        <w:rFonts w:ascii="Times New Roman" w:eastAsia="Times New Roman"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432C2779"/>
    <w:multiLevelType w:val="hybridMultilevel"/>
    <w:tmpl w:val="F9D0354C"/>
    <w:lvl w:ilvl="0" w:tplc="37AAC190">
      <w:start w:val="1"/>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98D5E0F"/>
    <w:multiLevelType w:val="hybridMultilevel"/>
    <w:tmpl w:val="C70E0256"/>
    <w:lvl w:ilvl="0" w:tplc="76FAC148">
      <w:start w:val="1"/>
      <w:numFmt w:val="lowerLetter"/>
      <w:lvlText w:val="%1)"/>
      <w:lvlJc w:val="left"/>
      <w:pPr>
        <w:ind w:left="644" w:hanging="360"/>
      </w:pPr>
      <w:rPr>
        <w:rFonts w:cs="Times New Roman"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50342A31"/>
    <w:multiLevelType w:val="multilevel"/>
    <w:tmpl w:val="8C6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B64424"/>
    <w:multiLevelType w:val="hybridMultilevel"/>
    <w:tmpl w:val="A216A0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F05CED"/>
    <w:multiLevelType w:val="singleLevel"/>
    <w:tmpl w:val="9460A90E"/>
    <w:lvl w:ilvl="0">
      <w:start w:val="46"/>
      <w:numFmt w:val="bullet"/>
      <w:lvlText w:val=""/>
      <w:lvlJc w:val="left"/>
      <w:pPr>
        <w:tabs>
          <w:tab w:val="num" w:pos="502"/>
        </w:tabs>
        <w:ind w:left="-28" w:firstLine="170"/>
      </w:pPr>
      <w:rPr>
        <w:rFonts w:ascii="Wingdings" w:hAnsi="Wingdings" w:hint="default"/>
        <w:color w:val="000000" w:themeColor="text1"/>
      </w:rPr>
    </w:lvl>
  </w:abstractNum>
  <w:abstractNum w:abstractNumId="26" w15:restartNumberingAfterBreak="0">
    <w:nsid w:val="5EFC3E6B"/>
    <w:multiLevelType w:val="hybridMultilevel"/>
    <w:tmpl w:val="89A05C6E"/>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285612B"/>
    <w:multiLevelType w:val="hybridMultilevel"/>
    <w:tmpl w:val="0A440FC4"/>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644B5128"/>
    <w:multiLevelType w:val="singleLevel"/>
    <w:tmpl w:val="3E5CD33A"/>
    <w:lvl w:ilvl="0">
      <w:start w:val="46"/>
      <w:numFmt w:val="bullet"/>
      <w:lvlText w:val=""/>
      <w:lvlJc w:val="left"/>
      <w:pPr>
        <w:tabs>
          <w:tab w:val="num" w:pos="502"/>
        </w:tabs>
        <w:ind w:left="-28" w:firstLine="170"/>
      </w:pPr>
      <w:rPr>
        <w:rFonts w:ascii="Wingdings" w:hAnsi="Wingdings" w:hint="default"/>
        <w:sz w:val="26"/>
        <w:szCs w:val="26"/>
      </w:rPr>
    </w:lvl>
  </w:abstractNum>
  <w:abstractNum w:abstractNumId="29" w15:restartNumberingAfterBreak="0">
    <w:nsid w:val="65831CC8"/>
    <w:multiLevelType w:val="hybridMultilevel"/>
    <w:tmpl w:val="D990F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ED0B16"/>
    <w:multiLevelType w:val="hybridMultilevel"/>
    <w:tmpl w:val="44CCC708"/>
    <w:lvl w:ilvl="0" w:tplc="FD4CD2A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693E4F81"/>
    <w:multiLevelType w:val="hybridMultilevel"/>
    <w:tmpl w:val="D2C08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6D4DE3"/>
    <w:multiLevelType w:val="hybridMultilevel"/>
    <w:tmpl w:val="E794D310"/>
    <w:lvl w:ilvl="0" w:tplc="35F8FC26">
      <w:start w:val="6"/>
      <w:numFmt w:val="bullet"/>
      <w:lvlText w:val=""/>
      <w:lvlJc w:val="left"/>
      <w:pPr>
        <w:ind w:left="644" w:hanging="360"/>
      </w:pPr>
      <w:rPr>
        <w:rFonts w:ascii="Symbol" w:eastAsia="Times New Roman" w:hAnsi="Symbol" w:cs="Times New Roman"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3" w15:restartNumberingAfterBreak="0">
    <w:nsid w:val="6C2E00EB"/>
    <w:multiLevelType w:val="hybridMultilevel"/>
    <w:tmpl w:val="7B9A46EC"/>
    <w:lvl w:ilvl="0" w:tplc="76FAC148">
      <w:start w:val="1"/>
      <w:numFmt w:val="lowerLetter"/>
      <w:lvlText w:val="%1)"/>
      <w:lvlJc w:val="left"/>
      <w:pPr>
        <w:ind w:left="644" w:hanging="360"/>
      </w:pPr>
      <w:rPr>
        <w:rFonts w:cs="Times New Roman"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15:restartNumberingAfterBreak="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70913F85"/>
    <w:multiLevelType w:val="hybridMultilevel"/>
    <w:tmpl w:val="46F0CD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2910DB"/>
    <w:multiLevelType w:val="hybridMultilevel"/>
    <w:tmpl w:val="34E0F324"/>
    <w:lvl w:ilvl="0" w:tplc="25B057BC">
      <w:start w:val="3"/>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733515EB"/>
    <w:multiLevelType w:val="hybridMultilevel"/>
    <w:tmpl w:val="3B826CBA"/>
    <w:lvl w:ilvl="0" w:tplc="F90A7608">
      <w:start w:val="2"/>
      <w:numFmt w:val="bullet"/>
      <w:lvlText w:val="-"/>
      <w:lvlJc w:val="left"/>
      <w:pPr>
        <w:ind w:left="502" w:hanging="360"/>
      </w:pPr>
      <w:rPr>
        <w:rFonts w:ascii="Times New Roman" w:eastAsia="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8" w15:restartNumberingAfterBreak="0">
    <w:nsid w:val="73694E40"/>
    <w:multiLevelType w:val="hybridMultilevel"/>
    <w:tmpl w:val="9C8C4898"/>
    <w:lvl w:ilvl="0" w:tplc="F90A7608">
      <w:start w:val="2"/>
      <w:numFmt w:val="bullet"/>
      <w:lvlText w:val="-"/>
      <w:lvlJc w:val="left"/>
      <w:pPr>
        <w:ind w:left="502" w:hanging="360"/>
      </w:pPr>
      <w:rPr>
        <w:rFonts w:ascii="Times New Roman" w:eastAsia="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9" w15:restartNumberingAfterBreak="0">
    <w:nsid w:val="758F4846"/>
    <w:multiLevelType w:val="hybridMultilevel"/>
    <w:tmpl w:val="BFDAA4A0"/>
    <w:lvl w:ilvl="0" w:tplc="F90A7608">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0" w15:restartNumberingAfterBreak="0">
    <w:nsid w:val="79CE1A37"/>
    <w:multiLevelType w:val="hybridMultilevel"/>
    <w:tmpl w:val="FE32666E"/>
    <w:lvl w:ilvl="0" w:tplc="129C3218">
      <w:start w:val="1"/>
      <w:numFmt w:val="lowerLetter"/>
      <w:lvlText w:val="%1)"/>
      <w:lvlJc w:val="left"/>
      <w:pPr>
        <w:ind w:left="644" w:hanging="360"/>
      </w:pPr>
      <w:rPr>
        <w:rFonts w:ascii="Times New Roman" w:eastAsia="Times New Roman" w:hAnsi="Times New Roman" w:cs="Arial"/>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1" w15:restartNumberingAfterBreak="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16cid:durableId="1134062472">
    <w:abstractNumId w:val="41"/>
  </w:num>
  <w:num w:numId="2" w16cid:durableId="681980284">
    <w:abstractNumId w:val="28"/>
  </w:num>
  <w:num w:numId="3" w16cid:durableId="860511439">
    <w:abstractNumId w:val="4"/>
  </w:num>
  <w:num w:numId="4" w16cid:durableId="92019950">
    <w:abstractNumId w:val="21"/>
  </w:num>
  <w:num w:numId="5" w16cid:durableId="443967936">
    <w:abstractNumId w:val="34"/>
  </w:num>
  <w:num w:numId="6" w16cid:durableId="1214001287">
    <w:abstractNumId w:val="4"/>
  </w:num>
  <w:num w:numId="7" w16cid:durableId="1981885778">
    <w:abstractNumId w:val="4"/>
  </w:num>
  <w:num w:numId="8" w16cid:durableId="136728797">
    <w:abstractNumId w:val="4"/>
  </w:num>
  <w:num w:numId="9" w16cid:durableId="408814118">
    <w:abstractNumId w:val="32"/>
  </w:num>
  <w:num w:numId="10" w16cid:durableId="686250131">
    <w:abstractNumId w:val="25"/>
  </w:num>
  <w:num w:numId="11" w16cid:durableId="1178157392">
    <w:abstractNumId w:val="7"/>
  </w:num>
  <w:num w:numId="12" w16cid:durableId="1732263767">
    <w:abstractNumId w:val="18"/>
  </w:num>
  <w:num w:numId="13" w16cid:durableId="48962970">
    <w:abstractNumId w:val="31"/>
  </w:num>
  <w:num w:numId="14" w16cid:durableId="2079865250">
    <w:abstractNumId w:val="33"/>
  </w:num>
  <w:num w:numId="15" w16cid:durableId="946618015">
    <w:abstractNumId w:val="22"/>
  </w:num>
  <w:num w:numId="16" w16cid:durableId="1459714127">
    <w:abstractNumId w:val="2"/>
  </w:num>
  <w:num w:numId="17" w16cid:durableId="1816683654">
    <w:abstractNumId w:val="11"/>
  </w:num>
  <w:num w:numId="18" w16cid:durableId="2070493880">
    <w:abstractNumId w:val="14"/>
  </w:num>
  <w:num w:numId="19" w16cid:durableId="259142424">
    <w:abstractNumId w:val="39"/>
  </w:num>
  <w:num w:numId="20" w16cid:durableId="1091967139">
    <w:abstractNumId w:val="20"/>
  </w:num>
  <w:num w:numId="21" w16cid:durableId="1497069706">
    <w:abstractNumId w:val="16"/>
  </w:num>
  <w:num w:numId="22" w16cid:durableId="970941113">
    <w:abstractNumId w:val="24"/>
  </w:num>
  <w:num w:numId="23" w16cid:durableId="831145681">
    <w:abstractNumId w:val="26"/>
  </w:num>
  <w:num w:numId="24" w16cid:durableId="255091692">
    <w:abstractNumId w:val="35"/>
  </w:num>
  <w:num w:numId="25" w16cid:durableId="696582442">
    <w:abstractNumId w:val="8"/>
  </w:num>
  <w:num w:numId="26" w16cid:durableId="303705509">
    <w:abstractNumId w:val="3"/>
  </w:num>
  <w:num w:numId="27" w16cid:durableId="1743676029">
    <w:abstractNumId w:val="30"/>
  </w:num>
  <w:num w:numId="28" w16cid:durableId="25105121">
    <w:abstractNumId w:val="1"/>
  </w:num>
  <w:num w:numId="29" w16cid:durableId="1414206168">
    <w:abstractNumId w:val="40"/>
  </w:num>
  <w:num w:numId="30" w16cid:durableId="153420566">
    <w:abstractNumId w:val="9"/>
  </w:num>
  <w:num w:numId="31" w16cid:durableId="1901399382">
    <w:abstractNumId w:val="15"/>
  </w:num>
  <w:num w:numId="32" w16cid:durableId="1625775158">
    <w:abstractNumId w:val="10"/>
  </w:num>
  <w:num w:numId="33" w16cid:durableId="1772780532">
    <w:abstractNumId w:val="29"/>
  </w:num>
  <w:num w:numId="34" w16cid:durableId="408576022">
    <w:abstractNumId w:val="23"/>
  </w:num>
  <w:num w:numId="35" w16cid:durableId="390081916">
    <w:abstractNumId w:val="13"/>
  </w:num>
  <w:num w:numId="36" w16cid:durableId="1423063500">
    <w:abstractNumId w:val="19"/>
  </w:num>
  <w:num w:numId="37" w16cid:durableId="2041468349">
    <w:abstractNumId w:val="6"/>
  </w:num>
  <w:num w:numId="38" w16cid:durableId="451556136">
    <w:abstractNumId w:val="12"/>
  </w:num>
  <w:num w:numId="39" w16cid:durableId="994844930">
    <w:abstractNumId w:val="17"/>
  </w:num>
  <w:num w:numId="40" w16cid:durableId="12464319">
    <w:abstractNumId w:val="38"/>
  </w:num>
  <w:num w:numId="41" w16cid:durableId="1688824598">
    <w:abstractNumId w:val="37"/>
  </w:num>
  <w:num w:numId="42" w16cid:durableId="824976244">
    <w:abstractNumId w:val="27"/>
  </w:num>
  <w:num w:numId="43" w16cid:durableId="1944679205">
    <w:abstractNumId w:val="5"/>
  </w:num>
  <w:num w:numId="44" w16cid:durableId="764957976">
    <w:abstractNumId w:val="0"/>
  </w:num>
  <w:num w:numId="45" w16cid:durableId="158656971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92"/>
    <w:rsid w:val="000019D8"/>
    <w:rsid w:val="000023DA"/>
    <w:rsid w:val="00006736"/>
    <w:rsid w:val="00006898"/>
    <w:rsid w:val="00006A97"/>
    <w:rsid w:val="0001123B"/>
    <w:rsid w:val="00011983"/>
    <w:rsid w:val="00012340"/>
    <w:rsid w:val="00012A7F"/>
    <w:rsid w:val="00017A3A"/>
    <w:rsid w:val="000241B0"/>
    <w:rsid w:val="00031019"/>
    <w:rsid w:val="00036E42"/>
    <w:rsid w:val="0004373B"/>
    <w:rsid w:val="000448FA"/>
    <w:rsid w:val="00047EBC"/>
    <w:rsid w:val="0005127C"/>
    <w:rsid w:val="00053A42"/>
    <w:rsid w:val="0005426F"/>
    <w:rsid w:val="0005517D"/>
    <w:rsid w:val="0006133D"/>
    <w:rsid w:val="00063585"/>
    <w:rsid w:val="000656B1"/>
    <w:rsid w:val="00071CD0"/>
    <w:rsid w:val="00075677"/>
    <w:rsid w:val="00075692"/>
    <w:rsid w:val="00080130"/>
    <w:rsid w:val="0008070B"/>
    <w:rsid w:val="000824C9"/>
    <w:rsid w:val="000849B0"/>
    <w:rsid w:val="00087B8D"/>
    <w:rsid w:val="00092833"/>
    <w:rsid w:val="00093D67"/>
    <w:rsid w:val="00093E60"/>
    <w:rsid w:val="00094FC1"/>
    <w:rsid w:val="000A0C64"/>
    <w:rsid w:val="000A18B7"/>
    <w:rsid w:val="000A2C1E"/>
    <w:rsid w:val="000A4697"/>
    <w:rsid w:val="000B2728"/>
    <w:rsid w:val="000B3943"/>
    <w:rsid w:val="000B4477"/>
    <w:rsid w:val="000C0704"/>
    <w:rsid w:val="000C2B07"/>
    <w:rsid w:val="000C39CC"/>
    <w:rsid w:val="000C7566"/>
    <w:rsid w:val="000D188E"/>
    <w:rsid w:val="000D5335"/>
    <w:rsid w:val="000D7AE1"/>
    <w:rsid w:val="000E6410"/>
    <w:rsid w:val="000E7B86"/>
    <w:rsid w:val="000F2B66"/>
    <w:rsid w:val="000F3D83"/>
    <w:rsid w:val="000F531F"/>
    <w:rsid w:val="000F705E"/>
    <w:rsid w:val="00100F12"/>
    <w:rsid w:val="001017F7"/>
    <w:rsid w:val="00103589"/>
    <w:rsid w:val="001045C9"/>
    <w:rsid w:val="00107CC1"/>
    <w:rsid w:val="001117EE"/>
    <w:rsid w:val="001119EC"/>
    <w:rsid w:val="00111A92"/>
    <w:rsid w:val="001145C3"/>
    <w:rsid w:val="001161D2"/>
    <w:rsid w:val="00121832"/>
    <w:rsid w:val="00121A33"/>
    <w:rsid w:val="0012553E"/>
    <w:rsid w:val="0013128B"/>
    <w:rsid w:val="00131ACA"/>
    <w:rsid w:val="00131DF1"/>
    <w:rsid w:val="00131FE3"/>
    <w:rsid w:val="00132C38"/>
    <w:rsid w:val="00133984"/>
    <w:rsid w:val="001365C4"/>
    <w:rsid w:val="0014147D"/>
    <w:rsid w:val="00141D29"/>
    <w:rsid w:val="0014506A"/>
    <w:rsid w:val="0014728F"/>
    <w:rsid w:val="001508F6"/>
    <w:rsid w:val="001521A2"/>
    <w:rsid w:val="00152358"/>
    <w:rsid w:val="00152EBD"/>
    <w:rsid w:val="00153668"/>
    <w:rsid w:val="00155BFF"/>
    <w:rsid w:val="001571F8"/>
    <w:rsid w:val="00160F66"/>
    <w:rsid w:val="0016319D"/>
    <w:rsid w:val="001633AF"/>
    <w:rsid w:val="00166A6C"/>
    <w:rsid w:val="001728D0"/>
    <w:rsid w:val="00173EDD"/>
    <w:rsid w:val="0017402B"/>
    <w:rsid w:val="00181D37"/>
    <w:rsid w:val="00182673"/>
    <w:rsid w:val="001835B7"/>
    <w:rsid w:val="0018426B"/>
    <w:rsid w:val="00185A37"/>
    <w:rsid w:val="0018767B"/>
    <w:rsid w:val="00190001"/>
    <w:rsid w:val="001933A8"/>
    <w:rsid w:val="00194309"/>
    <w:rsid w:val="001959F2"/>
    <w:rsid w:val="0019660E"/>
    <w:rsid w:val="0019673C"/>
    <w:rsid w:val="001A2508"/>
    <w:rsid w:val="001A6BF8"/>
    <w:rsid w:val="001B392A"/>
    <w:rsid w:val="001B39E2"/>
    <w:rsid w:val="001C123E"/>
    <w:rsid w:val="001C23D4"/>
    <w:rsid w:val="001C2B26"/>
    <w:rsid w:val="001C3A32"/>
    <w:rsid w:val="001D4F09"/>
    <w:rsid w:val="001E3532"/>
    <w:rsid w:val="001E44C9"/>
    <w:rsid w:val="001E5A4C"/>
    <w:rsid w:val="001E6FFD"/>
    <w:rsid w:val="001F0E7F"/>
    <w:rsid w:val="001F1482"/>
    <w:rsid w:val="001F20D7"/>
    <w:rsid w:val="001F7744"/>
    <w:rsid w:val="00200F87"/>
    <w:rsid w:val="002014EB"/>
    <w:rsid w:val="002028CB"/>
    <w:rsid w:val="00202B1A"/>
    <w:rsid w:val="00202D4C"/>
    <w:rsid w:val="00203009"/>
    <w:rsid w:val="00204979"/>
    <w:rsid w:val="00211D69"/>
    <w:rsid w:val="002179DB"/>
    <w:rsid w:val="002216AE"/>
    <w:rsid w:val="00224D7A"/>
    <w:rsid w:val="00227E48"/>
    <w:rsid w:val="00230577"/>
    <w:rsid w:val="0023159D"/>
    <w:rsid w:val="0023170B"/>
    <w:rsid w:val="002317B9"/>
    <w:rsid w:val="0023209D"/>
    <w:rsid w:val="002333F8"/>
    <w:rsid w:val="00233D79"/>
    <w:rsid w:val="00237657"/>
    <w:rsid w:val="00242BA7"/>
    <w:rsid w:val="002437B5"/>
    <w:rsid w:val="00244EF1"/>
    <w:rsid w:val="00246F21"/>
    <w:rsid w:val="00252406"/>
    <w:rsid w:val="00253E78"/>
    <w:rsid w:val="00257C3B"/>
    <w:rsid w:val="0026226F"/>
    <w:rsid w:val="002625D3"/>
    <w:rsid w:val="00262C3C"/>
    <w:rsid w:val="00264C88"/>
    <w:rsid w:val="0026532C"/>
    <w:rsid w:val="0026575D"/>
    <w:rsid w:val="0026690A"/>
    <w:rsid w:val="00267BB3"/>
    <w:rsid w:val="002705B0"/>
    <w:rsid w:val="002717A6"/>
    <w:rsid w:val="00272015"/>
    <w:rsid w:val="00273C10"/>
    <w:rsid w:val="00274B4C"/>
    <w:rsid w:val="00276264"/>
    <w:rsid w:val="00281DCA"/>
    <w:rsid w:val="00284524"/>
    <w:rsid w:val="002865F9"/>
    <w:rsid w:val="00290862"/>
    <w:rsid w:val="00297B04"/>
    <w:rsid w:val="002A056C"/>
    <w:rsid w:val="002A66A5"/>
    <w:rsid w:val="002A6EBB"/>
    <w:rsid w:val="002B0291"/>
    <w:rsid w:val="002B21E9"/>
    <w:rsid w:val="002B2A2F"/>
    <w:rsid w:val="002B2B87"/>
    <w:rsid w:val="002B4E0F"/>
    <w:rsid w:val="002B5754"/>
    <w:rsid w:val="002C00AA"/>
    <w:rsid w:val="002C411C"/>
    <w:rsid w:val="002C69BE"/>
    <w:rsid w:val="002C7026"/>
    <w:rsid w:val="002C7E08"/>
    <w:rsid w:val="002D089F"/>
    <w:rsid w:val="002D239E"/>
    <w:rsid w:val="002D5635"/>
    <w:rsid w:val="002D65E8"/>
    <w:rsid w:val="002D7D32"/>
    <w:rsid w:val="002E02E5"/>
    <w:rsid w:val="002E0478"/>
    <w:rsid w:val="002E0791"/>
    <w:rsid w:val="002E1B92"/>
    <w:rsid w:val="002E248F"/>
    <w:rsid w:val="002E2637"/>
    <w:rsid w:val="002E51DE"/>
    <w:rsid w:val="002E7B81"/>
    <w:rsid w:val="002F09FB"/>
    <w:rsid w:val="002F0FE3"/>
    <w:rsid w:val="002F1AF0"/>
    <w:rsid w:val="002F2530"/>
    <w:rsid w:val="002F272A"/>
    <w:rsid w:val="002F3225"/>
    <w:rsid w:val="002F53B4"/>
    <w:rsid w:val="002F76D6"/>
    <w:rsid w:val="00301429"/>
    <w:rsid w:val="00303506"/>
    <w:rsid w:val="00306157"/>
    <w:rsid w:val="00307057"/>
    <w:rsid w:val="00310EA7"/>
    <w:rsid w:val="00312819"/>
    <w:rsid w:val="00312E9C"/>
    <w:rsid w:val="00313875"/>
    <w:rsid w:val="00316AA9"/>
    <w:rsid w:val="00317422"/>
    <w:rsid w:val="003203BF"/>
    <w:rsid w:val="00321369"/>
    <w:rsid w:val="00330787"/>
    <w:rsid w:val="003372A2"/>
    <w:rsid w:val="00337493"/>
    <w:rsid w:val="00340521"/>
    <w:rsid w:val="0034285F"/>
    <w:rsid w:val="003464A4"/>
    <w:rsid w:val="0035069B"/>
    <w:rsid w:val="00351684"/>
    <w:rsid w:val="00351E0D"/>
    <w:rsid w:val="00352ED1"/>
    <w:rsid w:val="00352FCB"/>
    <w:rsid w:val="00354458"/>
    <w:rsid w:val="00363653"/>
    <w:rsid w:val="0036509D"/>
    <w:rsid w:val="0037083A"/>
    <w:rsid w:val="0037228C"/>
    <w:rsid w:val="003738FD"/>
    <w:rsid w:val="003739CB"/>
    <w:rsid w:val="003810BE"/>
    <w:rsid w:val="00382D1C"/>
    <w:rsid w:val="00386F6C"/>
    <w:rsid w:val="00387709"/>
    <w:rsid w:val="00387794"/>
    <w:rsid w:val="003940D7"/>
    <w:rsid w:val="00397162"/>
    <w:rsid w:val="003A335E"/>
    <w:rsid w:val="003A3A86"/>
    <w:rsid w:val="003A3DD2"/>
    <w:rsid w:val="003B1916"/>
    <w:rsid w:val="003B3573"/>
    <w:rsid w:val="003B5813"/>
    <w:rsid w:val="003C03EA"/>
    <w:rsid w:val="003C0486"/>
    <w:rsid w:val="003C196B"/>
    <w:rsid w:val="003C40F0"/>
    <w:rsid w:val="003C6E1D"/>
    <w:rsid w:val="003D058C"/>
    <w:rsid w:val="003D154B"/>
    <w:rsid w:val="003D644A"/>
    <w:rsid w:val="003D7066"/>
    <w:rsid w:val="003D76B1"/>
    <w:rsid w:val="003E17A6"/>
    <w:rsid w:val="003E4AA5"/>
    <w:rsid w:val="003E6CD5"/>
    <w:rsid w:val="003F1CEC"/>
    <w:rsid w:val="003F43BF"/>
    <w:rsid w:val="003F4A05"/>
    <w:rsid w:val="003F5464"/>
    <w:rsid w:val="003F6BE4"/>
    <w:rsid w:val="003F7F96"/>
    <w:rsid w:val="00403CF8"/>
    <w:rsid w:val="0040630D"/>
    <w:rsid w:val="00407459"/>
    <w:rsid w:val="0041164D"/>
    <w:rsid w:val="004134E1"/>
    <w:rsid w:val="00414D01"/>
    <w:rsid w:val="004170FE"/>
    <w:rsid w:val="004209E6"/>
    <w:rsid w:val="0042324B"/>
    <w:rsid w:val="004234E8"/>
    <w:rsid w:val="00426805"/>
    <w:rsid w:val="00430150"/>
    <w:rsid w:val="004302F9"/>
    <w:rsid w:val="0043229B"/>
    <w:rsid w:val="00435287"/>
    <w:rsid w:val="00440A22"/>
    <w:rsid w:val="004473F2"/>
    <w:rsid w:val="004526EA"/>
    <w:rsid w:val="004530EA"/>
    <w:rsid w:val="0045550E"/>
    <w:rsid w:val="00455BAC"/>
    <w:rsid w:val="00456456"/>
    <w:rsid w:val="00461F89"/>
    <w:rsid w:val="004620E5"/>
    <w:rsid w:val="00462367"/>
    <w:rsid w:val="0046298C"/>
    <w:rsid w:val="0046490C"/>
    <w:rsid w:val="00470287"/>
    <w:rsid w:val="00470733"/>
    <w:rsid w:val="0047108B"/>
    <w:rsid w:val="00472F6D"/>
    <w:rsid w:val="00474512"/>
    <w:rsid w:val="004750BD"/>
    <w:rsid w:val="004763AD"/>
    <w:rsid w:val="00477C53"/>
    <w:rsid w:val="00477FEC"/>
    <w:rsid w:val="00482C23"/>
    <w:rsid w:val="004845DB"/>
    <w:rsid w:val="00485380"/>
    <w:rsid w:val="0048799F"/>
    <w:rsid w:val="00493D87"/>
    <w:rsid w:val="004950D4"/>
    <w:rsid w:val="00496A73"/>
    <w:rsid w:val="004A0506"/>
    <w:rsid w:val="004A2342"/>
    <w:rsid w:val="004A2F62"/>
    <w:rsid w:val="004B1DB8"/>
    <w:rsid w:val="004B2F01"/>
    <w:rsid w:val="004B4182"/>
    <w:rsid w:val="004B4538"/>
    <w:rsid w:val="004B6FB6"/>
    <w:rsid w:val="004C3423"/>
    <w:rsid w:val="004C571D"/>
    <w:rsid w:val="004D35A2"/>
    <w:rsid w:val="004D5FD1"/>
    <w:rsid w:val="004E56AA"/>
    <w:rsid w:val="004F7778"/>
    <w:rsid w:val="004F7C93"/>
    <w:rsid w:val="005051BB"/>
    <w:rsid w:val="005053B6"/>
    <w:rsid w:val="00506105"/>
    <w:rsid w:val="00507F47"/>
    <w:rsid w:val="005127AD"/>
    <w:rsid w:val="00513162"/>
    <w:rsid w:val="00514797"/>
    <w:rsid w:val="00517A8A"/>
    <w:rsid w:val="00517BA4"/>
    <w:rsid w:val="00525809"/>
    <w:rsid w:val="005258C8"/>
    <w:rsid w:val="00525E07"/>
    <w:rsid w:val="005270CA"/>
    <w:rsid w:val="005323AE"/>
    <w:rsid w:val="0053252A"/>
    <w:rsid w:val="00535130"/>
    <w:rsid w:val="00537302"/>
    <w:rsid w:val="00542846"/>
    <w:rsid w:val="00545491"/>
    <w:rsid w:val="005516FE"/>
    <w:rsid w:val="0055223F"/>
    <w:rsid w:val="00553580"/>
    <w:rsid w:val="00554434"/>
    <w:rsid w:val="00555509"/>
    <w:rsid w:val="00560B22"/>
    <w:rsid w:val="00561C5B"/>
    <w:rsid w:val="00564F2D"/>
    <w:rsid w:val="00566CDA"/>
    <w:rsid w:val="0056727E"/>
    <w:rsid w:val="00567BA6"/>
    <w:rsid w:val="00570033"/>
    <w:rsid w:val="00570147"/>
    <w:rsid w:val="00570671"/>
    <w:rsid w:val="0057307E"/>
    <w:rsid w:val="00573A4C"/>
    <w:rsid w:val="00574B79"/>
    <w:rsid w:val="00574D12"/>
    <w:rsid w:val="005800B4"/>
    <w:rsid w:val="005800E7"/>
    <w:rsid w:val="0058070B"/>
    <w:rsid w:val="00581F93"/>
    <w:rsid w:val="0058296F"/>
    <w:rsid w:val="00584686"/>
    <w:rsid w:val="005855F8"/>
    <w:rsid w:val="00595E80"/>
    <w:rsid w:val="0059650E"/>
    <w:rsid w:val="00596953"/>
    <w:rsid w:val="005A0253"/>
    <w:rsid w:val="005A1648"/>
    <w:rsid w:val="005A6030"/>
    <w:rsid w:val="005B57AD"/>
    <w:rsid w:val="005B722E"/>
    <w:rsid w:val="005C02FE"/>
    <w:rsid w:val="005C0F7F"/>
    <w:rsid w:val="005C50AC"/>
    <w:rsid w:val="005C6406"/>
    <w:rsid w:val="005C6553"/>
    <w:rsid w:val="005C7EE7"/>
    <w:rsid w:val="005D104E"/>
    <w:rsid w:val="005D2202"/>
    <w:rsid w:val="005D27BC"/>
    <w:rsid w:val="005D692D"/>
    <w:rsid w:val="005D69D1"/>
    <w:rsid w:val="005E210D"/>
    <w:rsid w:val="005E65E4"/>
    <w:rsid w:val="005F0990"/>
    <w:rsid w:val="005F1CED"/>
    <w:rsid w:val="005F2425"/>
    <w:rsid w:val="005F5EC7"/>
    <w:rsid w:val="005F7207"/>
    <w:rsid w:val="005F7FCF"/>
    <w:rsid w:val="0060744A"/>
    <w:rsid w:val="00607691"/>
    <w:rsid w:val="0061062C"/>
    <w:rsid w:val="00613183"/>
    <w:rsid w:val="006133F0"/>
    <w:rsid w:val="00615779"/>
    <w:rsid w:val="00615A14"/>
    <w:rsid w:val="00616701"/>
    <w:rsid w:val="00616888"/>
    <w:rsid w:val="00617091"/>
    <w:rsid w:val="0061740E"/>
    <w:rsid w:val="006176BE"/>
    <w:rsid w:val="006212CB"/>
    <w:rsid w:val="0062596E"/>
    <w:rsid w:val="006279F9"/>
    <w:rsid w:val="006369EE"/>
    <w:rsid w:val="00641F82"/>
    <w:rsid w:val="006427A9"/>
    <w:rsid w:val="006435CB"/>
    <w:rsid w:val="00645629"/>
    <w:rsid w:val="0064700E"/>
    <w:rsid w:val="00647072"/>
    <w:rsid w:val="00650183"/>
    <w:rsid w:val="00650677"/>
    <w:rsid w:val="00654997"/>
    <w:rsid w:val="00654A05"/>
    <w:rsid w:val="006639E5"/>
    <w:rsid w:val="0066649C"/>
    <w:rsid w:val="006736A9"/>
    <w:rsid w:val="00673BC7"/>
    <w:rsid w:val="00674975"/>
    <w:rsid w:val="00675D39"/>
    <w:rsid w:val="00677E63"/>
    <w:rsid w:val="0068560B"/>
    <w:rsid w:val="00686E66"/>
    <w:rsid w:val="00693D21"/>
    <w:rsid w:val="006A1277"/>
    <w:rsid w:val="006A2602"/>
    <w:rsid w:val="006A2D41"/>
    <w:rsid w:val="006A67E1"/>
    <w:rsid w:val="006B38EC"/>
    <w:rsid w:val="006C15C7"/>
    <w:rsid w:val="006C36FB"/>
    <w:rsid w:val="006C3898"/>
    <w:rsid w:val="006C7384"/>
    <w:rsid w:val="006C7D62"/>
    <w:rsid w:val="006D0B23"/>
    <w:rsid w:val="006D2ED6"/>
    <w:rsid w:val="006D41E9"/>
    <w:rsid w:val="006D4233"/>
    <w:rsid w:val="006D5685"/>
    <w:rsid w:val="006E0D60"/>
    <w:rsid w:val="006E1987"/>
    <w:rsid w:val="006E19AB"/>
    <w:rsid w:val="006E23B2"/>
    <w:rsid w:val="006E397F"/>
    <w:rsid w:val="006E5207"/>
    <w:rsid w:val="006F11C1"/>
    <w:rsid w:val="006F5C70"/>
    <w:rsid w:val="006F6A20"/>
    <w:rsid w:val="0070064C"/>
    <w:rsid w:val="00703528"/>
    <w:rsid w:val="007047B2"/>
    <w:rsid w:val="00704DE7"/>
    <w:rsid w:val="00705AC8"/>
    <w:rsid w:val="00706868"/>
    <w:rsid w:val="007078B8"/>
    <w:rsid w:val="00715E32"/>
    <w:rsid w:val="007162D1"/>
    <w:rsid w:val="00716463"/>
    <w:rsid w:val="0071706E"/>
    <w:rsid w:val="00725269"/>
    <w:rsid w:val="00727292"/>
    <w:rsid w:val="007407B6"/>
    <w:rsid w:val="00742F6A"/>
    <w:rsid w:val="007446E8"/>
    <w:rsid w:val="0074532A"/>
    <w:rsid w:val="00751553"/>
    <w:rsid w:val="0075165E"/>
    <w:rsid w:val="00754534"/>
    <w:rsid w:val="00754803"/>
    <w:rsid w:val="00754E10"/>
    <w:rsid w:val="00762A29"/>
    <w:rsid w:val="0076327D"/>
    <w:rsid w:val="00767745"/>
    <w:rsid w:val="007677FF"/>
    <w:rsid w:val="007707FC"/>
    <w:rsid w:val="00770BE3"/>
    <w:rsid w:val="0077177A"/>
    <w:rsid w:val="007728A8"/>
    <w:rsid w:val="00781C15"/>
    <w:rsid w:val="00785A76"/>
    <w:rsid w:val="00787852"/>
    <w:rsid w:val="007915BC"/>
    <w:rsid w:val="00792974"/>
    <w:rsid w:val="00793E57"/>
    <w:rsid w:val="007967FA"/>
    <w:rsid w:val="0079721A"/>
    <w:rsid w:val="00797E7A"/>
    <w:rsid w:val="007A0EA6"/>
    <w:rsid w:val="007A2D9E"/>
    <w:rsid w:val="007A3308"/>
    <w:rsid w:val="007B0381"/>
    <w:rsid w:val="007B0F3D"/>
    <w:rsid w:val="007B148D"/>
    <w:rsid w:val="007B18C8"/>
    <w:rsid w:val="007B28DE"/>
    <w:rsid w:val="007B3FF6"/>
    <w:rsid w:val="007B7A5F"/>
    <w:rsid w:val="007B7C2B"/>
    <w:rsid w:val="007B7C7B"/>
    <w:rsid w:val="007C36BE"/>
    <w:rsid w:val="007C4DC7"/>
    <w:rsid w:val="007C4E17"/>
    <w:rsid w:val="007D22DE"/>
    <w:rsid w:val="007D53ED"/>
    <w:rsid w:val="007D6001"/>
    <w:rsid w:val="007D7F94"/>
    <w:rsid w:val="007E1B76"/>
    <w:rsid w:val="007E219A"/>
    <w:rsid w:val="007E37BF"/>
    <w:rsid w:val="007E55E1"/>
    <w:rsid w:val="007E5CC4"/>
    <w:rsid w:val="007E6593"/>
    <w:rsid w:val="007F1101"/>
    <w:rsid w:val="007F2CB1"/>
    <w:rsid w:val="00801F97"/>
    <w:rsid w:val="00803D20"/>
    <w:rsid w:val="00807992"/>
    <w:rsid w:val="008112A0"/>
    <w:rsid w:val="0081696D"/>
    <w:rsid w:val="00816E01"/>
    <w:rsid w:val="008173D0"/>
    <w:rsid w:val="008200A8"/>
    <w:rsid w:val="00820288"/>
    <w:rsid w:val="00820B96"/>
    <w:rsid w:val="00822784"/>
    <w:rsid w:val="00823235"/>
    <w:rsid w:val="00823774"/>
    <w:rsid w:val="008249F1"/>
    <w:rsid w:val="00824AF2"/>
    <w:rsid w:val="00826657"/>
    <w:rsid w:val="00826686"/>
    <w:rsid w:val="008309D8"/>
    <w:rsid w:val="00835563"/>
    <w:rsid w:val="00836511"/>
    <w:rsid w:val="00836B02"/>
    <w:rsid w:val="00836EC6"/>
    <w:rsid w:val="0083741E"/>
    <w:rsid w:val="008374FF"/>
    <w:rsid w:val="00837985"/>
    <w:rsid w:val="00840E3D"/>
    <w:rsid w:val="00841D8C"/>
    <w:rsid w:val="00842220"/>
    <w:rsid w:val="00844111"/>
    <w:rsid w:val="00844F74"/>
    <w:rsid w:val="00846382"/>
    <w:rsid w:val="00846674"/>
    <w:rsid w:val="00846CB3"/>
    <w:rsid w:val="00850F57"/>
    <w:rsid w:val="008536C2"/>
    <w:rsid w:val="008600C7"/>
    <w:rsid w:val="008617D0"/>
    <w:rsid w:val="00861A60"/>
    <w:rsid w:val="00862357"/>
    <w:rsid w:val="00862D02"/>
    <w:rsid w:val="008637B9"/>
    <w:rsid w:val="00864194"/>
    <w:rsid w:val="00870399"/>
    <w:rsid w:val="00870C9B"/>
    <w:rsid w:val="008711EC"/>
    <w:rsid w:val="008718FE"/>
    <w:rsid w:val="00872946"/>
    <w:rsid w:val="00883928"/>
    <w:rsid w:val="00883DDE"/>
    <w:rsid w:val="00887FF5"/>
    <w:rsid w:val="00891D73"/>
    <w:rsid w:val="00892A44"/>
    <w:rsid w:val="008941BF"/>
    <w:rsid w:val="008A2DE8"/>
    <w:rsid w:val="008A312D"/>
    <w:rsid w:val="008A3E09"/>
    <w:rsid w:val="008A3E57"/>
    <w:rsid w:val="008A77A7"/>
    <w:rsid w:val="008B21BB"/>
    <w:rsid w:val="008B3F34"/>
    <w:rsid w:val="008B54FA"/>
    <w:rsid w:val="008C56B9"/>
    <w:rsid w:val="008D05E0"/>
    <w:rsid w:val="008D2600"/>
    <w:rsid w:val="008D7712"/>
    <w:rsid w:val="008E0AC0"/>
    <w:rsid w:val="008E221A"/>
    <w:rsid w:val="008E2272"/>
    <w:rsid w:val="008E3FFE"/>
    <w:rsid w:val="008E60BE"/>
    <w:rsid w:val="008E63C4"/>
    <w:rsid w:val="008E6B74"/>
    <w:rsid w:val="008F08F1"/>
    <w:rsid w:val="008F0FAF"/>
    <w:rsid w:val="008F26DB"/>
    <w:rsid w:val="008F46CD"/>
    <w:rsid w:val="008F6480"/>
    <w:rsid w:val="008F663D"/>
    <w:rsid w:val="008F7740"/>
    <w:rsid w:val="00900CA2"/>
    <w:rsid w:val="00902CA7"/>
    <w:rsid w:val="00903653"/>
    <w:rsid w:val="00907CF4"/>
    <w:rsid w:val="00910A52"/>
    <w:rsid w:val="00911479"/>
    <w:rsid w:val="0091484D"/>
    <w:rsid w:val="00921D35"/>
    <w:rsid w:val="00925E71"/>
    <w:rsid w:val="009302BE"/>
    <w:rsid w:val="0093329F"/>
    <w:rsid w:val="00937043"/>
    <w:rsid w:val="00942A7B"/>
    <w:rsid w:val="009445D3"/>
    <w:rsid w:val="00946026"/>
    <w:rsid w:val="00946618"/>
    <w:rsid w:val="00953715"/>
    <w:rsid w:val="00953842"/>
    <w:rsid w:val="00954EC2"/>
    <w:rsid w:val="00955658"/>
    <w:rsid w:val="00955A8A"/>
    <w:rsid w:val="00962B2B"/>
    <w:rsid w:val="0096400D"/>
    <w:rsid w:val="00966600"/>
    <w:rsid w:val="0096692C"/>
    <w:rsid w:val="009671D9"/>
    <w:rsid w:val="00967F90"/>
    <w:rsid w:val="00971352"/>
    <w:rsid w:val="00974B96"/>
    <w:rsid w:val="00975E5B"/>
    <w:rsid w:val="00976AEA"/>
    <w:rsid w:val="00977C8F"/>
    <w:rsid w:val="00977F94"/>
    <w:rsid w:val="00983068"/>
    <w:rsid w:val="009838F0"/>
    <w:rsid w:val="009863E9"/>
    <w:rsid w:val="00992BD0"/>
    <w:rsid w:val="00992E20"/>
    <w:rsid w:val="009936FC"/>
    <w:rsid w:val="00993925"/>
    <w:rsid w:val="00993977"/>
    <w:rsid w:val="00995A09"/>
    <w:rsid w:val="009A05D1"/>
    <w:rsid w:val="009A28AC"/>
    <w:rsid w:val="009A3A5B"/>
    <w:rsid w:val="009A3F2A"/>
    <w:rsid w:val="009B2AAC"/>
    <w:rsid w:val="009B3521"/>
    <w:rsid w:val="009B541C"/>
    <w:rsid w:val="009B70C9"/>
    <w:rsid w:val="009B7CE6"/>
    <w:rsid w:val="009C0A0F"/>
    <w:rsid w:val="009C4460"/>
    <w:rsid w:val="009C568C"/>
    <w:rsid w:val="009D18BF"/>
    <w:rsid w:val="009D7192"/>
    <w:rsid w:val="009E0E38"/>
    <w:rsid w:val="009E1A35"/>
    <w:rsid w:val="009E387A"/>
    <w:rsid w:val="009F09AA"/>
    <w:rsid w:val="009F1EC2"/>
    <w:rsid w:val="009F2C16"/>
    <w:rsid w:val="009F2C1B"/>
    <w:rsid w:val="009F335C"/>
    <w:rsid w:val="009F4A8C"/>
    <w:rsid w:val="009F755D"/>
    <w:rsid w:val="00A002B5"/>
    <w:rsid w:val="00A017FE"/>
    <w:rsid w:val="00A02170"/>
    <w:rsid w:val="00A0260C"/>
    <w:rsid w:val="00A035FA"/>
    <w:rsid w:val="00A041B5"/>
    <w:rsid w:val="00A04F8C"/>
    <w:rsid w:val="00A05158"/>
    <w:rsid w:val="00A05EF4"/>
    <w:rsid w:val="00A07B80"/>
    <w:rsid w:val="00A07F13"/>
    <w:rsid w:val="00A13BF5"/>
    <w:rsid w:val="00A14837"/>
    <w:rsid w:val="00A21F7F"/>
    <w:rsid w:val="00A220F1"/>
    <w:rsid w:val="00A225E3"/>
    <w:rsid w:val="00A23A26"/>
    <w:rsid w:val="00A24A8F"/>
    <w:rsid w:val="00A25708"/>
    <w:rsid w:val="00A25BF0"/>
    <w:rsid w:val="00A25E5D"/>
    <w:rsid w:val="00A27412"/>
    <w:rsid w:val="00A3026E"/>
    <w:rsid w:val="00A3041D"/>
    <w:rsid w:val="00A41BD9"/>
    <w:rsid w:val="00A446B9"/>
    <w:rsid w:val="00A44D56"/>
    <w:rsid w:val="00A4576A"/>
    <w:rsid w:val="00A45AD0"/>
    <w:rsid w:val="00A45EE9"/>
    <w:rsid w:val="00A52BC3"/>
    <w:rsid w:val="00A53C14"/>
    <w:rsid w:val="00A54E24"/>
    <w:rsid w:val="00A55B2E"/>
    <w:rsid w:val="00A605E7"/>
    <w:rsid w:val="00A61410"/>
    <w:rsid w:val="00A6198A"/>
    <w:rsid w:val="00A65108"/>
    <w:rsid w:val="00A7067F"/>
    <w:rsid w:val="00A707A7"/>
    <w:rsid w:val="00A718FD"/>
    <w:rsid w:val="00A72341"/>
    <w:rsid w:val="00A72BE3"/>
    <w:rsid w:val="00A776ED"/>
    <w:rsid w:val="00A80E50"/>
    <w:rsid w:val="00A8137F"/>
    <w:rsid w:val="00A83663"/>
    <w:rsid w:val="00A83AB3"/>
    <w:rsid w:val="00A83B0F"/>
    <w:rsid w:val="00A84216"/>
    <w:rsid w:val="00A90BFA"/>
    <w:rsid w:val="00A92BF3"/>
    <w:rsid w:val="00A943C8"/>
    <w:rsid w:val="00A950A4"/>
    <w:rsid w:val="00A9520D"/>
    <w:rsid w:val="00A96750"/>
    <w:rsid w:val="00A9747D"/>
    <w:rsid w:val="00AA00A6"/>
    <w:rsid w:val="00AA2AB2"/>
    <w:rsid w:val="00AA6BA8"/>
    <w:rsid w:val="00AA6E2E"/>
    <w:rsid w:val="00AA7F5A"/>
    <w:rsid w:val="00AB2340"/>
    <w:rsid w:val="00AB5FE4"/>
    <w:rsid w:val="00AB659D"/>
    <w:rsid w:val="00AC0DE8"/>
    <w:rsid w:val="00AC229F"/>
    <w:rsid w:val="00AC2D8E"/>
    <w:rsid w:val="00AD523C"/>
    <w:rsid w:val="00AD7671"/>
    <w:rsid w:val="00AD7C94"/>
    <w:rsid w:val="00AE53E8"/>
    <w:rsid w:val="00AE6D0A"/>
    <w:rsid w:val="00AE6FE4"/>
    <w:rsid w:val="00AF2059"/>
    <w:rsid w:val="00AF3D84"/>
    <w:rsid w:val="00AF4161"/>
    <w:rsid w:val="00AF580B"/>
    <w:rsid w:val="00B007C8"/>
    <w:rsid w:val="00B040A7"/>
    <w:rsid w:val="00B110F7"/>
    <w:rsid w:val="00B14410"/>
    <w:rsid w:val="00B15A9E"/>
    <w:rsid w:val="00B15E61"/>
    <w:rsid w:val="00B173C6"/>
    <w:rsid w:val="00B24F35"/>
    <w:rsid w:val="00B32C88"/>
    <w:rsid w:val="00B33F18"/>
    <w:rsid w:val="00B34747"/>
    <w:rsid w:val="00B41316"/>
    <w:rsid w:val="00B41713"/>
    <w:rsid w:val="00B42E49"/>
    <w:rsid w:val="00B50903"/>
    <w:rsid w:val="00B62FFE"/>
    <w:rsid w:val="00B65013"/>
    <w:rsid w:val="00B65762"/>
    <w:rsid w:val="00B7123A"/>
    <w:rsid w:val="00B7392B"/>
    <w:rsid w:val="00B7435C"/>
    <w:rsid w:val="00B76F38"/>
    <w:rsid w:val="00B8085D"/>
    <w:rsid w:val="00B8190E"/>
    <w:rsid w:val="00B81EFF"/>
    <w:rsid w:val="00B836BB"/>
    <w:rsid w:val="00B84122"/>
    <w:rsid w:val="00B8428A"/>
    <w:rsid w:val="00B862B0"/>
    <w:rsid w:val="00BA2B7C"/>
    <w:rsid w:val="00BB0491"/>
    <w:rsid w:val="00BB0FB2"/>
    <w:rsid w:val="00BB142A"/>
    <w:rsid w:val="00BB34B9"/>
    <w:rsid w:val="00BB35C2"/>
    <w:rsid w:val="00BB553B"/>
    <w:rsid w:val="00BC28D7"/>
    <w:rsid w:val="00BC376C"/>
    <w:rsid w:val="00BC6321"/>
    <w:rsid w:val="00BC7817"/>
    <w:rsid w:val="00BC7A19"/>
    <w:rsid w:val="00BD3819"/>
    <w:rsid w:val="00BD642D"/>
    <w:rsid w:val="00BD6988"/>
    <w:rsid w:val="00BD7D48"/>
    <w:rsid w:val="00BE1093"/>
    <w:rsid w:val="00BE13E1"/>
    <w:rsid w:val="00BE1A77"/>
    <w:rsid w:val="00BE290A"/>
    <w:rsid w:val="00BE4742"/>
    <w:rsid w:val="00BE7383"/>
    <w:rsid w:val="00BE754D"/>
    <w:rsid w:val="00BF1DB9"/>
    <w:rsid w:val="00BF48C6"/>
    <w:rsid w:val="00BF6D10"/>
    <w:rsid w:val="00BF6E79"/>
    <w:rsid w:val="00BF76EE"/>
    <w:rsid w:val="00C03F6C"/>
    <w:rsid w:val="00C1204F"/>
    <w:rsid w:val="00C12108"/>
    <w:rsid w:val="00C121D9"/>
    <w:rsid w:val="00C13453"/>
    <w:rsid w:val="00C16331"/>
    <w:rsid w:val="00C220F9"/>
    <w:rsid w:val="00C2541C"/>
    <w:rsid w:val="00C26216"/>
    <w:rsid w:val="00C26862"/>
    <w:rsid w:val="00C30458"/>
    <w:rsid w:val="00C31DA6"/>
    <w:rsid w:val="00C33260"/>
    <w:rsid w:val="00C43434"/>
    <w:rsid w:val="00C4387E"/>
    <w:rsid w:val="00C4598F"/>
    <w:rsid w:val="00C50360"/>
    <w:rsid w:val="00C507FE"/>
    <w:rsid w:val="00C54E12"/>
    <w:rsid w:val="00C55468"/>
    <w:rsid w:val="00C56577"/>
    <w:rsid w:val="00C622C3"/>
    <w:rsid w:val="00C63BD5"/>
    <w:rsid w:val="00C717BE"/>
    <w:rsid w:val="00C71963"/>
    <w:rsid w:val="00C74906"/>
    <w:rsid w:val="00C75DF0"/>
    <w:rsid w:val="00C81B40"/>
    <w:rsid w:val="00C81FEA"/>
    <w:rsid w:val="00C83969"/>
    <w:rsid w:val="00C83D8D"/>
    <w:rsid w:val="00C86C95"/>
    <w:rsid w:val="00CA05EB"/>
    <w:rsid w:val="00CA3515"/>
    <w:rsid w:val="00CA3A05"/>
    <w:rsid w:val="00CA4EB0"/>
    <w:rsid w:val="00CA5DFB"/>
    <w:rsid w:val="00CB14E9"/>
    <w:rsid w:val="00CB6D90"/>
    <w:rsid w:val="00CB72C3"/>
    <w:rsid w:val="00CC16B1"/>
    <w:rsid w:val="00CC45C6"/>
    <w:rsid w:val="00CC45E4"/>
    <w:rsid w:val="00CC6442"/>
    <w:rsid w:val="00CD019F"/>
    <w:rsid w:val="00CD1CC6"/>
    <w:rsid w:val="00CD27C5"/>
    <w:rsid w:val="00CE2211"/>
    <w:rsid w:val="00CE26B4"/>
    <w:rsid w:val="00CE4169"/>
    <w:rsid w:val="00CE7894"/>
    <w:rsid w:val="00CF06A1"/>
    <w:rsid w:val="00CF08F5"/>
    <w:rsid w:val="00CF1467"/>
    <w:rsid w:val="00CF2CBA"/>
    <w:rsid w:val="00CF48D6"/>
    <w:rsid w:val="00CF57D6"/>
    <w:rsid w:val="00CF62A2"/>
    <w:rsid w:val="00CF6C1B"/>
    <w:rsid w:val="00CF6E37"/>
    <w:rsid w:val="00D019D5"/>
    <w:rsid w:val="00D024C0"/>
    <w:rsid w:val="00D040FE"/>
    <w:rsid w:val="00D10F03"/>
    <w:rsid w:val="00D110DC"/>
    <w:rsid w:val="00D164A2"/>
    <w:rsid w:val="00D168FD"/>
    <w:rsid w:val="00D16F64"/>
    <w:rsid w:val="00D2472C"/>
    <w:rsid w:val="00D25103"/>
    <w:rsid w:val="00D279BA"/>
    <w:rsid w:val="00D369CB"/>
    <w:rsid w:val="00D404B5"/>
    <w:rsid w:val="00D40F5A"/>
    <w:rsid w:val="00D447CB"/>
    <w:rsid w:val="00D47D16"/>
    <w:rsid w:val="00D505F4"/>
    <w:rsid w:val="00D51CE1"/>
    <w:rsid w:val="00D523E7"/>
    <w:rsid w:val="00D542B5"/>
    <w:rsid w:val="00D562F2"/>
    <w:rsid w:val="00D61B93"/>
    <w:rsid w:val="00D67E4A"/>
    <w:rsid w:val="00D751D4"/>
    <w:rsid w:val="00D763FD"/>
    <w:rsid w:val="00D76FC7"/>
    <w:rsid w:val="00D90AD1"/>
    <w:rsid w:val="00D92287"/>
    <w:rsid w:val="00D93FAD"/>
    <w:rsid w:val="00D941F7"/>
    <w:rsid w:val="00D951F3"/>
    <w:rsid w:val="00DA4DDF"/>
    <w:rsid w:val="00DA675E"/>
    <w:rsid w:val="00DA7B18"/>
    <w:rsid w:val="00DB0804"/>
    <w:rsid w:val="00DB2FC4"/>
    <w:rsid w:val="00DC0354"/>
    <w:rsid w:val="00DC382A"/>
    <w:rsid w:val="00DD71CB"/>
    <w:rsid w:val="00DE1923"/>
    <w:rsid w:val="00DE2B33"/>
    <w:rsid w:val="00DE3CAC"/>
    <w:rsid w:val="00DE638B"/>
    <w:rsid w:val="00DE6E53"/>
    <w:rsid w:val="00DE72EE"/>
    <w:rsid w:val="00DF0BDD"/>
    <w:rsid w:val="00DF37E5"/>
    <w:rsid w:val="00E034FE"/>
    <w:rsid w:val="00E041E5"/>
    <w:rsid w:val="00E04888"/>
    <w:rsid w:val="00E0763B"/>
    <w:rsid w:val="00E10302"/>
    <w:rsid w:val="00E11313"/>
    <w:rsid w:val="00E17EC5"/>
    <w:rsid w:val="00E20F66"/>
    <w:rsid w:val="00E21286"/>
    <w:rsid w:val="00E26BFD"/>
    <w:rsid w:val="00E27E90"/>
    <w:rsid w:val="00E33D02"/>
    <w:rsid w:val="00E34F2C"/>
    <w:rsid w:val="00E35D79"/>
    <w:rsid w:val="00E36872"/>
    <w:rsid w:val="00E4641E"/>
    <w:rsid w:val="00E503E0"/>
    <w:rsid w:val="00E519AE"/>
    <w:rsid w:val="00E57AF7"/>
    <w:rsid w:val="00E6241B"/>
    <w:rsid w:val="00E64FCC"/>
    <w:rsid w:val="00E703B6"/>
    <w:rsid w:val="00E72200"/>
    <w:rsid w:val="00E72B1B"/>
    <w:rsid w:val="00E7521D"/>
    <w:rsid w:val="00E75D47"/>
    <w:rsid w:val="00E766F5"/>
    <w:rsid w:val="00E82948"/>
    <w:rsid w:val="00E90218"/>
    <w:rsid w:val="00E913BB"/>
    <w:rsid w:val="00E93C72"/>
    <w:rsid w:val="00E95F2E"/>
    <w:rsid w:val="00EA1508"/>
    <w:rsid w:val="00EA1541"/>
    <w:rsid w:val="00EA32E4"/>
    <w:rsid w:val="00EA7E36"/>
    <w:rsid w:val="00EB0898"/>
    <w:rsid w:val="00EB3CE2"/>
    <w:rsid w:val="00EB627B"/>
    <w:rsid w:val="00EB6D94"/>
    <w:rsid w:val="00EC4183"/>
    <w:rsid w:val="00EC6468"/>
    <w:rsid w:val="00EC6708"/>
    <w:rsid w:val="00ED207C"/>
    <w:rsid w:val="00ED325A"/>
    <w:rsid w:val="00ED3F41"/>
    <w:rsid w:val="00ED5615"/>
    <w:rsid w:val="00ED692E"/>
    <w:rsid w:val="00ED69AF"/>
    <w:rsid w:val="00EE1618"/>
    <w:rsid w:val="00EE1847"/>
    <w:rsid w:val="00EE240E"/>
    <w:rsid w:val="00EE2FA3"/>
    <w:rsid w:val="00EE3E5C"/>
    <w:rsid w:val="00EE688E"/>
    <w:rsid w:val="00EE6A6D"/>
    <w:rsid w:val="00EF03E2"/>
    <w:rsid w:val="00EF14D2"/>
    <w:rsid w:val="00EF35E0"/>
    <w:rsid w:val="00EF7F8B"/>
    <w:rsid w:val="00F001AB"/>
    <w:rsid w:val="00F02464"/>
    <w:rsid w:val="00F03814"/>
    <w:rsid w:val="00F076A7"/>
    <w:rsid w:val="00F07A09"/>
    <w:rsid w:val="00F112DA"/>
    <w:rsid w:val="00F130EE"/>
    <w:rsid w:val="00F1390C"/>
    <w:rsid w:val="00F13A4E"/>
    <w:rsid w:val="00F14D98"/>
    <w:rsid w:val="00F20C5E"/>
    <w:rsid w:val="00F20E58"/>
    <w:rsid w:val="00F24166"/>
    <w:rsid w:val="00F3351E"/>
    <w:rsid w:val="00F340FE"/>
    <w:rsid w:val="00F36A1D"/>
    <w:rsid w:val="00F376C6"/>
    <w:rsid w:val="00F44278"/>
    <w:rsid w:val="00F513C9"/>
    <w:rsid w:val="00F51B65"/>
    <w:rsid w:val="00F52AAB"/>
    <w:rsid w:val="00F52EB6"/>
    <w:rsid w:val="00F531F5"/>
    <w:rsid w:val="00F55260"/>
    <w:rsid w:val="00F60014"/>
    <w:rsid w:val="00F60A31"/>
    <w:rsid w:val="00F6316B"/>
    <w:rsid w:val="00F65AE0"/>
    <w:rsid w:val="00F665A5"/>
    <w:rsid w:val="00F74E38"/>
    <w:rsid w:val="00F760D7"/>
    <w:rsid w:val="00F76D6F"/>
    <w:rsid w:val="00F778B0"/>
    <w:rsid w:val="00F83BC2"/>
    <w:rsid w:val="00F841C0"/>
    <w:rsid w:val="00F92EC1"/>
    <w:rsid w:val="00F94C47"/>
    <w:rsid w:val="00FA0421"/>
    <w:rsid w:val="00FA3389"/>
    <w:rsid w:val="00FA3476"/>
    <w:rsid w:val="00FA495F"/>
    <w:rsid w:val="00FB0C10"/>
    <w:rsid w:val="00FB3C36"/>
    <w:rsid w:val="00FB4280"/>
    <w:rsid w:val="00FB7CCE"/>
    <w:rsid w:val="00FC01C8"/>
    <w:rsid w:val="00FC5027"/>
    <w:rsid w:val="00FC50C7"/>
    <w:rsid w:val="00FC511D"/>
    <w:rsid w:val="00FC5A29"/>
    <w:rsid w:val="00FC68BC"/>
    <w:rsid w:val="00FC7613"/>
    <w:rsid w:val="00FD11D4"/>
    <w:rsid w:val="00FD225D"/>
    <w:rsid w:val="00FD2384"/>
    <w:rsid w:val="00FE452E"/>
    <w:rsid w:val="00FE5891"/>
    <w:rsid w:val="00FE5D89"/>
    <w:rsid w:val="00FF4275"/>
    <w:rsid w:val="00FF4A4C"/>
    <w:rsid w:val="00FF4C15"/>
    <w:rsid w:val="00FF4DCE"/>
    <w:rsid w:val="00FF7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0F8E1C6F"/>
  <w15:docId w15:val="{4F24D544-806A-46C5-9DCA-B0C39A7D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807992"/>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807992"/>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07992"/>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locked/>
    <w:rsid w:val="00807992"/>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locked/>
    <w:rsid w:val="00807992"/>
    <w:rPr>
      <w:rFonts w:ascii="Arial" w:hAnsi="Arial" w:cs="Arial"/>
      <w:b/>
      <w:bCs/>
      <w:szCs w:val="26"/>
      <w:lang w:val="es-ES_tradnl" w:eastAsia="en-US"/>
    </w:rPr>
  </w:style>
  <w:style w:type="character" w:customStyle="1" w:styleId="Ttulo4Car">
    <w:name w:val="Título 4 Car"/>
    <w:basedOn w:val="Fuentedeprrafopredeter"/>
    <w:link w:val="Ttulo4"/>
    <w:uiPriority w:val="99"/>
    <w:rsid w:val="00807992"/>
    <w:rPr>
      <w:b/>
      <w:bCs/>
      <w:sz w:val="28"/>
      <w:szCs w:val="28"/>
      <w:lang w:val="es-ES_tradnl" w:eastAsia="en-US"/>
    </w:rPr>
  </w:style>
  <w:style w:type="character" w:customStyle="1" w:styleId="Ttulo5Car">
    <w:name w:val="Título 5 Car"/>
    <w:basedOn w:val="Fuentedeprrafopredeter"/>
    <w:link w:val="Ttulo5"/>
    <w:uiPriority w:val="99"/>
    <w:locked/>
    <w:rsid w:val="00807992"/>
    <w:rPr>
      <w:b/>
      <w:sz w:val="28"/>
      <w:lang w:eastAsia="en-US"/>
    </w:rPr>
  </w:style>
  <w:style w:type="character" w:customStyle="1" w:styleId="Ttulo7Car">
    <w:name w:val="Título 7 Car"/>
    <w:basedOn w:val="Fuentedeprrafopredeter"/>
    <w:link w:val="Ttulo7"/>
    <w:uiPriority w:val="99"/>
    <w:rsid w:val="00807992"/>
    <w:rPr>
      <w:sz w:val="52"/>
    </w:rPr>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qFormat/>
    <w:rsid w:val="001D4F09"/>
    <w:rPr>
      <w:spacing w:val="6"/>
      <w:sz w:val="26"/>
      <w:szCs w:val="24"/>
      <w:lang w:val="es-ES_tradnl" w:eastAsia="en-US" w:bidi="ar-SA"/>
    </w:rPr>
  </w:style>
  <w:style w:type="paragraph" w:customStyle="1" w:styleId="recomen">
    <w:name w:val="recomen"/>
    <w:basedOn w:val="texto"/>
    <w:uiPriority w:val="99"/>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character" w:customStyle="1" w:styleId="atitulo1Car">
    <w:name w:val="atitulo1 Car"/>
    <w:basedOn w:val="Fuentedeprrafopredeter"/>
    <w:link w:val="atitulo1"/>
    <w:uiPriority w:val="99"/>
    <w:locked/>
    <w:rsid w:val="00807992"/>
    <w:rPr>
      <w:rFonts w:ascii="Arial" w:hAnsi="Arial"/>
      <w:b/>
      <w:color w:val="000000"/>
      <w:kern w:val="28"/>
      <w:sz w:val="25"/>
      <w:szCs w:val="26"/>
      <w:lang w:val="es-ES_tradnl" w:eastAsia="en-US"/>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locked/>
    <w:rsid w:val="00807992"/>
    <w:rPr>
      <w:rFonts w:ascii="Arial" w:hAnsi="Arial"/>
      <w:bCs/>
      <w:iCs/>
      <w:color w:val="000000"/>
      <w:spacing w:val="10"/>
      <w:kern w:val="28"/>
      <w:sz w:val="25"/>
      <w:szCs w:val="26"/>
      <w:lang w:val="es-ES_tradnl" w:eastAsia="en-US"/>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07992"/>
    <w:rPr>
      <w:rFonts w:ascii="Tahoma" w:hAnsi="Tahoma" w:cs="Tahoma"/>
      <w:sz w:val="16"/>
      <w:szCs w:val="16"/>
      <w:lang w:val="es-ES_tradnl" w:eastAsia="en-US"/>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Descripcin">
    <w:name w:val="caption"/>
    <w:basedOn w:val="Normal"/>
    <w:next w:val="Normal"/>
    <w:uiPriority w:val="99"/>
    <w:qFormat/>
    <w:rsid w:val="00891D73"/>
    <w:rPr>
      <w:b/>
      <w:bCs/>
    </w:rPr>
  </w:style>
  <w:style w:type="character" w:customStyle="1" w:styleId="EncabezadoCar">
    <w:name w:val="Encabezado Car"/>
    <w:basedOn w:val="Fuentedeprrafopredeter"/>
    <w:link w:val="Encabezado"/>
    <w:uiPriority w:val="99"/>
    <w:locked/>
    <w:rsid w:val="00807992"/>
    <w:rPr>
      <w:bCs/>
      <w:caps/>
      <w:sz w:val="14"/>
      <w:szCs w:val="12"/>
      <w:lang w:val="es-ES_tradnl" w:eastAsia="en-US"/>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customStyle="1" w:styleId="PiedepginaCar">
    <w:name w:val="Pie de página Car"/>
    <w:basedOn w:val="Fuentedeprrafopredeter"/>
    <w:link w:val="Piedepgina"/>
    <w:uiPriority w:val="99"/>
    <w:locked/>
    <w:rsid w:val="00807992"/>
    <w:rPr>
      <w:spacing w:val="6"/>
      <w:lang w:val="es-ES_tradnl" w:eastAsia="en-US"/>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paragraph" w:styleId="Textonotapie">
    <w:name w:val="footnote text"/>
    <w:basedOn w:val="Normal"/>
    <w:link w:val="TextonotapieCar"/>
    <w:rsid w:val="00807992"/>
  </w:style>
  <w:style w:type="character" w:customStyle="1" w:styleId="TextonotapieCar">
    <w:name w:val="Texto nota pie Car"/>
    <w:basedOn w:val="Fuentedeprrafopredeter"/>
    <w:link w:val="Textonotapie"/>
    <w:rsid w:val="00807992"/>
    <w:rPr>
      <w:lang w:val="es-ES_tradnl" w:eastAsia="en-US"/>
    </w:rPr>
  </w:style>
  <w:style w:type="character" w:styleId="Refdenotaalpie">
    <w:name w:val="footnote reference"/>
    <w:basedOn w:val="Fuentedeprrafopredeter"/>
    <w:uiPriority w:val="99"/>
    <w:rsid w:val="00807992"/>
    <w:rPr>
      <w:rFonts w:cs="Times New Roman"/>
      <w:vertAlign w:val="superscript"/>
    </w:rPr>
  </w:style>
  <w:style w:type="paragraph" w:styleId="Textoindependiente">
    <w:name w:val="Body Text"/>
    <w:basedOn w:val="Normal"/>
    <w:link w:val="TextoindependienteCar"/>
    <w:rsid w:val="00807992"/>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807992"/>
    <w:rPr>
      <w:rFonts w:ascii="Arial" w:hAnsi="Arial"/>
      <w:sz w:val="24"/>
      <w:lang w:val="es-ES_tradnl"/>
    </w:rPr>
  </w:style>
  <w:style w:type="paragraph" w:customStyle="1" w:styleId="Estndar">
    <w:name w:val="Estándar"/>
    <w:uiPriority w:val="99"/>
    <w:rsid w:val="00807992"/>
    <w:pPr>
      <w:snapToGrid w:val="0"/>
    </w:pPr>
    <w:rPr>
      <w:rFonts w:ascii="CG Omega" w:hAnsi="CG Omega"/>
      <w:color w:val="000000"/>
      <w:sz w:val="22"/>
    </w:rPr>
  </w:style>
  <w:style w:type="paragraph" w:customStyle="1" w:styleId="tabla10">
    <w:name w:val="tabla10"/>
    <w:uiPriority w:val="99"/>
    <w:rsid w:val="00807992"/>
    <w:pPr>
      <w:tabs>
        <w:tab w:val="left" w:pos="567"/>
        <w:tab w:val="left" w:pos="1134"/>
      </w:tabs>
    </w:pPr>
    <w:rPr>
      <w:rFonts w:ascii="CG Times" w:hAnsi="CG Times"/>
      <w:color w:val="000000"/>
    </w:rPr>
  </w:style>
  <w:style w:type="paragraph" w:customStyle="1" w:styleId="Tabla-10">
    <w:name w:val="Tabla-10"/>
    <w:basedOn w:val="Normal"/>
    <w:uiPriority w:val="99"/>
    <w:rsid w:val="00807992"/>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807992"/>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807992"/>
    <w:pPr>
      <w:spacing w:line="190" w:lineRule="exact"/>
      <w:jc w:val="center"/>
    </w:pPr>
    <w:rPr>
      <w:rFonts w:ascii="Arial Narrow" w:hAnsi="Arial Narrow"/>
      <w:sz w:val="18"/>
    </w:rPr>
  </w:style>
  <w:style w:type="paragraph" w:customStyle="1" w:styleId="cuatitul">
    <w:name w:val="cuatitul"/>
    <w:basedOn w:val="Normal"/>
    <w:uiPriority w:val="99"/>
    <w:rsid w:val="00807992"/>
    <w:pPr>
      <w:spacing w:after="60"/>
      <w:ind w:firstLine="0"/>
      <w:jc w:val="center"/>
    </w:pPr>
    <w:rPr>
      <w:rFonts w:ascii="GillSans" w:hAnsi="GillSans"/>
      <w:sz w:val="22"/>
      <w:lang w:eastAsia="es-ES"/>
    </w:rPr>
  </w:style>
  <w:style w:type="paragraph" w:customStyle="1" w:styleId="TablaCC">
    <w:name w:val="TablaCC"/>
    <w:basedOn w:val="Normal"/>
    <w:uiPriority w:val="99"/>
    <w:rsid w:val="00807992"/>
    <w:pPr>
      <w:spacing w:before="200" w:after="0"/>
      <w:ind w:firstLine="0"/>
      <w:jc w:val="left"/>
    </w:pPr>
    <w:rPr>
      <w:rFonts w:ascii="Arial" w:hAnsi="Arial"/>
      <w:b/>
      <w:sz w:val="24"/>
      <w:szCs w:val="24"/>
      <w:lang w:val="es-ES"/>
    </w:rPr>
  </w:style>
  <w:style w:type="paragraph" w:customStyle="1" w:styleId="xl25">
    <w:name w:val="xl25"/>
    <w:basedOn w:val="Normal"/>
    <w:uiPriority w:val="99"/>
    <w:rsid w:val="00807992"/>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uiPriority w:val="99"/>
    <w:rsid w:val="00807992"/>
    <w:pPr>
      <w:spacing w:before="100" w:beforeAutospacing="1" w:after="100" w:afterAutospacing="1"/>
      <w:ind w:firstLine="0"/>
      <w:jc w:val="left"/>
    </w:pPr>
    <w:rPr>
      <w:sz w:val="24"/>
      <w:szCs w:val="24"/>
      <w:lang w:val="es-ES" w:eastAsia="es-ES"/>
    </w:rPr>
  </w:style>
  <w:style w:type="character" w:customStyle="1" w:styleId="AyuntamientoCar">
    <w:name w:val="Ayuntamiento Car"/>
    <w:link w:val="Ayuntamiento"/>
    <w:uiPriority w:val="99"/>
    <w:locked/>
    <w:rsid w:val="00807992"/>
    <w:rPr>
      <w:rFonts w:ascii="Arial" w:hAnsi="Arial"/>
      <w:sz w:val="24"/>
    </w:rPr>
  </w:style>
  <w:style w:type="paragraph" w:customStyle="1" w:styleId="Ayuntamiento">
    <w:name w:val="Ayuntamiento"/>
    <w:basedOn w:val="Normal"/>
    <w:link w:val="AyuntamientoCar"/>
    <w:uiPriority w:val="99"/>
    <w:rsid w:val="00807992"/>
    <w:pPr>
      <w:spacing w:after="0"/>
      <w:ind w:firstLine="0"/>
    </w:pPr>
    <w:rPr>
      <w:rFonts w:ascii="Arial" w:hAnsi="Arial"/>
      <w:sz w:val="24"/>
      <w:lang w:val="es-ES" w:eastAsia="es-ES"/>
    </w:rPr>
  </w:style>
  <w:style w:type="character" w:customStyle="1" w:styleId="JavierCar">
    <w:name w:val="Javier Car"/>
    <w:link w:val="Javier"/>
    <w:uiPriority w:val="99"/>
    <w:locked/>
    <w:rsid w:val="00807992"/>
    <w:rPr>
      <w:rFonts w:ascii="Arial" w:hAnsi="Arial"/>
      <w:sz w:val="24"/>
    </w:rPr>
  </w:style>
  <w:style w:type="paragraph" w:customStyle="1" w:styleId="Javier">
    <w:name w:val="Javier"/>
    <w:basedOn w:val="Normal"/>
    <w:link w:val="JavierCar"/>
    <w:uiPriority w:val="99"/>
    <w:rsid w:val="00807992"/>
    <w:pPr>
      <w:spacing w:after="0"/>
      <w:ind w:firstLine="0"/>
    </w:pPr>
    <w:rPr>
      <w:rFonts w:ascii="Arial" w:hAnsi="Arial"/>
      <w:sz w:val="24"/>
      <w:lang w:val="es-ES" w:eastAsia="es-ES"/>
    </w:rPr>
  </w:style>
  <w:style w:type="character" w:styleId="Textoennegrita">
    <w:name w:val="Strong"/>
    <w:basedOn w:val="Fuentedeprrafopredeter"/>
    <w:uiPriority w:val="99"/>
    <w:qFormat/>
    <w:rsid w:val="00807992"/>
    <w:rPr>
      <w:rFonts w:cs="Times New Roman"/>
      <w:b/>
    </w:rPr>
  </w:style>
  <w:style w:type="paragraph" w:customStyle="1" w:styleId="foral-f-parrafo-c">
    <w:name w:val="foral-f-parrafo-c"/>
    <w:basedOn w:val="Normal"/>
    <w:uiPriority w:val="99"/>
    <w:rsid w:val="00807992"/>
    <w:pPr>
      <w:spacing w:after="240"/>
      <w:ind w:firstLine="0"/>
      <w:jc w:val="left"/>
    </w:pPr>
    <w:rPr>
      <w:sz w:val="24"/>
      <w:szCs w:val="24"/>
      <w:lang w:val="es-ES" w:eastAsia="es-ES"/>
    </w:rPr>
  </w:style>
  <w:style w:type="paragraph" w:styleId="Textoindependiente2">
    <w:name w:val="Body Text 2"/>
    <w:basedOn w:val="Normal"/>
    <w:link w:val="Textoindependiente2Car"/>
    <w:uiPriority w:val="99"/>
    <w:rsid w:val="00807992"/>
    <w:pPr>
      <w:spacing w:after="120" w:line="480" w:lineRule="auto"/>
    </w:pPr>
  </w:style>
  <w:style w:type="character" w:customStyle="1" w:styleId="Textoindependiente2Car">
    <w:name w:val="Texto independiente 2 Car"/>
    <w:basedOn w:val="Fuentedeprrafopredeter"/>
    <w:link w:val="Textoindependiente2"/>
    <w:uiPriority w:val="99"/>
    <w:rsid w:val="00807992"/>
    <w:rPr>
      <w:lang w:val="es-ES_tradnl" w:eastAsia="en-US"/>
    </w:rPr>
  </w:style>
  <w:style w:type="paragraph" w:styleId="Textoindependiente3">
    <w:name w:val="Body Text 3"/>
    <w:basedOn w:val="Normal"/>
    <w:link w:val="Textoindependiente3Car"/>
    <w:uiPriority w:val="99"/>
    <w:rsid w:val="00807992"/>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rsid w:val="00807992"/>
    <w:rPr>
      <w:rFonts w:ascii="ITCCentury Book" w:hAnsi="ITCCentury Book"/>
      <w:b/>
      <w:sz w:val="96"/>
    </w:rPr>
  </w:style>
  <w:style w:type="paragraph" w:customStyle="1" w:styleId="c22">
    <w:name w:val="c22"/>
    <w:basedOn w:val="Normal"/>
    <w:uiPriority w:val="99"/>
    <w:rsid w:val="00807992"/>
    <w:pPr>
      <w:spacing w:before="100" w:beforeAutospacing="1" w:after="100" w:afterAutospacing="1"/>
      <w:ind w:firstLine="0"/>
      <w:jc w:val="left"/>
    </w:pPr>
    <w:rPr>
      <w:sz w:val="24"/>
      <w:szCs w:val="24"/>
      <w:lang w:val="es-ES" w:eastAsia="es-ES"/>
    </w:rPr>
  </w:style>
  <w:style w:type="paragraph" w:customStyle="1" w:styleId="np">
    <w:name w:val="np"/>
    <w:basedOn w:val="Normal"/>
    <w:uiPriority w:val="99"/>
    <w:rsid w:val="00807992"/>
    <w:pPr>
      <w:spacing w:before="100" w:beforeAutospacing="1" w:after="100" w:afterAutospacing="1"/>
      <w:ind w:firstLine="0"/>
      <w:jc w:val="left"/>
    </w:pPr>
    <w:rPr>
      <w:sz w:val="24"/>
      <w:szCs w:val="24"/>
      <w:lang w:val="es-ES" w:eastAsia="es-ES"/>
    </w:rPr>
  </w:style>
  <w:style w:type="paragraph" w:customStyle="1" w:styleId="Default">
    <w:name w:val="Default"/>
    <w:rsid w:val="00807992"/>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807992"/>
    <w:pPr>
      <w:overflowPunct w:val="0"/>
      <w:adjustRightInd w:val="0"/>
      <w:spacing w:before="240" w:after="0"/>
      <w:ind w:firstLine="0"/>
    </w:pPr>
    <w:rPr>
      <w:sz w:val="22"/>
      <w:lang w:eastAsia="es-ES"/>
    </w:rPr>
  </w:style>
  <w:style w:type="character" w:styleId="nfasis">
    <w:name w:val="Emphasis"/>
    <w:basedOn w:val="Fuentedeprrafopredeter"/>
    <w:uiPriority w:val="20"/>
    <w:qFormat/>
    <w:rsid w:val="00807992"/>
    <w:rPr>
      <w:rFonts w:cs="Times New Roman"/>
      <w:i/>
      <w:iCs/>
    </w:rPr>
  </w:style>
  <w:style w:type="paragraph" w:customStyle="1" w:styleId="xa1">
    <w:name w:val="xa1"/>
    <w:basedOn w:val="Normal"/>
    <w:uiPriority w:val="99"/>
    <w:rsid w:val="00807992"/>
    <w:pPr>
      <w:spacing w:after="240"/>
      <w:ind w:left="300" w:right="75" w:firstLine="0"/>
    </w:pPr>
    <w:rPr>
      <w:sz w:val="24"/>
      <w:szCs w:val="24"/>
      <w:lang w:val="es-ES" w:eastAsia="es-ES"/>
    </w:rPr>
  </w:style>
  <w:style w:type="paragraph" w:customStyle="1" w:styleId="xl2">
    <w:name w:val="xl2"/>
    <w:basedOn w:val="Normal"/>
    <w:uiPriority w:val="99"/>
    <w:rsid w:val="00807992"/>
    <w:pPr>
      <w:spacing w:after="240"/>
      <w:ind w:left="525" w:right="75" w:hanging="225"/>
    </w:pPr>
    <w:rPr>
      <w:sz w:val="24"/>
      <w:szCs w:val="24"/>
      <w:lang w:val="es-ES" w:eastAsia="es-ES"/>
    </w:rPr>
  </w:style>
  <w:style w:type="paragraph" w:customStyle="1" w:styleId="xl1">
    <w:name w:val="xl1"/>
    <w:basedOn w:val="Normal"/>
    <w:uiPriority w:val="99"/>
    <w:rsid w:val="00807992"/>
    <w:pPr>
      <w:spacing w:after="240"/>
      <w:ind w:left="300" w:right="75" w:hanging="225"/>
    </w:pPr>
    <w:rPr>
      <w:sz w:val="24"/>
      <w:szCs w:val="24"/>
      <w:lang w:val="es-ES" w:eastAsia="es-ES"/>
    </w:rPr>
  </w:style>
  <w:style w:type="paragraph" w:customStyle="1" w:styleId="norma1">
    <w:name w:val="norma1"/>
    <w:basedOn w:val="Normal"/>
    <w:uiPriority w:val="99"/>
    <w:rsid w:val="00807992"/>
    <w:pPr>
      <w:spacing w:after="240"/>
      <w:ind w:firstLine="0"/>
    </w:pPr>
    <w:rPr>
      <w:b/>
      <w:bCs/>
      <w:caps/>
      <w:sz w:val="24"/>
      <w:szCs w:val="24"/>
      <w:lang w:val="es-ES" w:eastAsia="es-ES"/>
    </w:rPr>
  </w:style>
  <w:style w:type="paragraph" w:customStyle="1" w:styleId="simpleizquierdanone1">
    <w:name w:val="simple izquierda none1"/>
    <w:basedOn w:val="Normal"/>
    <w:uiPriority w:val="99"/>
    <w:rsid w:val="00807992"/>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807992"/>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807992"/>
    <w:rPr>
      <w:rFonts w:cs="Times New Roman"/>
      <w:b/>
      <w:bCs/>
      <w:shd w:val="clear" w:color="auto" w:fill="D2F7E1"/>
    </w:rPr>
  </w:style>
  <w:style w:type="paragraph" w:customStyle="1" w:styleId="parrafo">
    <w:name w:val="parrafo"/>
    <w:basedOn w:val="Normal"/>
    <w:rsid w:val="00807992"/>
    <w:pPr>
      <w:spacing w:before="100" w:beforeAutospacing="1" w:after="100" w:afterAutospacing="1"/>
      <w:ind w:firstLine="0"/>
      <w:jc w:val="left"/>
    </w:pPr>
    <w:rPr>
      <w:sz w:val="24"/>
      <w:szCs w:val="24"/>
      <w:lang w:val="es-ES" w:eastAsia="es-ES"/>
    </w:rPr>
  </w:style>
  <w:style w:type="character" w:customStyle="1" w:styleId="searchterm2">
    <w:name w:val="searchterm2"/>
    <w:basedOn w:val="Fuentedeprrafopredeter"/>
    <w:uiPriority w:val="99"/>
    <w:rsid w:val="00807992"/>
    <w:rPr>
      <w:rFonts w:cs="Times New Roman"/>
      <w:b/>
      <w:bCs/>
      <w:color w:val="000000"/>
      <w:shd w:val="clear" w:color="auto" w:fill="FFFFBF"/>
    </w:rPr>
  </w:style>
  <w:style w:type="paragraph" w:styleId="Sangradetextonormal">
    <w:name w:val="Body Text Indent"/>
    <w:basedOn w:val="Normal"/>
    <w:link w:val="SangradetextonormalCar"/>
    <w:uiPriority w:val="99"/>
    <w:rsid w:val="00807992"/>
    <w:pPr>
      <w:spacing w:after="120"/>
      <w:ind w:left="283"/>
    </w:pPr>
  </w:style>
  <w:style w:type="character" w:customStyle="1" w:styleId="SangradetextonormalCar">
    <w:name w:val="Sangría de texto normal Car"/>
    <w:basedOn w:val="Fuentedeprrafopredeter"/>
    <w:link w:val="Sangradetextonormal"/>
    <w:uiPriority w:val="99"/>
    <w:rsid w:val="00807992"/>
    <w:rPr>
      <w:lang w:val="es-ES_tradnl" w:eastAsia="en-US"/>
    </w:rPr>
  </w:style>
  <w:style w:type="character" w:styleId="Hipervnculovisitado">
    <w:name w:val="FollowedHyperlink"/>
    <w:basedOn w:val="Fuentedeprrafopredeter"/>
    <w:uiPriority w:val="99"/>
    <w:rsid w:val="00807992"/>
    <w:rPr>
      <w:rFonts w:cs="Times New Roman"/>
      <w:color w:val="800080"/>
      <w:u w:val="single"/>
    </w:rPr>
  </w:style>
  <w:style w:type="paragraph" w:styleId="Textosinformato">
    <w:name w:val="Plain Text"/>
    <w:basedOn w:val="Normal"/>
    <w:link w:val="TextosinformatoCar"/>
    <w:uiPriority w:val="99"/>
    <w:unhideWhenUsed/>
    <w:rsid w:val="00807992"/>
    <w:pPr>
      <w:spacing w:after="0"/>
      <w:ind w:firstLine="0"/>
      <w:jc w:val="left"/>
    </w:pPr>
    <w:rPr>
      <w:rFonts w:ascii="Calibri" w:eastAsia="Calibri" w:hAnsi="Calibri"/>
      <w:sz w:val="22"/>
      <w:szCs w:val="21"/>
      <w:lang w:val="es-ES"/>
    </w:rPr>
  </w:style>
  <w:style w:type="character" w:customStyle="1" w:styleId="TextosinformatoCar">
    <w:name w:val="Texto sin formato Car"/>
    <w:basedOn w:val="Fuentedeprrafopredeter"/>
    <w:link w:val="Textosinformato"/>
    <w:uiPriority w:val="99"/>
    <w:rsid w:val="00807992"/>
    <w:rPr>
      <w:rFonts w:ascii="Calibri" w:eastAsia="Calibri" w:hAnsi="Calibri"/>
      <w:sz w:val="22"/>
      <w:szCs w:val="21"/>
      <w:lang w:eastAsia="en-US"/>
    </w:rPr>
  </w:style>
  <w:style w:type="paragraph" w:styleId="Prrafodelista">
    <w:name w:val="List Paragraph"/>
    <w:basedOn w:val="Normal"/>
    <w:uiPriority w:val="34"/>
    <w:qFormat/>
    <w:rsid w:val="00807992"/>
    <w:pPr>
      <w:ind w:left="720"/>
      <w:contextualSpacing/>
    </w:pPr>
  </w:style>
  <w:style w:type="paragraph" w:styleId="Textonotaalfinal">
    <w:name w:val="endnote text"/>
    <w:basedOn w:val="Normal"/>
    <w:link w:val="TextonotaalfinalCar"/>
    <w:rsid w:val="00807992"/>
    <w:pPr>
      <w:spacing w:after="0"/>
    </w:pPr>
  </w:style>
  <w:style w:type="character" w:customStyle="1" w:styleId="TextonotaalfinalCar">
    <w:name w:val="Texto nota al final Car"/>
    <w:basedOn w:val="Fuentedeprrafopredeter"/>
    <w:link w:val="Textonotaalfinal"/>
    <w:rsid w:val="00807992"/>
    <w:rPr>
      <w:lang w:val="es-ES_tradnl" w:eastAsia="en-US"/>
    </w:rPr>
  </w:style>
  <w:style w:type="character" w:styleId="Refdenotaalfinal">
    <w:name w:val="endnote reference"/>
    <w:basedOn w:val="Fuentedeprrafopredeter"/>
    <w:rsid w:val="00807992"/>
    <w:rPr>
      <w:vertAlign w:val="superscript"/>
    </w:rPr>
  </w:style>
  <w:style w:type="paragraph" w:styleId="Cita">
    <w:name w:val="Quote"/>
    <w:basedOn w:val="Normal"/>
    <w:next w:val="Normal"/>
    <w:link w:val="CitaCar"/>
    <w:uiPriority w:val="29"/>
    <w:qFormat/>
    <w:rsid w:val="00807992"/>
    <w:rPr>
      <w:i/>
      <w:iCs/>
      <w:color w:val="000000" w:themeColor="text1"/>
    </w:rPr>
  </w:style>
  <w:style w:type="character" w:customStyle="1" w:styleId="CitaCar">
    <w:name w:val="Cita Car"/>
    <w:basedOn w:val="Fuentedeprrafopredeter"/>
    <w:link w:val="Cita"/>
    <w:uiPriority w:val="29"/>
    <w:rsid w:val="00807992"/>
    <w:rPr>
      <w:i/>
      <w:iCs/>
      <w:color w:val="000000" w:themeColor="text1"/>
      <w:lang w:val="es-ES_tradnl" w:eastAsia="en-US"/>
    </w:rPr>
  </w:style>
  <w:style w:type="character" w:customStyle="1" w:styleId="markedcontent">
    <w:name w:val="markedcontent"/>
    <w:basedOn w:val="Fuentedeprrafopredeter"/>
    <w:rsid w:val="00807992"/>
  </w:style>
  <w:style w:type="paragraph" w:customStyle="1" w:styleId="textojustificado">
    <w:name w:val="textojustificado"/>
    <w:basedOn w:val="Normal"/>
    <w:rsid w:val="00807992"/>
    <w:pPr>
      <w:spacing w:before="100" w:beforeAutospacing="1" w:after="100" w:afterAutospacing="1"/>
      <w:ind w:firstLine="0"/>
      <w:jc w:val="left"/>
    </w:pPr>
    <w:rPr>
      <w:sz w:val="24"/>
      <w:szCs w:val="24"/>
      <w:lang w:val="es-ES" w:eastAsia="es-ES"/>
    </w:rPr>
  </w:style>
  <w:style w:type="paragraph" w:styleId="Sinespaciado">
    <w:name w:val="No Spacing"/>
    <w:uiPriority w:val="1"/>
    <w:qFormat/>
    <w:rsid w:val="00807992"/>
    <w:rPr>
      <w:rFonts w:asciiTheme="minorHAnsi" w:eastAsiaTheme="minorEastAsia" w:hAnsiTheme="minorHAnsi" w:cstheme="minorBidi"/>
      <w:sz w:val="22"/>
      <w:szCs w:val="22"/>
      <w:lang w:val="en-US" w:eastAsia="ja-JP"/>
    </w:rPr>
  </w:style>
  <w:style w:type="character" w:customStyle="1" w:styleId="normaltextrun">
    <w:name w:val="normaltextrun"/>
    <w:basedOn w:val="Fuentedeprrafopredeter"/>
    <w:rsid w:val="009C0A0F"/>
  </w:style>
  <w:style w:type="character" w:customStyle="1" w:styleId="eop">
    <w:name w:val="eop"/>
    <w:basedOn w:val="Fuentedeprrafopredeter"/>
    <w:rsid w:val="009C0A0F"/>
  </w:style>
  <w:style w:type="paragraph" w:customStyle="1" w:styleId="paragraph">
    <w:name w:val="paragraph"/>
    <w:basedOn w:val="Normal"/>
    <w:rsid w:val="00942A7B"/>
    <w:pPr>
      <w:spacing w:before="100" w:beforeAutospacing="1" w:after="100" w:afterAutospacing="1"/>
      <w:ind w:firstLine="0"/>
      <w:jc w:val="left"/>
    </w:pPr>
    <w:rPr>
      <w:sz w:val="24"/>
      <w:szCs w:val="24"/>
      <w:lang w:val="es-ES" w:eastAsia="es-ES"/>
    </w:rPr>
  </w:style>
  <w:style w:type="character" w:customStyle="1" w:styleId="scxw48539451">
    <w:name w:val="scxw48539451"/>
    <w:basedOn w:val="Fuentedeprrafopredeter"/>
    <w:rsid w:val="00F760D7"/>
  </w:style>
  <w:style w:type="paragraph" w:customStyle="1" w:styleId="Estilo">
    <w:name w:val="Estilo"/>
    <w:rsid w:val="00D369C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8215">
      <w:bodyDiv w:val="1"/>
      <w:marLeft w:val="0"/>
      <w:marRight w:val="0"/>
      <w:marTop w:val="0"/>
      <w:marBottom w:val="0"/>
      <w:divBdr>
        <w:top w:val="none" w:sz="0" w:space="0" w:color="auto"/>
        <w:left w:val="none" w:sz="0" w:space="0" w:color="auto"/>
        <w:bottom w:val="none" w:sz="0" w:space="0" w:color="auto"/>
        <w:right w:val="none" w:sz="0" w:space="0" w:color="auto"/>
      </w:divBdr>
    </w:div>
    <w:div w:id="249508646">
      <w:bodyDiv w:val="1"/>
      <w:marLeft w:val="0"/>
      <w:marRight w:val="0"/>
      <w:marTop w:val="0"/>
      <w:marBottom w:val="0"/>
      <w:divBdr>
        <w:top w:val="none" w:sz="0" w:space="0" w:color="auto"/>
        <w:left w:val="none" w:sz="0" w:space="0" w:color="auto"/>
        <w:bottom w:val="none" w:sz="0" w:space="0" w:color="auto"/>
        <w:right w:val="none" w:sz="0" w:space="0" w:color="auto"/>
      </w:divBdr>
    </w:div>
    <w:div w:id="381757809">
      <w:bodyDiv w:val="1"/>
      <w:marLeft w:val="0"/>
      <w:marRight w:val="0"/>
      <w:marTop w:val="0"/>
      <w:marBottom w:val="0"/>
      <w:divBdr>
        <w:top w:val="none" w:sz="0" w:space="0" w:color="auto"/>
        <w:left w:val="none" w:sz="0" w:space="0" w:color="auto"/>
        <w:bottom w:val="none" w:sz="0" w:space="0" w:color="auto"/>
        <w:right w:val="none" w:sz="0" w:space="0" w:color="auto"/>
      </w:divBdr>
    </w:div>
    <w:div w:id="473715279">
      <w:bodyDiv w:val="1"/>
      <w:marLeft w:val="0"/>
      <w:marRight w:val="0"/>
      <w:marTop w:val="0"/>
      <w:marBottom w:val="0"/>
      <w:divBdr>
        <w:top w:val="none" w:sz="0" w:space="0" w:color="auto"/>
        <w:left w:val="none" w:sz="0" w:space="0" w:color="auto"/>
        <w:bottom w:val="none" w:sz="0" w:space="0" w:color="auto"/>
        <w:right w:val="none" w:sz="0" w:space="0" w:color="auto"/>
      </w:divBdr>
    </w:div>
    <w:div w:id="533882287">
      <w:bodyDiv w:val="1"/>
      <w:marLeft w:val="0"/>
      <w:marRight w:val="0"/>
      <w:marTop w:val="0"/>
      <w:marBottom w:val="0"/>
      <w:divBdr>
        <w:top w:val="none" w:sz="0" w:space="0" w:color="auto"/>
        <w:left w:val="none" w:sz="0" w:space="0" w:color="auto"/>
        <w:bottom w:val="none" w:sz="0" w:space="0" w:color="auto"/>
        <w:right w:val="none" w:sz="0" w:space="0" w:color="auto"/>
      </w:divBdr>
    </w:div>
    <w:div w:id="815924490">
      <w:bodyDiv w:val="1"/>
      <w:marLeft w:val="0"/>
      <w:marRight w:val="0"/>
      <w:marTop w:val="0"/>
      <w:marBottom w:val="0"/>
      <w:divBdr>
        <w:top w:val="none" w:sz="0" w:space="0" w:color="auto"/>
        <w:left w:val="none" w:sz="0" w:space="0" w:color="auto"/>
        <w:bottom w:val="none" w:sz="0" w:space="0" w:color="auto"/>
        <w:right w:val="none" w:sz="0" w:space="0" w:color="auto"/>
      </w:divBdr>
    </w:div>
    <w:div w:id="1000230155">
      <w:bodyDiv w:val="1"/>
      <w:marLeft w:val="0"/>
      <w:marRight w:val="0"/>
      <w:marTop w:val="0"/>
      <w:marBottom w:val="0"/>
      <w:divBdr>
        <w:top w:val="none" w:sz="0" w:space="0" w:color="auto"/>
        <w:left w:val="none" w:sz="0" w:space="0" w:color="auto"/>
        <w:bottom w:val="none" w:sz="0" w:space="0" w:color="auto"/>
        <w:right w:val="none" w:sz="0" w:space="0" w:color="auto"/>
      </w:divBdr>
    </w:div>
    <w:div w:id="1206525063">
      <w:bodyDiv w:val="1"/>
      <w:marLeft w:val="0"/>
      <w:marRight w:val="0"/>
      <w:marTop w:val="0"/>
      <w:marBottom w:val="0"/>
      <w:divBdr>
        <w:top w:val="none" w:sz="0" w:space="0" w:color="auto"/>
        <w:left w:val="none" w:sz="0" w:space="0" w:color="auto"/>
        <w:bottom w:val="none" w:sz="0" w:space="0" w:color="auto"/>
        <w:right w:val="none" w:sz="0" w:space="0" w:color="auto"/>
      </w:divBdr>
    </w:div>
    <w:div w:id="1355182163">
      <w:bodyDiv w:val="1"/>
      <w:marLeft w:val="0"/>
      <w:marRight w:val="0"/>
      <w:marTop w:val="0"/>
      <w:marBottom w:val="0"/>
      <w:divBdr>
        <w:top w:val="none" w:sz="0" w:space="0" w:color="auto"/>
        <w:left w:val="none" w:sz="0" w:space="0" w:color="auto"/>
        <w:bottom w:val="none" w:sz="0" w:space="0" w:color="auto"/>
        <w:right w:val="none" w:sz="0" w:space="0" w:color="auto"/>
      </w:divBdr>
    </w:div>
    <w:div w:id="1373113311">
      <w:bodyDiv w:val="1"/>
      <w:marLeft w:val="0"/>
      <w:marRight w:val="0"/>
      <w:marTop w:val="0"/>
      <w:marBottom w:val="0"/>
      <w:divBdr>
        <w:top w:val="none" w:sz="0" w:space="0" w:color="auto"/>
        <w:left w:val="none" w:sz="0" w:space="0" w:color="auto"/>
        <w:bottom w:val="none" w:sz="0" w:space="0" w:color="auto"/>
        <w:right w:val="none" w:sz="0" w:space="0" w:color="auto"/>
      </w:divBdr>
    </w:div>
    <w:div w:id="1495291568">
      <w:bodyDiv w:val="1"/>
      <w:marLeft w:val="0"/>
      <w:marRight w:val="0"/>
      <w:marTop w:val="0"/>
      <w:marBottom w:val="0"/>
      <w:divBdr>
        <w:top w:val="none" w:sz="0" w:space="0" w:color="auto"/>
        <w:left w:val="none" w:sz="0" w:space="0" w:color="auto"/>
        <w:bottom w:val="none" w:sz="0" w:space="0" w:color="auto"/>
        <w:right w:val="none" w:sz="0" w:space="0" w:color="auto"/>
      </w:divBdr>
    </w:div>
    <w:div w:id="1552039606">
      <w:bodyDiv w:val="1"/>
      <w:marLeft w:val="0"/>
      <w:marRight w:val="0"/>
      <w:marTop w:val="0"/>
      <w:marBottom w:val="0"/>
      <w:divBdr>
        <w:top w:val="none" w:sz="0" w:space="0" w:color="auto"/>
        <w:left w:val="none" w:sz="0" w:space="0" w:color="auto"/>
        <w:bottom w:val="none" w:sz="0" w:space="0" w:color="auto"/>
        <w:right w:val="none" w:sz="0" w:space="0" w:color="auto"/>
      </w:divBdr>
      <w:divsChild>
        <w:div w:id="208959872">
          <w:marLeft w:val="0"/>
          <w:marRight w:val="0"/>
          <w:marTop w:val="0"/>
          <w:marBottom w:val="0"/>
          <w:divBdr>
            <w:top w:val="none" w:sz="0" w:space="0" w:color="auto"/>
            <w:left w:val="none" w:sz="0" w:space="0" w:color="auto"/>
            <w:bottom w:val="none" w:sz="0" w:space="0" w:color="auto"/>
            <w:right w:val="none" w:sz="0" w:space="0" w:color="auto"/>
          </w:divBdr>
        </w:div>
        <w:div w:id="1114403717">
          <w:marLeft w:val="0"/>
          <w:marRight w:val="0"/>
          <w:marTop w:val="0"/>
          <w:marBottom w:val="0"/>
          <w:divBdr>
            <w:top w:val="none" w:sz="0" w:space="0" w:color="auto"/>
            <w:left w:val="none" w:sz="0" w:space="0" w:color="auto"/>
            <w:bottom w:val="none" w:sz="0" w:space="0" w:color="auto"/>
            <w:right w:val="none" w:sz="0" w:space="0" w:color="auto"/>
          </w:divBdr>
        </w:div>
        <w:div w:id="1446080209">
          <w:marLeft w:val="0"/>
          <w:marRight w:val="0"/>
          <w:marTop w:val="0"/>
          <w:marBottom w:val="0"/>
          <w:divBdr>
            <w:top w:val="none" w:sz="0" w:space="0" w:color="auto"/>
            <w:left w:val="none" w:sz="0" w:space="0" w:color="auto"/>
            <w:bottom w:val="none" w:sz="0" w:space="0" w:color="auto"/>
            <w:right w:val="none" w:sz="0" w:space="0" w:color="auto"/>
          </w:divBdr>
        </w:div>
        <w:div w:id="1655067950">
          <w:marLeft w:val="0"/>
          <w:marRight w:val="0"/>
          <w:marTop w:val="0"/>
          <w:marBottom w:val="0"/>
          <w:divBdr>
            <w:top w:val="none" w:sz="0" w:space="0" w:color="auto"/>
            <w:left w:val="none" w:sz="0" w:space="0" w:color="auto"/>
            <w:bottom w:val="none" w:sz="0" w:space="0" w:color="auto"/>
            <w:right w:val="none" w:sz="0" w:space="0" w:color="auto"/>
          </w:divBdr>
        </w:div>
        <w:div w:id="1527207567">
          <w:marLeft w:val="0"/>
          <w:marRight w:val="0"/>
          <w:marTop w:val="0"/>
          <w:marBottom w:val="0"/>
          <w:divBdr>
            <w:top w:val="none" w:sz="0" w:space="0" w:color="auto"/>
            <w:left w:val="none" w:sz="0" w:space="0" w:color="auto"/>
            <w:bottom w:val="none" w:sz="0" w:space="0" w:color="auto"/>
            <w:right w:val="none" w:sz="0" w:space="0" w:color="auto"/>
          </w:divBdr>
        </w:div>
      </w:divsChild>
    </w:div>
    <w:div w:id="2031641389">
      <w:bodyDiv w:val="1"/>
      <w:marLeft w:val="0"/>
      <w:marRight w:val="0"/>
      <w:marTop w:val="0"/>
      <w:marBottom w:val="0"/>
      <w:divBdr>
        <w:top w:val="none" w:sz="0" w:space="0" w:color="auto"/>
        <w:left w:val="none" w:sz="0" w:space="0" w:color="auto"/>
        <w:bottom w:val="none" w:sz="0" w:space="0" w:color="auto"/>
        <w:right w:val="none" w:sz="0" w:space="0" w:color="auto"/>
      </w:divBdr>
    </w:div>
    <w:div w:id="21415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pamplona.es/ayuntamiento/presupuestos-municip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58E9-55EF-4C99-B2AC-946B2085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23894</Words>
  <Characters>135623</Characters>
  <Application>Microsoft Office Word</Application>
  <DocSecurity>0</DocSecurity>
  <Lines>1130</Lines>
  <Paragraphs>318</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159199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D206815</dc:creator>
  <cp:lastModifiedBy>De Santiago, Iñaki</cp:lastModifiedBy>
  <cp:revision>2</cp:revision>
  <cp:lastPrinted>2023-01-09T08:07:00Z</cp:lastPrinted>
  <dcterms:created xsi:type="dcterms:W3CDTF">2023-03-09T07:42:00Z</dcterms:created>
  <dcterms:modified xsi:type="dcterms:W3CDTF">2023-03-09T07:42:00Z</dcterms:modified>
</cp:coreProperties>
</file>