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5D" w:rsidRDefault="00F55C5D" w:rsidP="00F8474A">
      <w:pPr>
        <w:pStyle w:val="EstiloPortada"/>
        <w:tabs>
          <w:tab w:val="left" w:pos="4536"/>
        </w:tabs>
        <w:ind w:left="4536" w:right="-850"/>
        <w:jc w:val="both"/>
        <w:rPr>
          <w:rFonts w:ascii="GillSans" w:hAnsi="GillSans"/>
          <w:color w:val="808080"/>
          <w:sz w:val="40"/>
          <w:szCs w:val="40"/>
        </w:rPr>
      </w:pPr>
      <w:bookmarkStart w:id="0" w:name="_GoBack"/>
      <w:bookmarkEnd w:id="0"/>
      <w:r w:rsidRPr="00F8474A">
        <w:rPr>
          <w:rFonts w:ascii="GillSans" w:hAnsi="GillSans"/>
          <w:noProof/>
          <w:color w:val="808080"/>
          <w:sz w:val="40"/>
          <w:szCs w:val="40"/>
          <w:lang w:val="es-ES" w:eastAsia="es-ES"/>
        </w:rPr>
        <mc:AlternateContent>
          <mc:Choice Requires="wps">
            <w:drawing>
              <wp:anchor distT="0" distB="0" distL="114300" distR="114300" simplePos="0" relativeHeight="251657728" behindDoc="0" locked="0" layoutInCell="1" allowOverlap="1" wp14:anchorId="021B0BC1" wp14:editId="629E9658">
                <wp:simplePos x="0" y="0"/>
                <wp:positionH relativeFrom="column">
                  <wp:posOffset>-191054</wp:posOffset>
                </wp:positionH>
                <wp:positionV relativeFrom="paragraph">
                  <wp:posOffset>-92710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B17A5" w:rsidRPr="00D115AC" w:rsidRDefault="001B17A5" w:rsidP="002C7026">
                            <w:pPr>
                              <w:spacing w:after="0"/>
                              <w:ind w:firstLine="0"/>
                              <w:jc w:val="center"/>
                              <w:rPr>
                                <w:rFonts w:ascii="Trajan" w:hAnsi="Trajan"/>
                                <w:sz w:val="18"/>
                                <w:szCs w:val="18"/>
                              </w:rPr>
                            </w:pPr>
                            <w:r>
                              <w:rPr>
                                <w:rFonts w:ascii="Trajan" w:hAnsi="Trajan"/>
                                <w:sz w:val="18"/>
                                <w:szCs w:val="18"/>
                              </w:rPr>
                              <w:t>Cámara de</w:t>
                            </w:r>
                          </w:p>
                          <w:p w:rsidR="001B17A5" w:rsidRPr="00D115AC" w:rsidRDefault="001B17A5" w:rsidP="002C7026">
                            <w:pPr>
                              <w:spacing w:after="0"/>
                              <w:ind w:firstLine="0"/>
                              <w:jc w:val="center"/>
                              <w:rPr>
                                <w:rFonts w:ascii="Trajan" w:hAnsi="Trajan"/>
                                <w:sz w:val="18"/>
                                <w:szCs w:val="18"/>
                              </w:rPr>
                            </w:pPr>
                            <w:r>
                              <w:rPr>
                                <w:rFonts w:ascii="Trajan" w:hAnsi="Trajan"/>
                                <w:sz w:val="18"/>
                                <w:szCs w:val="18"/>
                              </w:rPr>
                              <w:t>Comptos</w:t>
                            </w:r>
                          </w:p>
                          <w:p w:rsidR="001B17A5" w:rsidRPr="00D115AC" w:rsidRDefault="001B17A5" w:rsidP="002C7026">
                            <w:pPr>
                              <w:spacing w:after="0"/>
                              <w:ind w:firstLine="0"/>
                              <w:jc w:val="center"/>
                              <w:rPr>
                                <w:rFonts w:ascii="Trajan" w:hAnsi="Trajan"/>
                                <w:sz w:val="18"/>
                                <w:szCs w:val="18"/>
                              </w:rPr>
                            </w:pPr>
                            <w:r>
                              <w:rPr>
                                <w:rFonts w:ascii="Trajan" w:hAnsi="Trajan"/>
                                <w:sz w:val="18"/>
                                <w:szCs w:val="18"/>
                              </w:rPr>
                              <w:t>de Navarra</w:t>
                            </w:r>
                          </w:p>
                          <w:p w:rsidR="001B17A5" w:rsidRPr="00D115AC" w:rsidRDefault="001B17A5" w:rsidP="002C7026">
                            <w:pPr>
                              <w:spacing w:after="0"/>
                              <w:ind w:firstLine="0"/>
                              <w:jc w:val="center"/>
                              <w:rPr>
                                <w:rFonts w:ascii="Trajan" w:hAnsi="Trajan"/>
                                <w:color w:val="808080"/>
                                <w:sz w:val="18"/>
                                <w:szCs w:val="18"/>
                              </w:rPr>
                            </w:pPr>
                            <w:r>
                              <w:rPr>
                                <w:rFonts w:ascii="Trajan" w:hAnsi="Trajan"/>
                                <w:color w:val="808080"/>
                                <w:sz w:val="18"/>
                                <w:szCs w:val="18"/>
                              </w:rPr>
                              <w:t>Nafarroako</w:t>
                            </w:r>
                          </w:p>
                          <w:p w:rsidR="001B17A5" w:rsidRPr="00D115AC" w:rsidRDefault="001B17A5" w:rsidP="002C7026">
                            <w:pPr>
                              <w:spacing w:after="0"/>
                              <w:ind w:firstLine="0"/>
                              <w:jc w:val="center"/>
                              <w:rPr>
                                <w:rFonts w:ascii="Trajan" w:hAnsi="Trajan"/>
                                <w:color w:val="808080"/>
                                <w:sz w:val="18"/>
                                <w:szCs w:val="18"/>
                              </w:rPr>
                            </w:pPr>
                            <w:r>
                              <w:rPr>
                                <w:rFonts w:ascii="Trajan" w:hAnsi="Trajan"/>
                                <w:color w:val="808080"/>
                                <w:sz w:val="18"/>
                                <w:szCs w:val="18"/>
                              </w:rPr>
                              <w:t>Kontuen</w:t>
                            </w:r>
                          </w:p>
                          <w:p w:rsidR="001B17A5" w:rsidRPr="00D115AC" w:rsidRDefault="001B17A5" w:rsidP="002C7026">
                            <w:pPr>
                              <w:spacing w:after="0"/>
                              <w:ind w:firstLine="0"/>
                              <w:jc w:val="center"/>
                              <w:rPr>
                                <w:rFonts w:ascii="Trajan" w:hAnsi="Trajan"/>
                                <w:color w:val="808080"/>
                                <w:sz w:val="18"/>
                                <w:szCs w:val="18"/>
                              </w:rPr>
                            </w:pPr>
                            <w:r>
                              <w:rPr>
                                <w:rFonts w:ascii="Trajan" w:hAnsi="Trajan"/>
                                <w:color w:val="808080"/>
                                <w:sz w:val="18"/>
                                <w:szCs w:val="18"/>
                              </w:rPr>
                              <w:t>Ganbera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05pt;margin-top:-7.3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" stroked="f" strokecolor="white">
                <v:textbox>
                  <w:txbxContent>
                    <w:p w:rsidR="001B17A5" w:rsidRPr="00D115AC" w:rsidRDefault="001B17A5" w:rsidP="002C7026">
                      <w:pPr>
                        <w:spacing w:after="0"/>
                        <w:ind w:firstLine="0"/>
                        <w:jc w:val="center"/>
                        <w:rPr>
                          <w:rFonts w:ascii="Trajan" w:hAnsi="Trajan"/>
                          <w:sz w:val="18"/>
                          <w:szCs w:val="18"/>
                        </w:rPr>
                      </w:pPr>
                      <w:r>
                        <w:rPr>
                          <w:rFonts w:ascii="Trajan" w:hAnsi="Trajan"/>
                          <w:sz w:val="18"/>
                          <w:szCs w:val="18"/>
                        </w:rPr>
                        <w:t>Cámara de</w:t>
                      </w:r>
                    </w:p>
                    <w:p w:rsidR="001B17A5" w:rsidRPr="00D115AC" w:rsidRDefault="001B17A5" w:rsidP="002C7026">
                      <w:pPr>
                        <w:spacing w:after="0"/>
                        <w:ind w:firstLine="0"/>
                        <w:jc w:val="center"/>
                        <w:rPr>
                          <w:rFonts w:ascii="Trajan" w:hAnsi="Trajan"/>
                          <w:sz w:val="18"/>
                          <w:szCs w:val="18"/>
                        </w:rPr>
                      </w:pPr>
                      <w:r>
                        <w:rPr>
                          <w:rFonts w:ascii="Trajan" w:hAnsi="Trajan"/>
                          <w:sz w:val="18"/>
                          <w:szCs w:val="18"/>
                        </w:rPr>
                        <w:t>Comptos</w:t>
                      </w:r>
                    </w:p>
                    <w:p w:rsidR="001B17A5" w:rsidRPr="00D115AC" w:rsidRDefault="001B17A5" w:rsidP="002C7026">
                      <w:pPr>
                        <w:spacing w:after="0"/>
                        <w:ind w:firstLine="0"/>
                        <w:jc w:val="center"/>
                        <w:rPr>
                          <w:rFonts w:ascii="Trajan" w:hAnsi="Trajan"/>
                          <w:sz w:val="18"/>
                          <w:szCs w:val="18"/>
                        </w:rPr>
                      </w:pPr>
                      <w:r>
                        <w:rPr>
                          <w:rFonts w:ascii="Trajan" w:hAnsi="Trajan"/>
                          <w:sz w:val="18"/>
                          <w:szCs w:val="18"/>
                        </w:rPr>
                        <w:t>de Navarra</w:t>
                      </w:r>
                    </w:p>
                    <w:p w:rsidR="001B17A5" w:rsidRPr="00D115AC" w:rsidRDefault="001B17A5" w:rsidP="002C7026">
                      <w:pPr>
                        <w:spacing w:after="0"/>
                        <w:ind w:firstLine="0"/>
                        <w:jc w:val="center"/>
                        <w:rPr>
                          <w:rFonts w:ascii="Trajan" w:hAnsi="Trajan"/>
                          <w:color w:val="808080"/>
                          <w:sz w:val="18"/>
                          <w:szCs w:val="18"/>
                        </w:rPr>
                      </w:pPr>
                      <w:r>
                        <w:rPr>
                          <w:rFonts w:ascii="Trajan" w:hAnsi="Trajan"/>
                          <w:color w:val="808080"/>
                          <w:sz w:val="18"/>
                          <w:szCs w:val="18"/>
                        </w:rPr>
                        <w:t>Nafarroako</w:t>
                      </w:r>
                    </w:p>
                    <w:p w:rsidR="001B17A5" w:rsidRPr="00D115AC" w:rsidRDefault="001B17A5" w:rsidP="002C7026">
                      <w:pPr>
                        <w:spacing w:after="0"/>
                        <w:ind w:firstLine="0"/>
                        <w:jc w:val="center"/>
                        <w:rPr>
                          <w:rFonts w:ascii="Trajan" w:hAnsi="Trajan"/>
                          <w:color w:val="808080"/>
                          <w:sz w:val="18"/>
                          <w:szCs w:val="18"/>
                        </w:rPr>
                      </w:pPr>
                      <w:r>
                        <w:rPr>
                          <w:rFonts w:ascii="Trajan" w:hAnsi="Trajan"/>
                          <w:color w:val="808080"/>
                          <w:sz w:val="18"/>
                          <w:szCs w:val="18"/>
                        </w:rPr>
                        <w:t>Kontuen</w:t>
                      </w:r>
                    </w:p>
                    <w:p w:rsidR="001B17A5" w:rsidRPr="00D115AC" w:rsidRDefault="001B17A5" w:rsidP="002C7026">
                      <w:pPr>
                        <w:spacing w:after="0"/>
                        <w:ind w:firstLine="0"/>
                        <w:jc w:val="center"/>
                        <w:rPr>
                          <w:rFonts w:ascii="Trajan" w:hAnsi="Trajan"/>
                          <w:color w:val="808080"/>
                          <w:sz w:val="18"/>
                          <w:szCs w:val="18"/>
                        </w:rPr>
                      </w:pPr>
                      <w:r>
                        <w:rPr>
                          <w:rFonts w:ascii="Trajan" w:hAnsi="Trajan"/>
                          <w:color w:val="808080"/>
                          <w:sz w:val="18"/>
                          <w:szCs w:val="18"/>
                        </w:rPr>
                        <w:t>Ganbera</w:t>
                      </w:r>
                    </w:p>
                  </w:txbxContent>
                </v:textbox>
              </v:shape>
            </w:pict>
          </mc:Fallback>
        </mc:AlternateContent>
      </w:r>
    </w:p>
    <w:p w:rsidR="00F55C5D" w:rsidRDefault="00F55C5D" w:rsidP="00F8474A">
      <w:pPr>
        <w:pStyle w:val="EstiloPortada"/>
        <w:tabs>
          <w:tab w:val="left" w:pos="4536"/>
        </w:tabs>
        <w:ind w:left="4536" w:right="-850"/>
        <w:jc w:val="both"/>
        <w:rPr>
          <w:rFonts w:ascii="GillSans" w:hAnsi="GillSans"/>
          <w:color w:val="808080"/>
          <w:sz w:val="40"/>
          <w:szCs w:val="40"/>
        </w:rPr>
      </w:pPr>
    </w:p>
    <w:p w:rsidR="00F55C5D" w:rsidRDefault="00F55C5D" w:rsidP="00F8474A">
      <w:pPr>
        <w:pStyle w:val="EstiloPortada"/>
        <w:tabs>
          <w:tab w:val="left" w:pos="4536"/>
        </w:tabs>
        <w:ind w:left="4536" w:right="-850"/>
        <w:jc w:val="both"/>
        <w:rPr>
          <w:rFonts w:ascii="GillSans" w:hAnsi="GillSans"/>
          <w:color w:val="808080"/>
          <w:sz w:val="40"/>
          <w:szCs w:val="40"/>
        </w:rPr>
      </w:pPr>
    </w:p>
    <w:p w:rsidR="00D115AC" w:rsidRPr="00D115AC" w:rsidRDefault="00D115AC" w:rsidP="002F53B9">
      <w:pPr>
        <w:pStyle w:val="EstiloPortada"/>
        <w:ind w:left="4962" w:right="-58"/>
        <w:rPr>
          <w:b w:val="0"/>
          <w:sz w:val="24"/>
        </w:rPr>
      </w:pPr>
    </w:p>
    <w:p w:rsidR="00422376" w:rsidRPr="00422376" w:rsidRDefault="00946655" w:rsidP="00422376">
      <w:pPr>
        <w:pStyle w:val="EstiloPortada"/>
        <w:ind w:left="4962" w:right="0"/>
        <w:jc w:val="right"/>
        <w:rPr>
          <w:sz w:val="56"/>
          <w:szCs w:val="56"/>
        </w:rPr>
      </w:pPr>
      <w:r>
        <w:rPr>
          <w:sz w:val="56"/>
          <w:szCs w:val="56"/>
        </w:rPr>
        <w:t xml:space="preserve">Ororbiako </w:t>
      </w:r>
    </w:p>
    <w:p w:rsidR="00D115AC" w:rsidRPr="00422376" w:rsidRDefault="00946655" w:rsidP="00422376">
      <w:pPr>
        <w:pStyle w:val="EstiloPortada"/>
        <w:ind w:left="4962" w:right="0"/>
        <w:jc w:val="right"/>
        <w:rPr>
          <w:sz w:val="56"/>
          <w:szCs w:val="56"/>
        </w:rPr>
      </w:pPr>
      <w:r>
        <w:rPr>
          <w:sz w:val="56"/>
          <w:szCs w:val="56"/>
        </w:rPr>
        <w:t>Kontzejua, 2015</w:t>
      </w:r>
    </w:p>
    <w:p w:rsidR="001C3A32" w:rsidRPr="00D115AC" w:rsidRDefault="001C3A32" w:rsidP="00891D73">
      <w:pPr>
        <w:pStyle w:val="texto"/>
        <w:rPr>
          <w:sz w:val="48"/>
          <w:szCs w:val="48"/>
        </w:rPr>
      </w:pPr>
    </w:p>
    <w:p w:rsidR="001C3A32" w:rsidRPr="00204979" w:rsidRDefault="001C3A32" w:rsidP="00891D73">
      <w:pPr>
        <w:pStyle w:val="texto"/>
      </w:pPr>
    </w:p>
    <w:p w:rsidR="002F2530" w:rsidRPr="00204979" w:rsidRDefault="002F2530"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847AF3" w:rsidRDefault="00847AF3" w:rsidP="00891D73">
      <w:pPr>
        <w:pStyle w:val="texto"/>
      </w:pPr>
    </w:p>
    <w:p w:rsidR="00847AF3" w:rsidRPr="00204979" w:rsidRDefault="00847AF3"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Pr="00204979" w:rsidRDefault="00844F74" w:rsidP="00891D73">
      <w:pPr>
        <w:pStyle w:val="texto"/>
      </w:pPr>
    </w:p>
    <w:p w:rsidR="00844F74" w:rsidRPr="00204979" w:rsidRDefault="00844F74" w:rsidP="00891D73">
      <w:pPr>
        <w:pStyle w:val="texto"/>
      </w:pPr>
    </w:p>
    <w:p w:rsidR="00716463" w:rsidRPr="001D4F09" w:rsidRDefault="002F53B9" w:rsidP="009936FC">
      <w:pPr>
        <w:pStyle w:val="Fechaportada"/>
      </w:pPr>
      <w:r>
        <w:t>Urtarrila, 2017</w:t>
      </w:r>
    </w:p>
    <w:p w:rsidR="008E3FFE" w:rsidRPr="001D4F09" w:rsidRDefault="008E3FFE" w:rsidP="00891D73">
      <w:pPr>
        <w:pStyle w:val="ndice"/>
        <w:rPr>
          <w:rFonts w:ascii="Times New Roman" w:hAnsi="Times New Roman"/>
        </w:rPr>
        <w:sectPr w:rsidR="008E3FFE" w:rsidRPr="001D4F09" w:rsidSect="00920BEF">
          <w:headerReference w:type="default" r:id="rId9"/>
          <w:footerReference w:type="even" r:id="rId10"/>
          <w:footerReference w:type="default" r:id="rId11"/>
          <w:headerReference w:type="first" r:id="rId12"/>
          <w:footerReference w:type="first" r:id="rId13"/>
          <w:pgSz w:w="11907" w:h="16840" w:code="9"/>
          <w:pgMar w:top="1701" w:right="1559" w:bottom="1644" w:left="1559" w:header="369" w:footer="136" w:gutter="0"/>
          <w:pgNumType w:start="1"/>
          <w:cols w:space="720"/>
          <w:titlePg/>
          <w:docGrid w:linePitch="360"/>
        </w:sectPr>
      </w:pPr>
    </w:p>
    <w:p w:rsidR="00DD1D5E" w:rsidRDefault="00DD1D5E" w:rsidP="00D115AC">
      <w:pPr>
        <w:pStyle w:val="ndice"/>
      </w:pPr>
    </w:p>
    <w:p w:rsidR="00D115AC" w:rsidRDefault="00D115AC" w:rsidP="00D115AC">
      <w:pPr>
        <w:pStyle w:val="ndice"/>
      </w:pPr>
      <w:r>
        <w:t>Aurkibidea</w:t>
      </w:r>
    </w:p>
    <w:p w:rsidR="00D115AC" w:rsidRPr="004950CC" w:rsidRDefault="00D115AC" w:rsidP="00D115AC">
      <w:pPr>
        <w:pStyle w:val="texto"/>
        <w:ind w:right="-211"/>
        <w:jc w:val="right"/>
        <w:rPr>
          <w:smallCaps/>
          <w:sz w:val="20"/>
          <w:szCs w:val="20"/>
        </w:rPr>
      </w:pPr>
      <w:r>
        <w:tab/>
      </w:r>
      <w:r>
        <w:tab/>
      </w:r>
      <w:r>
        <w:tab/>
      </w:r>
      <w:r>
        <w:tab/>
      </w:r>
      <w:r>
        <w:tab/>
      </w:r>
      <w:r>
        <w:rPr>
          <w:smallCaps/>
          <w:sz w:val="20"/>
          <w:szCs w:val="20"/>
        </w:rPr>
        <w:t>orrialdea</w:t>
      </w:r>
    </w:p>
    <w:p w:rsidR="00973FDE" w:rsidRDefault="00D115AC">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476722764" w:history="1">
        <w:r w:rsidR="00973FDE" w:rsidRPr="00920F4F">
          <w:rPr>
            <w:rStyle w:val="Hipervnculo"/>
            <w:noProof/>
          </w:rPr>
          <w:t>I. Sarrera</w:t>
        </w:r>
        <w:r w:rsidR="00973FDE">
          <w:rPr>
            <w:noProof/>
            <w:webHidden/>
          </w:rPr>
          <w:tab/>
        </w:r>
        <w:r w:rsidR="00973FDE">
          <w:rPr>
            <w:noProof/>
            <w:webHidden/>
          </w:rPr>
          <w:fldChar w:fldCharType="begin"/>
        </w:r>
        <w:r w:rsidR="00973FDE">
          <w:rPr>
            <w:noProof/>
            <w:webHidden/>
          </w:rPr>
          <w:instrText xml:space="preserve"> PAGEREF _Toc476722764 \h </w:instrText>
        </w:r>
        <w:r w:rsidR="00973FDE">
          <w:rPr>
            <w:noProof/>
            <w:webHidden/>
          </w:rPr>
        </w:r>
        <w:r w:rsidR="00973FDE">
          <w:rPr>
            <w:noProof/>
            <w:webHidden/>
          </w:rPr>
          <w:fldChar w:fldCharType="separate"/>
        </w:r>
        <w:r w:rsidR="00973FDE">
          <w:rPr>
            <w:noProof/>
            <w:webHidden/>
          </w:rPr>
          <w:t>3</w:t>
        </w:r>
        <w:r w:rsidR="00973FDE">
          <w:rPr>
            <w:noProof/>
            <w:webHidden/>
          </w:rPr>
          <w:fldChar w:fldCharType="end"/>
        </w:r>
      </w:hyperlink>
    </w:p>
    <w:p w:rsidR="00973FDE" w:rsidRDefault="00973FDE">
      <w:pPr>
        <w:pStyle w:val="TDC1"/>
        <w:rPr>
          <w:rFonts w:asciiTheme="minorHAnsi" w:eastAsiaTheme="minorEastAsia" w:hAnsiTheme="minorHAnsi" w:cstheme="minorBidi"/>
          <w:smallCaps w:val="0"/>
          <w:noProof/>
          <w:szCs w:val="22"/>
          <w:lang w:val="es-ES" w:eastAsia="es-ES"/>
        </w:rPr>
      </w:pPr>
      <w:hyperlink w:anchor="_Toc476722765" w:history="1">
        <w:r w:rsidRPr="00920F4F">
          <w:rPr>
            <w:rStyle w:val="Hipervnculo"/>
            <w:noProof/>
          </w:rPr>
          <w:t>II. Iritzia</w:t>
        </w:r>
        <w:r>
          <w:rPr>
            <w:noProof/>
            <w:webHidden/>
          </w:rPr>
          <w:tab/>
        </w:r>
        <w:r>
          <w:rPr>
            <w:noProof/>
            <w:webHidden/>
          </w:rPr>
          <w:fldChar w:fldCharType="begin"/>
        </w:r>
        <w:r>
          <w:rPr>
            <w:noProof/>
            <w:webHidden/>
          </w:rPr>
          <w:instrText xml:space="preserve"> PAGEREF _Toc476722765 \h </w:instrText>
        </w:r>
        <w:r>
          <w:rPr>
            <w:noProof/>
            <w:webHidden/>
          </w:rPr>
        </w:r>
        <w:r>
          <w:rPr>
            <w:noProof/>
            <w:webHidden/>
          </w:rPr>
          <w:fldChar w:fldCharType="separate"/>
        </w:r>
        <w:r>
          <w:rPr>
            <w:noProof/>
            <w:webHidden/>
          </w:rPr>
          <w:t>6</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66" w:history="1">
        <w:r w:rsidRPr="00920F4F">
          <w:rPr>
            <w:rStyle w:val="Hipervnculo"/>
            <w:noProof/>
          </w:rPr>
          <w:t>II.1. 2015eko kontu orokorrari buruzko auditoria finantzarioko iritzia</w:t>
        </w:r>
        <w:r>
          <w:rPr>
            <w:noProof/>
            <w:webHidden/>
          </w:rPr>
          <w:tab/>
        </w:r>
        <w:r>
          <w:rPr>
            <w:noProof/>
            <w:webHidden/>
          </w:rPr>
          <w:fldChar w:fldCharType="begin"/>
        </w:r>
        <w:r>
          <w:rPr>
            <w:noProof/>
            <w:webHidden/>
          </w:rPr>
          <w:instrText xml:space="preserve"> PAGEREF _Toc476722766 \h </w:instrText>
        </w:r>
        <w:r>
          <w:rPr>
            <w:noProof/>
            <w:webHidden/>
          </w:rPr>
        </w:r>
        <w:r>
          <w:rPr>
            <w:noProof/>
            <w:webHidden/>
          </w:rPr>
          <w:fldChar w:fldCharType="separate"/>
        </w:r>
        <w:r>
          <w:rPr>
            <w:noProof/>
            <w:webHidden/>
          </w:rPr>
          <w:t>7</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67" w:history="1">
        <w:r w:rsidRPr="00920F4F">
          <w:rPr>
            <w:rStyle w:val="Hipervnculo"/>
            <w:noProof/>
          </w:rPr>
          <w:t>II.2. Legezkotasuna betetzearen fiskalizazioari buruzko iritzia</w:t>
        </w:r>
        <w:r>
          <w:rPr>
            <w:noProof/>
            <w:webHidden/>
          </w:rPr>
          <w:tab/>
        </w:r>
        <w:r>
          <w:rPr>
            <w:noProof/>
            <w:webHidden/>
          </w:rPr>
          <w:fldChar w:fldCharType="begin"/>
        </w:r>
        <w:r>
          <w:rPr>
            <w:noProof/>
            <w:webHidden/>
          </w:rPr>
          <w:instrText xml:space="preserve"> PAGEREF _Toc476722767 \h </w:instrText>
        </w:r>
        <w:r>
          <w:rPr>
            <w:noProof/>
            <w:webHidden/>
          </w:rPr>
        </w:r>
        <w:r>
          <w:rPr>
            <w:noProof/>
            <w:webHidden/>
          </w:rPr>
          <w:fldChar w:fldCharType="separate"/>
        </w:r>
        <w:r>
          <w:rPr>
            <w:noProof/>
            <w:webHidden/>
          </w:rPr>
          <w:t>7</w:t>
        </w:r>
        <w:r>
          <w:rPr>
            <w:noProof/>
            <w:webHidden/>
          </w:rPr>
          <w:fldChar w:fldCharType="end"/>
        </w:r>
      </w:hyperlink>
    </w:p>
    <w:p w:rsidR="00973FDE" w:rsidRDefault="00973FDE">
      <w:pPr>
        <w:pStyle w:val="TDC1"/>
        <w:rPr>
          <w:rFonts w:asciiTheme="minorHAnsi" w:eastAsiaTheme="minorEastAsia" w:hAnsiTheme="minorHAnsi" w:cstheme="minorBidi"/>
          <w:smallCaps w:val="0"/>
          <w:noProof/>
          <w:szCs w:val="22"/>
          <w:lang w:val="es-ES" w:eastAsia="es-ES"/>
        </w:rPr>
      </w:pPr>
      <w:hyperlink w:anchor="_Toc476722768" w:history="1">
        <w:r w:rsidRPr="00920F4F">
          <w:rPr>
            <w:rStyle w:val="Hipervnculo"/>
            <w:noProof/>
          </w:rPr>
          <w:t>III. Ororbiako Kontzejuaren 2015eko kontu orokorraren laburpena</w:t>
        </w:r>
        <w:r>
          <w:rPr>
            <w:noProof/>
            <w:webHidden/>
          </w:rPr>
          <w:tab/>
        </w:r>
        <w:r>
          <w:rPr>
            <w:noProof/>
            <w:webHidden/>
          </w:rPr>
          <w:fldChar w:fldCharType="begin"/>
        </w:r>
        <w:r>
          <w:rPr>
            <w:noProof/>
            <w:webHidden/>
          </w:rPr>
          <w:instrText xml:space="preserve"> PAGEREF _Toc476722768 \h </w:instrText>
        </w:r>
        <w:r>
          <w:rPr>
            <w:noProof/>
            <w:webHidden/>
          </w:rPr>
        </w:r>
        <w:r>
          <w:rPr>
            <w:noProof/>
            <w:webHidden/>
          </w:rPr>
          <w:fldChar w:fldCharType="separate"/>
        </w:r>
        <w:r>
          <w:rPr>
            <w:noProof/>
            <w:webHidden/>
          </w:rPr>
          <w:t>8</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69" w:history="1">
        <w:r w:rsidRPr="00920F4F">
          <w:rPr>
            <w:rStyle w:val="Hipervnculo"/>
            <w:noProof/>
          </w:rPr>
          <w:t>III.1. 2015eko aurrekontuaren betetzeari buruzko egoeraorria</w:t>
        </w:r>
        <w:r>
          <w:rPr>
            <w:noProof/>
            <w:webHidden/>
          </w:rPr>
          <w:tab/>
        </w:r>
        <w:r>
          <w:rPr>
            <w:noProof/>
            <w:webHidden/>
          </w:rPr>
          <w:fldChar w:fldCharType="begin"/>
        </w:r>
        <w:r>
          <w:rPr>
            <w:noProof/>
            <w:webHidden/>
          </w:rPr>
          <w:instrText xml:space="preserve"> PAGEREF _Toc476722769 \h </w:instrText>
        </w:r>
        <w:r>
          <w:rPr>
            <w:noProof/>
            <w:webHidden/>
          </w:rPr>
        </w:r>
        <w:r>
          <w:rPr>
            <w:noProof/>
            <w:webHidden/>
          </w:rPr>
          <w:fldChar w:fldCharType="separate"/>
        </w:r>
        <w:r>
          <w:rPr>
            <w:noProof/>
            <w:webHidden/>
          </w:rPr>
          <w:t>8</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0" w:history="1">
        <w:r w:rsidRPr="00920F4F">
          <w:rPr>
            <w:rStyle w:val="Hipervnculo"/>
            <w:noProof/>
          </w:rPr>
          <w:t>III.2. 2015eko aurrekontu-emaitza</w:t>
        </w:r>
        <w:r>
          <w:rPr>
            <w:noProof/>
            <w:webHidden/>
          </w:rPr>
          <w:tab/>
        </w:r>
        <w:r>
          <w:rPr>
            <w:noProof/>
            <w:webHidden/>
          </w:rPr>
          <w:fldChar w:fldCharType="begin"/>
        </w:r>
        <w:r>
          <w:rPr>
            <w:noProof/>
            <w:webHidden/>
          </w:rPr>
          <w:instrText xml:space="preserve"> PAGEREF _Toc476722770 \h </w:instrText>
        </w:r>
        <w:r>
          <w:rPr>
            <w:noProof/>
            <w:webHidden/>
          </w:rPr>
        </w:r>
        <w:r>
          <w:rPr>
            <w:noProof/>
            <w:webHidden/>
          </w:rPr>
          <w:fldChar w:fldCharType="separate"/>
        </w:r>
        <w:r>
          <w:rPr>
            <w:noProof/>
            <w:webHidden/>
          </w:rPr>
          <w:t>9</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1" w:history="1">
        <w:r w:rsidRPr="00920F4F">
          <w:rPr>
            <w:rStyle w:val="Hipervnculo"/>
            <w:noProof/>
          </w:rPr>
          <w:t>III.3. Diruzaintza-gerakina 2015eko abenduaren 31n</w:t>
        </w:r>
        <w:r>
          <w:rPr>
            <w:noProof/>
            <w:webHidden/>
          </w:rPr>
          <w:tab/>
        </w:r>
        <w:r>
          <w:rPr>
            <w:noProof/>
            <w:webHidden/>
          </w:rPr>
          <w:fldChar w:fldCharType="begin"/>
        </w:r>
        <w:r>
          <w:rPr>
            <w:noProof/>
            <w:webHidden/>
          </w:rPr>
          <w:instrText xml:space="preserve"> PAGEREF _Toc476722771 \h </w:instrText>
        </w:r>
        <w:r>
          <w:rPr>
            <w:noProof/>
            <w:webHidden/>
          </w:rPr>
        </w:r>
        <w:r>
          <w:rPr>
            <w:noProof/>
            <w:webHidden/>
          </w:rPr>
          <w:fldChar w:fldCharType="separate"/>
        </w:r>
        <w:r>
          <w:rPr>
            <w:noProof/>
            <w:webHidden/>
          </w:rPr>
          <w:t>9</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2" w:history="1">
        <w:r w:rsidRPr="00920F4F">
          <w:rPr>
            <w:rStyle w:val="Hipervnculo"/>
            <w:noProof/>
          </w:rPr>
          <w:t>III.4. 2015eko abenduaren 31ko egoeraren balantzea</w:t>
        </w:r>
        <w:r>
          <w:rPr>
            <w:noProof/>
            <w:webHidden/>
          </w:rPr>
          <w:tab/>
        </w:r>
        <w:r>
          <w:rPr>
            <w:noProof/>
            <w:webHidden/>
          </w:rPr>
          <w:fldChar w:fldCharType="begin"/>
        </w:r>
        <w:r>
          <w:rPr>
            <w:noProof/>
            <w:webHidden/>
          </w:rPr>
          <w:instrText xml:space="preserve"> PAGEREF _Toc476722772 \h </w:instrText>
        </w:r>
        <w:r>
          <w:rPr>
            <w:noProof/>
            <w:webHidden/>
          </w:rPr>
        </w:r>
        <w:r>
          <w:rPr>
            <w:noProof/>
            <w:webHidden/>
          </w:rPr>
          <w:fldChar w:fldCharType="separate"/>
        </w:r>
        <w:r>
          <w:rPr>
            <w:noProof/>
            <w:webHidden/>
          </w:rPr>
          <w:t>10</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3" w:history="1">
        <w:r w:rsidRPr="00920F4F">
          <w:rPr>
            <w:rStyle w:val="Hipervnculo"/>
            <w:noProof/>
          </w:rPr>
          <w:t>III.5. 2015eko emaitza ekonomikoaren kontua</w:t>
        </w:r>
        <w:r>
          <w:rPr>
            <w:noProof/>
            <w:webHidden/>
          </w:rPr>
          <w:tab/>
        </w:r>
        <w:r>
          <w:rPr>
            <w:noProof/>
            <w:webHidden/>
          </w:rPr>
          <w:fldChar w:fldCharType="begin"/>
        </w:r>
        <w:r>
          <w:rPr>
            <w:noProof/>
            <w:webHidden/>
          </w:rPr>
          <w:instrText xml:space="preserve"> PAGEREF _Toc476722773 \h </w:instrText>
        </w:r>
        <w:r>
          <w:rPr>
            <w:noProof/>
            <w:webHidden/>
          </w:rPr>
        </w:r>
        <w:r>
          <w:rPr>
            <w:noProof/>
            <w:webHidden/>
          </w:rPr>
          <w:fldChar w:fldCharType="separate"/>
        </w:r>
        <w:r>
          <w:rPr>
            <w:noProof/>
            <w:webHidden/>
          </w:rPr>
          <w:t>11</w:t>
        </w:r>
        <w:r>
          <w:rPr>
            <w:noProof/>
            <w:webHidden/>
          </w:rPr>
          <w:fldChar w:fldCharType="end"/>
        </w:r>
      </w:hyperlink>
    </w:p>
    <w:p w:rsidR="00973FDE" w:rsidRDefault="00973FDE">
      <w:pPr>
        <w:pStyle w:val="TDC1"/>
        <w:rPr>
          <w:rFonts w:asciiTheme="minorHAnsi" w:eastAsiaTheme="minorEastAsia" w:hAnsiTheme="minorHAnsi" w:cstheme="minorBidi"/>
          <w:smallCaps w:val="0"/>
          <w:noProof/>
          <w:szCs w:val="22"/>
          <w:lang w:val="es-ES" w:eastAsia="es-ES"/>
        </w:rPr>
      </w:pPr>
      <w:hyperlink w:anchor="_Toc476722774" w:history="1">
        <w:r w:rsidRPr="00920F4F">
          <w:rPr>
            <w:rStyle w:val="Hipervnculo"/>
            <w:noProof/>
          </w:rPr>
          <w:t>IV. Oharpenak, iritzian eraginik ez dutenak, eta gomendioak</w:t>
        </w:r>
        <w:r>
          <w:rPr>
            <w:noProof/>
            <w:webHidden/>
          </w:rPr>
          <w:tab/>
        </w:r>
        <w:r>
          <w:rPr>
            <w:noProof/>
            <w:webHidden/>
          </w:rPr>
          <w:fldChar w:fldCharType="begin"/>
        </w:r>
        <w:r>
          <w:rPr>
            <w:noProof/>
            <w:webHidden/>
          </w:rPr>
          <w:instrText xml:space="preserve"> PAGEREF _Toc476722774 \h </w:instrText>
        </w:r>
        <w:r>
          <w:rPr>
            <w:noProof/>
            <w:webHidden/>
          </w:rPr>
        </w:r>
        <w:r>
          <w:rPr>
            <w:noProof/>
            <w:webHidden/>
          </w:rPr>
          <w:fldChar w:fldCharType="separate"/>
        </w:r>
        <w:r>
          <w:rPr>
            <w:noProof/>
            <w:webHidden/>
          </w:rPr>
          <w:t>12</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5" w:history="1">
        <w:r w:rsidRPr="00920F4F">
          <w:rPr>
            <w:rStyle w:val="Hipervnculo"/>
            <w:noProof/>
          </w:rPr>
          <w:t>IV.1. Ororbiako Kontzejuaren egoera ekonomiko-finantzarioa 2015eko abenduaren 31n</w:t>
        </w:r>
        <w:r>
          <w:rPr>
            <w:noProof/>
            <w:webHidden/>
          </w:rPr>
          <w:tab/>
        </w:r>
        <w:r>
          <w:rPr>
            <w:noProof/>
            <w:webHidden/>
          </w:rPr>
          <w:fldChar w:fldCharType="begin"/>
        </w:r>
        <w:r>
          <w:rPr>
            <w:noProof/>
            <w:webHidden/>
          </w:rPr>
          <w:instrText xml:space="preserve"> PAGEREF _Toc476722775 \h </w:instrText>
        </w:r>
        <w:r>
          <w:rPr>
            <w:noProof/>
            <w:webHidden/>
          </w:rPr>
        </w:r>
        <w:r>
          <w:rPr>
            <w:noProof/>
            <w:webHidden/>
          </w:rPr>
          <w:fldChar w:fldCharType="separate"/>
        </w:r>
        <w:r>
          <w:rPr>
            <w:noProof/>
            <w:webHidden/>
          </w:rPr>
          <w:t>12</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6" w:history="1">
        <w:r w:rsidRPr="00920F4F">
          <w:rPr>
            <w:rStyle w:val="Hipervnculo"/>
            <w:noProof/>
          </w:rPr>
          <w:t>IV.2. Aurrekontu-egonkortasuneko eta finantza-iraunkortasunaren printzipioak</w:t>
        </w:r>
        <w:r>
          <w:rPr>
            <w:noProof/>
            <w:webHidden/>
          </w:rPr>
          <w:tab/>
        </w:r>
        <w:r>
          <w:rPr>
            <w:noProof/>
            <w:webHidden/>
          </w:rPr>
          <w:fldChar w:fldCharType="begin"/>
        </w:r>
        <w:r>
          <w:rPr>
            <w:noProof/>
            <w:webHidden/>
          </w:rPr>
          <w:instrText xml:space="preserve"> PAGEREF _Toc476722776 \h </w:instrText>
        </w:r>
        <w:r>
          <w:rPr>
            <w:noProof/>
            <w:webHidden/>
          </w:rPr>
        </w:r>
        <w:r>
          <w:rPr>
            <w:noProof/>
            <w:webHidden/>
          </w:rPr>
          <w:fldChar w:fldCharType="separate"/>
        </w:r>
        <w:r>
          <w:rPr>
            <w:noProof/>
            <w:webHidden/>
          </w:rPr>
          <w:t>14</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7" w:history="1">
        <w:r w:rsidRPr="00920F4F">
          <w:rPr>
            <w:rStyle w:val="Hipervnculo"/>
            <w:noProof/>
          </w:rPr>
          <w:t>IV.3. Bestelako kudeaketa-arloak</w:t>
        </w:r>
        <w:r>
          <w:rPr>
            <w:noProof/>
            <w:webHidden/>
          </w:rPr>
          <w:tab/>
        </w:r>
        <w:r>
          <w:rPr>
            <w:noProof/>
            <w:webHidden/>
          </w:rPr>
          <w:fldChar w:fldCharType="begin"/>
        </w:r>
        <w:r>
          <w:rPr>
            <w:noProof/>
            <w:webHidden/>
          </w:rPr>
          <w:instrText xml:space="preserve"> PAGEREF _Toc476722777 \h </w:instrText>
        </w:r>
        <w:r>
          <w:rPr>
            <w:noProof/>
            <w:webHidden/>
          </w:rPr>
        </w:r>
        <w:r>
          <w:rPr>
            <w:noProof/>
            <w:webHidden/>
          </w:rPr>
          <w:fldChar w:fldCharType="separate"/>
        </w:r>
        <w:r>
          <w:rPr>
            <w:noProof/>
            <w:webHidden/>
          </w:rPr>
          <w:t>16</w:t>
        </w:r>
        <w:r>
          <w:rPr>
            <w:noProof/>
            <w:webHidden/>
          </w:rPr>
          <w:fldChar w:fldCharType="end"/>
        </w:r>
      </w:hyperlink>
    </w:p>
    <w:p w:rsidR="00973FDE" w:rsidRDefault="00973FDE">
      <w:pPr>
        <w:pStyle w:val="TDC2"/>
        <w:rPr>
          <w:rFonts w:asciiTheme="minorHAnsi" w:eastAsiaTheme="minorEastAsia" w:hAnsiTheme="minorHAnsi" w:cstheme="minorBidi"/>
          <w:noProof/>
          <w:szCs w:val="22"/>
          <w:lang w:val="es-ES" w:eastAsia="es-ES"/>
        </w:rPr>
      </w:pPr>
      <w:hyperlink w:anchor="_Toc476722778" w:history="1">
        <w:r w:rsidRPr="00920F4F">
          <w:rPr>
            <w:rStyle w:val="Hipervnculo"/>
            <w:noProof/>
          </w:rPr>
          <w:t>IV.4. Gomendioak</w:t>
        </w:r>
        <w:r>
          <w:rPr>
            <w:noProof/>
            <w:webHidden/>
          </w:rPr>
          <w:tab/>
        </w:r>
        <w:r>
          <w:rPr>
            <w:noProof/>
            <w:webHidden/>
          </w:rPr>
          <w:fldChar w:fldCharType="begin"/>
        </w:r>
        <w:r>
          <w:rPr>
            <w:noProof/>
            <w:webHidden/>
          </w:rPr>
          <w:instrText xml:space="preserve"> PAGEREF _Toc476722778 \h </w:instrText>
        </w:r>
        <w:r>
          <w:rPr>
            <w:noProof/>
            <w:webHidden/>
          </w:rPr>
        </w:r>
        <w:r>
          <w:rPr>
            <w:noProof/>
            <w:webHidden/>
          </w:rPr>
          <w:fldChar w:fldCharType="separate"/>
        </w:r>
        <w:r>
          <w:rPr>
            <w:noProof/>
            <w:webHidden/>
          </w:rPr>
          <w:t>20</w:t>
        </w:r>
        <w:r>
          <w:rPr>
            <w:noProof/>
            <w:webHidden/>
          </w:rPr>
          <w:fldChar w:fldCharType="end"/>
        </w:r>
      </w:hyperlink>
    </w:p>
    <w:p w:rsidR="00D115AC" w:rsidRDefault="00D115AC" w:rsidP="00D115AC">
      <w:pPr>
        <w:pStyle w:val="texto"/>
      </w:pPr>
      <w:r>
        <w:fldChar w:fldCharType="end"/>
      </w:r>
    </w:p>
    <w:p w:rsidR="00D115AC" w:rsidRDefault="00D115AC" w:rsidP="00D115AC">
      <w:pPr>
        <w:pStyle w:val="texto"/>
      </w:pPr>
    </w:p>
    <w:p w:rsidR="00D115AC" w:rsidRDefault="00D115AC" w:rsidP="00D115AC">
      <w:pPr>
        <w:pStyle w:val="texto"/>
        <w:ind w:firstLine="0"/>
        <w:sectPr w:rsidR="00D115AC" w:rsidSect="00920BEF">
          <w:type w:val="oddPage"/>
          <w:pgSz w:w="11907" w:h="16840" w:code="9"/>
          <w:pgMar w:top="1701" w:right="1559" w:bottom="1644" w:left="1559" w:header="369" w:footer="402" w:gutter="0"/>
          <w:pgNumType w:start="3"/>
          <w:cols w:space="720"/>
          <w:docGrid w:linePitch="360"/>
        </w:sectPr>
      </w:pPr>
    </w:p>
    <w:p w:rsidR="00D115AC" w:rsidRDefault="00D115AC" w:rsidP="00D115AC">
      <w:pPr>
        <w:pStyle w:val="atitulo1"/>
      </w:pPr>
      <w:bookmarkStart w:id="1" w:name="_Toc303592528"/>
      <w:bookmarkStart w:id="2" w:name="_Toc309383711"/>
      <w:bookmarkStart w:id="3" w:name="_Toc339016600"/>
      <w:bookmarkStart w:id="4" w:name="_Toc476722764"/>
      <w:r>
        <w:lastRenderedPageBreak/>
        <w:t>I. Sarrera</w:t>
      </w:r>
      <w:bookmarkEnd w:id="1"/>
      <w:bookmarkEnd w:id="2"/>
      <w:bookmarkEnd w:id="3"/>
      <w:bookmarkEnd w:id="4"/>
      <w:r>
        <w:t xml:space="preserve"> </w:t>
      </w:r>
    </w:p>
    <w:p w:rsidR="00D115AC" w:rsidRPr="00A152E2" w:rsidRDefault="004F3AA0" w:rsidP="00D115AC">
      <w:pPr>
        <w:pStyle w:val="texto"/>
        <w:rPr>
          <w:szCs w:val="26"/>
        </w:rPr>
      </w:pPr>
      <w:r>
        <w:t>Ororbiako Kontzejuaren Batzarrak, 2015eko ekainaren 26an egindako bilk</w:t>
      </w:r>
      <w:r>
        <w:t>u</w:t>
      </w:r>
      <w:r>
        <w:t>ran, erabaki zuen Kontuen Ganberari eskatzea azken 12 urteetako kontu orok</w:t>
      </w:r>
      <w:r>
        <w:t>o</w:t>
      </w:r>
      <w:r>
        <w:t>rrei buruzko fiskalizazio txosten bat egiteko.</w:t>
      </w:r>
    </w:p>
    <w:p w:rsidR="00D115AC" w:rsidRPr="00A152E2" w:rsidRDefault="00374104" w:rsidP="00D115AC">
      <w:pPr>
        <w:pStyle w:val="texto"/>
        <w:rPr>
          <w:szCs w:val="26"/>
        </w:rPr>
      </w:pPr>
      <w:r>
        <w:t>Eskaera hori betetze aldera, Kontuen Ganberaren 2016rako urteko fiskaliz</w:t>
      </w:r>
      <w:r>
        <w:t>a</w:t>
      </w:r>
      <w:r>
        <w:t xml:space="preserve">zio-programan sartu zen lan hori egitea, baina hura itxitako azken ekitaldiko kontu orokorrera mugatu zuen. </w:t>
      </w:r>
    </w:p>
    <w:p w:rsidR="00374104" w:rsidRDefault="00374104" w:rsidP="00374104">
      <w:pPr>
        <w:pStyle w:val="texto"/>
        <w:rPr>
          <w:szCs w:val="26"/>
        </w:rPr>
      </w:pPr>
      <w:r>
        <w:t>Kontuen Ganberak, bera arautzen duen abenduaren 20ko 19/1984 Foru L</w:t>
      </w:r>
      <w:r>
        <w:t>e</w:t>
      </w:r>
      <w:r>
        <w:t>geari jarraituz, Ororbiako Kontzejuaren 2015eko ekitaldiko kontu orokorra fi</w:t>
      </w:r>
      <w:r>
        <w:t>s</w:t>
      </w:r>
      <w:r>
        <w:t xml:space="preserve">kalizatu du. Kontu hori, funtsean, honako hauek osatzen dute: aurrekontuaren likidazioaren egoera-orria, aurrekontu-emaitza, </w:t>
      </w:r>
      <w:proofErr w:type="spellStart"/>
      <w:r>
        <w:t>diruzaintza-gerakina</w:t>
      </w:r>
      <w:proofErr w:type="spellEnd"/>
      <w:r>
        <w:t xml:space="preserve">, balantzea eta emaitza ekonomiko eta ondarezkoen emaitzen kontua. </w:t>
      </w:r>
    </w:p>
    <w:p w:rsidR="00374104" w:rsidRPr="00E04F19" w:rsidRDefault="00374104" w:rsidP="00E04F19">
      <w:pPr>
        <w:pStyle w:val="texto"/>
        <w:rPr>
          <w:szCs w:val="26"/>
        </w:rPr>
      </w:pPr>
      <w:r>
        <w:t>Kontu orokorraren finantza-auditoriarekin batera, legezkotasuna betetzeari buruzko fiskalizazioaren plangintza egin eta bete dugu, honako honi buruzko iritzi bat eman ahal izateko: ea Ororbiako Kontzejuak ekitaldian zehar egi</w:t>
      </w:r>
      <w:r>
        <w:t>n</w:t>
      </w:r>
      <w:r>
        <w:t xml:space="preserve">dako jarduerak eta aurrekontu- eta finantza-eragiketak eta 2015eko ekitaldiko kontu orokorrean jasotako informazioa bat ote datozen, alderdi esanguratsu guztietan, funts publikoen kudeaketari aplikatzekoak zaizkion arauekin. </w:t>
      </w:r>
    </w:p>
    <w:p w:rsidR="00374104" w:rsidRPr="00D13C20" w:rsidRDefault="0054670A" w:rsidP="00D13C20">
      <w:pPr>
        <w:pStyle w:val="texto"/>
        <w:tabs>
          <w:tab w:val="clear" w:pos="2835"/>
          <w:tab w:val="clear" w:pos="3969"/>
          <w:tab w:val="clear" w:pos="5103"/>
          <w:tab w:val="clear" w:pos="6237"/>
          <w:tab w:val="clear" w:pos="7371"/>
        </w:tabs>
        <w:rPr>
          <w:szCs w:val="26"/>
        </w:rPr>
      </w:pPr>
      <w:r>
        <w:t>Ororbiako Kontzejuari 2015eko ekitaldian aplikatzekoa zaion arau-esparrua, funtsean, honako hauek osatuta dago: Nafarroako Toki Administrazioari b</w:t>
      </w:r>
      <w:r>
        <w:t>u</w:t>
      </w:r>
      <w:r>
        <w:t>ruzko 6/1990 Foru Legea, Nafarroako Toki Ogasunei buruzko 2/1995 Foru L</w:t>
      </w:r>
      <w:r>
        <w:t>e</w:t>
      </w:r>
      <w:r>
        <w:t>gea eta Toki Araubidearen Oinarriak arautzen dituen 7/1985 Legea, bai eta se</w:t>
      </w:r>
      <w:r>
        <w:t>k</w:t>
      </w:r>
      <w:r>
        <w:t>torekako araudi indarduna ere. Kontabilitate- eta aurrekontu-kudeaketarako, Kontzejuak 273/1998 Foru Dekretuan araututako araubide sinplifikatua aplik</w:t>
      </w:r>
      <w:r>
        <w:t>a</w:t>
      </w:r>
      <w:r>
        <w:t>tzen du, programa informatiko baten bitartez.</w:t>
      </w:r>
    </w:p>
    <w:p w:rsidR="00B1765E" w:rsidRDefault="00A42F39" w:rsidP="00A42F39">
      <w:pPr>
        <w:pStyle w:val="texto"/>
        <w:tabs>
          <w:tab w:val="clear" w:pos="2835"/>
          <w:tab w:val="clear" w:pos="3969"/>
          <w:tab w:val="clear" w:pos="5103"/>
          <w:tab w:val="clear" w:pos="6237"/>
          <w:tab w:val="clear" w:pos="7371"/>
        </w:tabs>
        <w:rPr>
          <w:szCs w:val="26"/>
        </w:rPr>
      </w:pPr>
      <w:r>
        <w:t>Ororbiako Kontzejua Oltza Zendeako Udalaren bederatzi kontzejuetako bat da. 4,68 Km</w:t>
      </w:r>
      <w:r>
        <w:rPr>
          <w:vertAlign w:val="superscript"/>
        </w:rPr>
        <w:t>2</w:t>
      </w:r>
      <w:r>
        <w:t>-</w:t>
      </w:r>
      <w:proofErr w:type="spellStart"/>
      <w:r>
        <w:t>ko</w:t>
      </w:r>
      <w:proofErr w:type="spellEnd"/>
      <w:r>
        <w:t xml:space="preserve"> azalera du eta 766 biztanle zituen 2015ko urtarrilaren 1ean. Udalaren guztizkoan, Kontzejuak lurraldearen ehuneko 11 eta biztanleriaren ehuneko 42 hartzen ditu.</w:t>
      </w:r>
    </w:p>
    <w:p w:rsidR="00D115AC" w:rsidRPr="00A42F39" w:rsidRDefault="00453640" w:rsidP="001F1225">
      <w:pPr>
        <w:pStyle w:val="texto"/>
        <w:tabs>
          <w:tab w:val="clear" w:pos="2835"/>
          <w:tab w:val="clear" w:pos="3969"/>
          <w:tab w:val="clear" w:pos="5103"/>
          <w:tab w:val="clear" w:pos="6237"/>
          <w:tab w:val="clear" w:pos="7371"/>
        </w:tabs>
        <w:spacing w:after="240"/>
        <w:rPr>
          <w:szCs w:val="26"/>
        </w:rPr>
      </w:pPr>
      <w:r>
        <w:t xml:space="preserve">Kontzejuak ez du tresna izaerako </w:t>
      </w:r>
      <w:proofErr w:type="spellStart"/>
      <w:r>
        <w:t>enterik</w:t>
      </w:r>
      <w:proofErr w:type="spellEnd"/>
      <w:r>
        <w:t>, eta haren datu ekonomiko eta la</w:t>
      </w:r>
      <w:r>
        <w:t>n</w:t>
      </w:r>
      <w:r>
        <w:t>gileei buruzko datu garrantzitsuenak honako hauek ziren 2015eko ekitaldiaren itxieran:</w:t>
      </w:r>
    </w:p>
    <w:tbl>
      <w:tblPr>
        <w:tblW w:w="4888" w:type="pct"/>
        <w:jc w:val="center"/>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7018"/>
        <w:gridCol w:w="1711"/>
      </w:tblGrid>
      <w:tr w:rsidR="00D115AC" w:rsidRPr="006420DA" w:rsidTr="0094179B">
        <w:trPr>
          <w:trHeight w:val="284"/>
          <w:jc w:val="center"/>
        </w:trPr>
        <w:tc>
          <w:tcPr>
            <w:tcW w:w="4020" w:type="pct"/>
            <w:shd w:val="clear" w:color="auto" w:fill="FABF8F" w:themeFill="accent6" w:themeFillTint="99"/>
            <w:vAlign w:val="center"/>
          </w:tcPr>
          <w:p w:rsidR="00D115AC" w:rsidRPr="002A6470" w:rsidRDefault="00A42F39" w:rsidP="009B7299">
            <w:pPr>
              <w:pStyle w:val="cuatexto"/>
              <w:jc w:val="left"/>
              <w:rPr>
                <w:rFonts w:ascii="Arial" w:hAnsi="Arial" w:cs="Arial"/>
                <w:sz w:val="18"/>
                <w:szCs w:val="18"/>
              </w:rPr>
            </w:pPr>
            <w:r>
              <w:rPr>
                <w:rFonts w:ascii="Arial" w:hAnsi="Arial"/>
                <w:sz w:val="18"/>
                <w:szCs w:val="18"/>
              </w:rPr>
              <w:t>Ororbiako Kontzejua</w:t>
            </w:r>
          </w:p>
        </w:tc>
        <w:tc>
          <w:tcPr>
            <w:tcW w:w="980" w:type="pct"/>
            <w:shd w:val="clear" w:color="auto" w:fill="FABF8F" w:themeFill="accent6" w:themeFillTint="99"/>
            <w:vAlign w:val="center"/>
          </w:tcPr>
          <w:p w:rsidR="00D115AC" w:rsidRPr="002A6470" w:rsidRDefault="00D115AC" w:rsidP="0094179B">
            <w:pPr>
              <w:pStyle w:val="cuatexto"/>
              <w:jc w:val="right"/>
              <w:rPr>
                <w:rFonts w:ascii="Arial" w:hAnsi="Arial" w:cs="Arial"/>
                <w:sz w:val="18"/>
                <w:szCs w:val="18"/>
              </w:rPr>
            </w:pPr>
            <w:r>
              <w:rPr>
                <w:rFonts w:ascii="Arial" w:hAnsi="Arial"/>
                <w:sz w:val="18"/>
                <w:szCs w:val="18"/>
              </w:rPr>
              <w:t>Zenbatekoa</w:t>
            </w:r>
          </w:p>
        </w:tc>
      </w:tr>
      <w:tr w:rsidR="00D115AC" w:rsidRPr="006420DA" w:rsidTr="0094179B">
        <w:trPr>
          <w:trHeight w:val="284"/>
          <w:jc w:val="center"/>
        </w:trPr>
        <w:tc>
          <w:tcPr>
            <w:tcW w:w="4020" w:type="pct"/>
            <w:tcBorders>
              <w:bottom w:val="single" w:sz="2" w:space="0" w:color="auto"/>
            </w:tcBorders>
            <w:noWrap/>
            <w:vAlign w:val="center"/>
          </w:tcPr>
          <w:p w:rsidR="00D115AC" w:rsidRPr="00A36664" w:rsidRDefault="00D115AC" w:rsidP="0094179B">
            <w:pPr>
              <w:pStyle w:val="cuatexto"/>
              <w:jc w:val="left"/>
            </w:pPr>
            <w:r>
              <w:t>Aitortutako eskubideak</w:t>
            </w:r>
          </w:p>
        </w:tc>
        <w:tc>
          <w:tcPr>
            <w:tcW w:w="980" w:type="pct"/>
            <w:tcBorders>
              <w:bottom w:val="single" w:sz="2" w:space="0" w:color="auto"/>
            </w:tcBorders>
            <w:noWrap/>
            <w:vAlign w:val="center"/>
          </w:tcPr>
          <w:p w:rsidR="00D115AC" w:rsidRPr="00A36664" w:rsidRDefault="00220BE3" w:rsidP="0094179B">
            <w:pPr>
              <w:pStyle w:val="cuatexto"/>
              <w:jc w:val="right"/>
            </w:pPr>
            <w:r>
              <w:t>285.056</w:t>
            </w:r>
          </w:p>
        </w:tc>
      </w:tr>
      <w:tr w:rsidR="00D115AC" w:rsidRPr="006420DA" w:rsidTr="0094179B">
        <w:trPr>
          <w:trHeight w:val="284"/>
          <w:jc w:val="center"/>
        </w:trPr>
        <w:tc>
          <w:tcPr>
            <w:tcW w:w="4020" w:type="pct"/>
            <w:tcBorders>
              <w:top w:val="single" w:sz="2" w:space="0" w:color="auto"/>
              <w:bottom w:val="single" w:sz="2" w:space="0" w:color="auto"/>
            </w:tcBorders>
            <w:noWrap/>
            <w:vAlign w:val="center"/>
          </w:tcPr>
          <w:p w:rsidR="00D115AC" w:rsidRPr="00A36664" w:rsidRDefault="00D115AC" w:rsidP="0094179B">
            <w:pPr>
              <w:pStyle w:val="cuatexto"/>
              <w:jc w:val="left"/>
            </w:pPr>
            <w:r>
              <w:t>Aitortutako betebeharrak</w:t>
            </w:r>
          </w:p>
        </w:tc>
        <w:tc>
          <w:tcPr>
            <w:tcW w:w="980" w:type="pct"/>
            <w:tcBorders>
              <w:top w:val="single" w:sz="2" w:space="0" w:color="auto"/>
              <w:bottom w:val="single" w:sz="2" w:space="0" w:color="auto"/>
            </w:tcBorders>
            <w:noWrap/>
            <w:vAlign w:val="center"/>
          </w:tcPr>
          <w:p w:rsidR="00D115AC" w:rsidRPr="00A36664" w:rsidRDefault="00220BE3" w:rsidP="0094179B">
            <w:pPr>
              <w:pStyle w:val="cuatexto"/>
              <w:jc w:val="right"/>
            </w:pPr>
            <w:r>
              <w:t>199.705</w:t>
            </w:r>
          </w:p>
        </w:tc>
      </w:tr>
      <w:tr w:rsidR="00D115AC" w:rsidRPr="006420DA" w:rsidTr="0094179B">
        <w:trPr>
          <w:trHeight w:val="284"/>
          <w:jc w:val="center"/>
        </w:trPr>
        <w:tc>
          <w:tcPr>
            <w:tcW w:w="4020" w:type="pct"/>
            <w:tcBorders>
              <w:top w:val="single" w:sz="2" w:space="0" w:color="auto"/>
            </w:tcBorders>
            <w:noWrap/>
            <w:vAlign w:val="center"/>
          </w:tcPr>
          <w:p w:rsidR="00D115AC" w:rsidRPr="00A36664" w:rsidRDefault="00A42F39" w:rsidP="00A42F39">
            <w:pPr>
              <w:pStyle w:val="cuatexto"/>
              <w:jc w:val="left"/>
            </w:pPr>
            <w:r>
              <w:t>Lanaldi partzialeko langileen kopurua</w:t>
            </w:r>
          </w:p>
        </w:tc>
        <w:tc>
          <w:tcPr>
            <w:tcW w:w="980" w:type="pct"/>
            <w:tcBorders>
              <w:top w:val="single" w:sz="2" w:space="0" w:color="auto"/>
            </w:tcBorders>
            <w:noWrap/>
            <w:vAlign w:val="center"/>
          </w:tcPr>
          <w:p w:rsidR="00D115AC" w:rsidRPr="00A36664" w:rsidRDefault="00852F61" w:rsidP="0094179B">
            <w:pPr>
              <w:pStyle w:val="cuatexto"/>
              <w:jc w:val="right"/>
            </w:pPr>
            <w:r>
              <w:t>2</w:t>
            </w:r>
          </w:p>
        </w:tc>
      </w:tr>
    </w:tbl>
    <w:p w:rsidR="00D115AC" w:rsidRDefault="00D115AC" w:rsidP="00D115AC">
      <w:pPr>
        <w:pStyle w:val="texto"/>
        <w:tabs>
          <w:tab w:val="clear" w:pos="2835"/>
          <w:tab w:val="clear" w:pos="3969"/>
          <w:tab w:val="clear" w:pos="5103"/>
          <w:tab w:val="clear" w:pos="6237"/>
          <w:tab w:val="clear" w:pos="7371"/>
        </w:tabs>
        <w:spacing w:after="0"/>
        <w:ind w:firstLine="0"/>
        <w:rPr>
          <w:szCs w:val="26"/>
          <w:lang w:val="es-ES" w:eastAsia="es-ES"/>
        </w:rPr>
      </w:pPr>
    </w:p>
    <w:p w:rsidR="00852F61" w:rsidRPr="001F1225" w:rsidRDefault="00220BE3" w:rsidP="008772EF">
      <w:pPr>
        <w:pStyle w:val="texto"/>
        <w:tabs>
          <w:tab w:val="clear" w:pos="2835"/>
          <w:tab w:val="clear" w:pos="3969"/>
          <w:tab w:val="clear" w:pos="5103"/>
          <w:tab w:val="clear" w:pos="6237"/>
          <w:tab w:val="clear" w:pos="7371"/>
        </w:tabs>
        <w:rPr>
          <w:spacing w:val="4"/>
          <w:szCs w:val="26"/>
        </w:rPr>
      </w:pPr>
      <w:r>
        <w:t>Lankidetza-hitzarmen baten bidez, 1996an, aholkulari juridiko bat kontratatu zen Zendeako kontzeju guztietarako. Aholkulariak, gainera, kudeaketa admini</w:t>
      </w:r>
      <w:r>
        <w:t>s</w:t>
      </w:r>
      <w:r>
        <w:t xml:space="preserve">tratiboko eta kontabilitateko eta jendeari arreta emateko zerbitzuak ematen ditu. </w:t>
      </w:r>
      <w:r>
        <w:lastRenderedPageBreak/>
        <w:t>Hiru hiru egunez egiten du lan Aratzuriko Kontzejuan eta bi egunez Ororbi</w:t>
      </w:r>
      <w:r>
        <w:t>a</w:t>
      </w:r>
      <w:r>
        <w:t xml:space="preserve">koan, lanaldi osoan. Haren lansariak Aratzuriko Kontzejuak ordaintzen ditu, baina haren kostuaren ehuneko 50 Zendeako Udalak eta beste ehuneko 50a kontzejuek ordaintzen dute, biztanle-kopuruaren arabera.  </w:t>
      </w:r>
    </w:p>
    <w:p w:rsidR="00416585" w:rsidRPr="00416585" w:rsidRDefault="00416585" w:rsidP="00416585">
      <w:pPr>
        <w:pStyle w:val="texto"/>
        <w:tabs>
          <w:tab w:val="clear" w:pos="2835"/>
          <w:tab w:val="clear" w:pos="3969"/>
          <w:tab w:val="clear" w:pos="5103"/>
          <w:tab w:val="clear" w:pos="6237"/>
          <w:tab w:val="clear" w:pos="7371"/>
        </w:tabs>
        <w:rPr>
          <w:szCs w:val="26"/>
        </w:rPr>
      </w:pPr>
      <w:r>
        <w:t xml:space="preserve">Kontzejuaren </w:t>
      </w:r>
      <w:r>
        <w:rPr>
          <w:b/>
          <w:szCs w:val="26"/>
        </w:rPr>
        <w:t xml:space="preserve">egitura organikoa </w:t>
      </w:r>
      <w:r>
        <w:t xml:space="preserve">honako hau da: </w:t>
      </w:r>
      <w:proofErr w:type="spellStart"/>
      <w:r>
        <w:t>kontzejuburu</w:t>
      </w:r>
      <w:proofErr w:type="spellEnd"/>
      <w:r>
        <w:t xml:space="preserve"> bat eta batzar </w:t>
      </w:r>
      <w:proofErr w:type="spellStart"/>
      <w:r>
        <w:t>bat</w:t>
      </w:r>
      <w:proofErr w:type="spellEnd"/>
      <w:r>
        <w:t xml:space="preserve">, non </w:t>
      </w:r>
      <w:proofErr w:type="spellStart"/>
      <w:r>
        <w:t>kontzejuburua</w:t>
      </w:r>
      <w:proofErr w:type="spellEnd"/>
      <w:r>
        <w:t xml:space="preserve"> eta hiru </w:t>
      </w:r>
      <w:proofErr w:type="spellStart"/>
      <w:r>
        <w:t>kontzejukide</w:t>
      </w:r>
      <w:proofErr w:type="spellEnd"/>
      <w:r>
        <w:t xml:space="preserve"> baitaude. 6/1990 Foru Legeari j</w:t>
      </w:r>
      <w:r>
        <w:t>a</w:t>
      </w:r>
      <w:r>
        <w:t xml:space="preserve">rraituz, </w:t>
      </w:r>
      <w:proofErr w:type="spellStart"/>
      <w:r>
        <w:t>kontzejuburuak</w:t>
      </w:r>
      <w:proofErr w:type="spellEnd"/>
      <w:r>
        <w:t xml:space="preserve"> alkate bati esleitzen zaizkion eskumen berak dauzka; Kontzejuko Batzarrak, berriz, honako hauek dauzka:</w:t>
      </w:r>
    </w:p>
    <w:p w:rsidR="00416585" w:rsidRPr="00416585" w:rsidRDefault="00416585" w:rsidP="0041658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proofErr w:type="spellStart"/>
      <w:r>
        <w:t>Kontzejuburuaren</w:t>
      </w:r>
      <w:proofErr w:type="spellEnd"/>
      <w:r>
        <w:t xml:space="preserve"> ekintzak kontrolatu eta haien fiskalizazioa egitea.</w:t>
      </w:r>
    </w:p>
    <w:p w:rsidR="00416585" w:rsidRPr="00416585" w:rsidRDefault="00416585" w:rsidP="0041658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Aurrekontuak eta ordenantzak onestea, kontuen zentsura egitea, eta kred</w:t>
      </w:r>
      <w:r>
        <w:t>i</w:t>
      </w:r>
      <w:r>
        <w:t>tuak aitortzea, aurrekontu-zuzkidurarik ez badago.</w:t>
      </w:r>
    </w:p>
    <w:p w:rsidR="00416585" w:rsidRPr="00416585" w:rsidRDefault="00416585" w:rsidP="0041658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Ondarea administratu eta kontserbatzea eta herri-lurren aprobetxamendua erregulatzea.</w:t>
      </w:r>
    </w:p>
    <w:p w:rsidR="00416585" w:rsidRPr="00416585" w:rsidRDefault="00416585" w:rsidP="0041658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Ekintza judizial eta administratiboak aurrera eramatea.</w:t>
      </w:r>
    </w:p>
    <w:p w:rsidR="00416585" w:rsidRPr="00416585" w:rsidRDefault="00416585" w:rsidP="0041658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Ondasunen xedapenari, kreditu-eragiketei eta nahitaezko desjabetzeari b</w:t>
      </w:r>
      <w:r>
        <w:t>u</w:t>
      </w:r>
      <w:r>
        <w:t>ruzko erabakiak hartzea, bai eta legeak, udalei dagokienez, udalaren osoko bi</w:t>
      </w:r>
      <w:r>
        <w:t>l</w:t>
      </w:r>
      <w:r>
        <w:t>kurari esleitzen dizkion gainerako eskudantziak ere.</w:t>
      </w:r>
    </w:p>
    <w:p w:rsidR="00904C7F" w:rsidRDefault="00904C7F" w:rsidP="00416585">
      <w:pPr>
        <w:tabs>
          <w:tab w:val="left" w:pos="2835"/>
        </w:tabs>
        <w:ind w:firstLine="284"/>
        <w:rPr>
          <w:spacing w:val="6"/>
          <w:sz w:val="26"/>
          <w:szCs w:val="26"/>
        </w:rPr>
      </w:pPr>
      <w:r>
        <w:rPr>
          <w:sz w:val="26"/>
          <w:szCs w:val="26"/>
        </w:rPr>
        <w:t xml:space="preserve">Halaber, </w:t>
      </w:r>
      <w:proofErr w:type="spellStart"/>
      <w:r>
        <w:rPr>
          <w:sz w:val="26"/>
          <w:szCs w:val="26"/>
        </w:rPr>
        <w:t>kontzejukideetako</w:t>
      </w:r>
      <w:proofErr w:type="spellEnd"/>
      <w:r>
        <w:rPr>
          <w:sz w:val="26"/>
          <w:szCs w:val="26"/>
        </w:rPr>
        <w:t xml:space="preserve"> bat kontzejuko idazkari izendatzen da eta bestea, b</w:t>
      </w:r>
      <w:r>
        <w:rPr>
          <w:sz w:val="26"/>
          <w:szCs w:val="26"/>
        </w:rPr>
        <w:t>e</w:t>
      </w:r>
      <w:r>
        <w:rPr>
          <w:sz w:val="26"/>
          <w:szCs w:val="26"/>
        </w:rPr>
        <w:t>rriz, diruzain.</w:t>
      </w:r>
    </w:p>
    <w:p w:rsidR="00416585" w:rsidRPr="00685E59" w:rsidRDefault="00416585" w:rsidP="00416585">
      <w:pPr>
        <w:tabs>
          <w:tab w:val="left" w:pos="2835"/>
        </w:tabs>
        <w:ind w:firstLine="284"/>
        <w:rPr>
          <w:spacing w:val="6"/>
          <w:sz w:val="26"/>
          <w:szCs w:val="26"/>
        </w:rPr>
      </w:pPr>
      <w:r>
        <w:rPr>
          <w:sz w:val="26"/>
          <w:szCs w:val="26"/>
        </w:rPr>
        <w:t xml:space="preserve">Ororbiako Kontzejuak betetzen dituen </w:t>
      </w:r>
      <w:r>
        <w:rPr>
          <w:b/>
          <w:sz w:val="26"/>
          <w:szCs w:val="26"/>
        </w:rPr>
        <w:t>eskumenak</w:t>
      </w:r>
      <w:r>
        <w:rPr>
          <w:sz w:val="26"/>
          <w:szCs w:val="26"/>
        </w:rPr>
        <w:t>, Toki Administrazioari b</w:t>
      </w:r>
      <w:r>
        <w:rPr>
          <w:sz w:val="26"/>
          <w:szCs w:val="26"/>
        </w:rPr>
        <w:t>u</w:t>
      </w:r>
      <w:r>
        <w:rPr>
          <w:sz w:val="26"/>
          <w:szCs w:val="26"/>
        </w:rPr>
        <w:t>ruzko Foru Legearen arabera, honela laburbil daitezke:</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Bere ondarearen eta herri-ondasunen administrazioa eta kontserbazioa.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Herri-bideen mantentzea.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Hirigintza-lizentziak ematea, Udalak aginduzkoa den aldez aurretiko txo</w:t>
      </w:r>
      <w:r>
        <w:t>s</w:t>
      </w:r>
      <w:r>
        <w:t>ten loteslea emanda.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Kale garbiketa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Argiteria publikoa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Hilerria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Bertako festak</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Kontzejuaren artxiboa</w:t>
      </w:r>
    </w:p>
    <w:p w:rsidR="00F81707" w:rsidRPr="001F1225" w:rsidRDefault="00F81707" w:rsidP="00A5413A">
      <w:pPr>
        <w:pStyle w:val="texto"/>
        <w:tabs>
          <w:tab w:val="clear" w:pos="2835"/>
          <w:tab w:val="clear" w:pos="3969"/>
          <w:tab w:val="clear" w:pos="5103"/>
          <w:tab w:val="clear" w:pos="6237"/>
          <w:tab w:val="clear" w:pos="7371"/>
        </w:tabs>
        <w:rPr>
          <w:rFonts w:ascii="Times New (W1)" w:hAnsi="Times New (W1)"/>
          <w:spacing w:val="4"/>
          <w:szCs w:val="26"/>
        </w:rPr>
      </w:pPr>
      <w:r>
        <w:rPr>
          <w:rFonts w:ascii="Times New (W1)" w:hAnsi="Times New (W1)"/>
          <w:szCs w:val="26"/>
        </w:rPr>
        <w:t>Araudiak, halaber, aurreikusten du Kontzejuak berez kontzejuarenak diren eskumenak Udalari eskuordetzea. Hartara, Ororbiako Kontzejuak Udalari doan laga dio Udalari Kontzejuaren pilotalekuaren kudeaketa.</w:t>
      </w:r>
    </w:p>
    <w:p w:rsidR="00920BEF" w:rsidRDefault="00920BEF" w:rsidP="00685E59">
      <w:pPr>
        <w:tabs>
          <w:tab w:val="left" w:pos="2835"/>
        </w:tabs>
        <w:ind w:firstLine="284"/>
        <w:rPr>
          <w:spacing w:val="6"/>
          <w:sz w:val="26"/>
          <w:szCs w:val="26"/>
        </w:rPr>
      </w:pPr>
    </w:p>
    <w:p w:rsidR="0081454A" w:rsidRDefault="0081454A" w:rsidP="00685E59">
      <w:pPr>
        <w:tabs>
          <w:tab w:val="left" w:pos="2835"/>
        </w:tabs>
        <w:ind w:firstLine="284"/>
        <w:rPr>
          <w:spacing w:val="6"/>
          <w:sz w:val="26"/>
          <w:szCs w:val="26"/>
        </w:rPr>
      </w:pPr>
    </w:p>
    <w:p w:rsidR="00416585" w:rsidRPr="00685E59" w:rsidRDefault="00DC21D3" w:rsidP="00685E59">
      <w:pPr>
        <w:tabs>
          <w:tab w:val="left" w:pos="2835"/>
        </w:tabs>
        <w:ind w:firstLine="284"/>
        <w:rPr>
          <w:spacing w:val="6"/>
          <w:sz w:val="26"/>
          <w:szCs w:val="26"/>
        </w:rPr>
      </w:pPr>
      <w:r>
        <w:rPr>
          <w:b/>
          <w:sz w:val="26"/>
          <w:szCs w:val="26"/>
        </w:rPr>
        <w:lastRenderedPageBreak/>
        <w:t xml:space="preserve">Finantzaketari </w:t>
      </w:r>
      <w:r>
        <w:rPr>
          <w:sz w:val="26"/>
          <w:szCs w:val="26"/>
        </w:rPr>
        <w:t>dagokionez, Toki Administrazioari buruzko Foru Legeak aip</w:t>
      </w:r>
      <w:r>
        <w:rPr>
          <w:sz w:val="26"/>
          <w:szCs w:val="26"/>
        </w:rPr>
        <w:t>a</w:t>
      </w:r>
      <w:r>
        <w:rPr>
          <w:sz w:val="26"/>
          <w:szCs w:val="26"/>
        </w:rPr>
        <w:t>tzen du kontzejuek honako hauek izanen dituztela:</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Udalek bezalako baliabide </w:t>
      </w:r>
      <w:proofErr w:type="spellStart"/>
      <w:r>
        <w:t>ez-tributarioak</w:t>
      </w:r>
      <w:proofErr w:type="spellEnd"/>
      <w:r>
        <w:t xml:space="preserve"> izanen dituzte, urbanizazio ku</w:t>
      </w:r>
      <w:r>
        <w:t>o</w:t>
      </w:r>
      <w:r>
        <w:t>tak ezik.</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Ez dute zilegi izanen tasak eta kontribuzio bereziak beste tributurik orda</w:t>
      </w:r>
      <w:r>
        <w:t>i</w:t>
      </w:r>
      <w:r>
        <w:t>naraztea.</w:t>
      </w:r>
    </w:p>
    <w:p w:rsidR="00416585" w:rsidRPr="00DC21D3"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Foru Komunitatearen eta estatuaren zergen partaidetza izanen du.</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Ondaretik eratorritako baliabideak.</w:t>
      </w:r>
    </w:p>
    <w:p w:rsidR="00416585" w:rsidRPr="00685E59" w:rsidRDefault="00416585" w:rsidP="00685E5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Diru-laguntzak.</w:t>
      </w:r>
    </w:p>
    <w:p w:rsidR="00755052" w:rsidRPr="00DC21D3" w:rsidRDefault="00416585" w:rsidP="00DC21D3">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rFonts w:ascii="Arial" w:hAnsi="Arial" w:cs="Arial"/>
        </w:rPr>
      </w:pPr>
      <w:r>
        <w:t>Zorpetzea.</w:t>
      </w:r>
    </w:p>
    <w:p w:rsidR="001442AE" w:rsidRPr="00C82E98" w:rsidRDefault="001442AE" w:rsidP="00C82E98">
      <w:pPr>
        <w:pStyle w:val="texto"/>
        <w:tabs>
          <w:tab w:val="clear" w:pos="2835"/>
          <w:tab w:val="clear" w:pos="3969"/>
          <w:tab w:val="clear" w:pos="5103"/>
          <w:tab w:val="clear" w:pos="6237"/>
          <w:tab w:val="clear" w:pos="7371"/>
        </w:tabs>
        <w:rPr>
          <w:szCs w:val="26"/>
        </w:rPr>
      </w:pPr>
      <w:r>
        <w:t>2015eko aurrekontua 2015eko abenduaren 22an onetsi zuen Kontzejuaren Batzarrak.</w:t>
      </w:r>
    </w:p>
    <w:p w:rsidR="003465F8" w:rsidRPr="003465F8" w:rsidRDefault="003465F8" w:rsidP="003465F8">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Ez da auditoriarik egin Kontzejuaren 2014ko ekitaldiko kontu orokorrari b</w:t>
      </w:r>
      <w:r>
        <w:rPr>
          <w:rFonts w:ascii="Times New (W1)" w:hAnsi="Times New (W1)"/>
          <w:szCs w:val="26"/>
        </w:rPr>
        <w:t>u</w:t>
      </w:r>
      <w:r>
        <w:rPr>
          <w:rFonts w:ascii="Times New (W1)" w:hAnsi="Times New (W1)"/>
          <w:szCs w:val="26"/>
        </w:rPr>
        <w:t>ruz. Ekitaldi horri buruzko informazioa, txosten honetan jasotakoa, informazio-hutsez ematen da.</w:t>
      </w:r>
    </w:p>
    <w:p w:rsidR="00D115AC" w:rsidRPr="00780510" w:rsidRDefault="00D115AC" w:rsidP="003465F8">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Txostena lau ataletan dago banatuta, sarrera hau barne. Bigarrenean, gure ir</w:t>
      </w:r>
      <w:r>
        <w:rPr>
          <w:rFonts w:ascii="Times New (W1)" w:hAnsi="Times New (W1)"/>
          <w:szCs w:val="26"/>
        </w:rPr>
        <w:t>i</w:t>
      </w:r>
      <w:r>
        <w:rPr>
          <w:rFonts w:ascii="Times New (W1)" w:hAnsi="Times New (W1)"/>
          <w:szCs w:val="26"/>
        </w:rPr>
        <w:t>tzi finantzarioa eta legezkotasunaren betetzeari buruzkoa ematen dugu, Kontz</w:t>
      </w:r>
      <w:r>
        <w:rPr>
          <w:rFonts w:ascii="Times New (W1)" w:hAnsi="Times New (W1)"/>
          <w:szCs w:val="26"/>
        </w:rPr>
        <w:t>e</w:t>
      </w:r>
      <w:r>
        <w:rPr>
          <w:rFonts w:ascii="Times New (W1)" w:hAnsi="Times New (W1)"/>
          <w:szCs w:val="26"/>
        </w:rPr>
        <w:t xml:space="preserve">juaren 2015eko kontu orokorrari dagokienez; hirugarren atalean kontabilitateko egoera-orri nagusiak laburbiltzen dira. Laugarrenean, Kontzejuaren egoera </w:t>
      </w:r>
      <w:proofErr w:type="spellStart"/>
      <w:r>
        <w:rPr>
          <w:rFonts w:ascii="Times New (W1)" w:hAnsi="Times New (W1)"/>
          <w:szCs w:val="26"/>
        </w:rPr>
        <w:t>ekonomiko-finantzarioari</w:t>
      </w:r>
      <w:proofErr w:type="spellEnd"/>
      <w:r>
        <w:rPr>
          <w:rFonts w:ascii="Times New (W1)" w:hAnsi="Times New (W1)"/>
          <w:szCs w:val="26"/>
        </w:rPr>
        <w:t xml:space="preserve"> buruzko oharrak eta ondorioak jaso ditugu, bai eta aurrekontu-egonkortasunaren eta finantza-iraunkortasunaren helburuak bet</w:t>
      </w:r>
      <w:r>
        <w:rPr>
          <w:rFonts w:ascii="Times New (W1)" w:hAnsi="Times New (W1)"/>
          <w:szCs w:val="26"/>
        </w:rPr>
        <w:t>e</w:t>
      </w:r>
      <w:r>
        <w:rPr>
          <w:rFonts w:ascii="Times New (W1)" w:hAnsi="Times New (W1)"/>
          <w:szCs w:val="26"/>
        </w:rPr>
        <w:t>tzeari buruzkoak eta bestelako kudeaketa-arlo garrantzitsuei buruzkoak ere, Kontzejuaren kudeaketa hobetzeko egokitzat jotzen ditugun gomendioekin b</w:t>
      </w:r>
      <w:r>
        <w:rPr>
          <w:rFonts w:ascii="Times New (W1)" w:hAnsi="Times New (W1)"/>
          <w:szCs w:val="26"/>
        </w:rPr>
        <w:t>a</w:t>
      </w:r>
      <w:r>
        <w:rPr>
          <w:rFonts w:ascii="Times New (W1)" w:hAnsi="Times New (W1)"/>
          <w:szCs w:val="26"/>
        </w:rPr>
        <w:t xml:space="preserve">tera. </w:t>
      </w:r>
    </w:p>
    <w:p w:rsidR="00966B08" w:rsidRPr="006A674A" w:rsidRDefault="00D115AC" w:rsidP="00D115AC">
      <w:pPr>
        <w:pStyle w:val="texto"/>
        <w:tabs>
          <w:tab w:val="clear" w:pos="2835"/>
          <w:tab w:val="clear" w:pos="3969"/>
          <w:tab w:val="clear" w:pos="5103"/>
          <w:tab w:val="clear" w:pos="6237"/>
          <w:tab w:val="clear" w:pos="7371"/>
        </w:tabs>
        <w:rPr>
          <w:rFonts w:ascii="Times New (W1)" w:hAnsi="Times New (W1)"/>
          <w:szCs w:val="26"/>
        </w:rPr>
      </w:pPr>
      <w:r>
        <w:rPr>
          <w:rFonts w:ascii="Times New (W1)" w:hAnsi="Times New (W1)"/>
          <w:szCs w:val="26"/>
        </w:rPr>
        <w:t xml:space="preserve">Jarduketa honen emaitzak egungo </w:t>
      </w:r>
      <w:proofErr w:type="spellStart"/>
      <w:r>
        <w:rPr>
          <w:rFonts w:ascii="Times New (W1)" w:hAnsi="Times New (W1)"/>
          <w:szCs w:val="26"/>
        </w:rPr>
        <w:t>kontzejuburuari</w:t>
      </w:r>
      <w:proofErr w:type="spellEnd"/>
      <w:r>
        <w:rPr>
          <w:rFonts w:ascii="Times New (W1)" w:hAnsi="Times New (W1)"/>
          <w:szCs w:val="26"/>
        </w:rPr>
        <w:t xml:space="preserve"> azaldu zitzaizkion, bai eta 2015eko ekainera arte kargu horretan aritutakoari ere, nahi izanez gero egok</w:t>
      </w:r>
      <w:r>
        <w:rPr>
          <w:rFonts w:ascii="Times New (W1)" w:hAnsi="Times New (W1)"/>
          <w:szCs w:val="26"/>
        </w:rPr>
        <w:t>i</w:t>
      </w:r>
      <w:r>
        <w:rPr>
          <w:rFonts w:ascii="Times New (W1)" w:hAnsi="Times New (W1)"/>
          <w:szCs w:val="26"/>
        </w:rPr>
        <w:t>tzat jotzen zituzten alegazioak aurkezteko, Nafarroako Kontuen Ganberari b</w:t>
      </w:r>
      <w:r>
        <w:rPr>
          <w:rFonts w:ascii="Times New (W1)" w:hAnsi="Times New (W1)"/>
          <w:szCs w:val="26"/>
        </w:rPr>
        <w:t>u</w:t>
      </w:r>
      <w:r>
        <w:rPr>
          <w:rFonts w:ascii="Times New (W1)" w:hAnsi="Times New (W1)"/>
          <w:szCs w:val="26"/>
        </w:rPr>
        <w:t>ruzko 19/1984 Foru Legeko 14 artikuluan aurreikusitakoari jarraituz. Epea ir</w:t>
      </w:r>
      <w:r>
        <w:rPr>
          <w:rFonts w:ascii="Times New (W1)" w:hAnsi="Times New (W1)"/>
          <w:szCs w:val="26"/>
        </w:rPr>
        <w:t>a</w:t>
      </w:r>
      <w:r>
        <w:rPr>
          <w:rFonts w:ascii="Times New (W1)" w:hAnsi="Times New (W1)"/>
          <w:szCs w:val="26"/>
        </w:rPr>
        <w:t>ganda, ez dute alegaziorik aurkeztu.</w:t>
      </w:r>
    </w:p>
    <w:p w:rsidR="00D115AC" w:rsidRDefault="00D115AC" w:rsidP="00D115AC">
      <w:pPr>
        <w:pStyle w:val="texto"/>
        <w:tabs>
          <w:tab w:val="clear" w:pos="2835"/>
          <w:tab w:val="clear" w:pos="3969"/>
          <w:tab w:val="clear" w:pos="5103"/>
          <w:tab w:val="clear" w:pos="6237"/>
          <w:tab w:val="clear" w:pos="7371"/>
        </w:tabs>
        <w:rPr>
          <w:rFonts w:ascii="Arial" w:hAnsi="Arial"/>
          <w:b/>
          <w:color w:val="000000"/>
          <w:kern w:val="28"/>
          <w:sz w:val="25"/>
          <w:szCs w:val="26"/>
        </w:rPr>
      </w:pPr>
      <w:r>
        <w:t>Ororbiako Kontzejuko langileei eskerrak ematen dizkiegu lan hau egiteko eman diguten laguntza dela eta.</w:t>
      </w:r>
      <w:bookmarkStart w:id="5" w:name="_Toc188167194"/>
      <w:bookmarkStart w:id="6" w:name="_Toc303592531"/>
      <w:bookmarkStart w:id="7" w:name="_Toc309383714"/>
      <w:bookmarkStart w:id="8" w:name="_Toc339016603"/>
      <w:r>
        <w:br w:type="page"/>
      </w:r>
    </w:p>
    <w:p w:rsidR="00D115AC" w:rsidRPr="00331AF7" w:rsidRDefault="00D115AC" w:rsidP="00D115AC">
      <w:pPr>
        <w:pStyle w:val="atitulo1"/>
      </w:pPr>
      <w:bookmarkStart w:id="9" w:name="_Toc423419507"/>
      <w:bookmarkStart w:id="10" w:name="_Toc476722765"/>
      <w:r>
        <w:lastRenderedPageBreak/>
        <w:t>II. Iritzia</w:t>
      </w:r>
      <w:bookmarkEnd w:id="10"/>
      <w:r>
        <w:t xml:space="preserve"> </w:t>
      </w:r>
      <w:bookmarkEnd w:id="9"/>
    </w:p>
    <w:p w:rsidR="00B872B1" w:rsidRDefault="00B872B1" w:rsidP="00D115AC">
      <w:pPr>
        <w:pStyle w:val="texto"/>
        <w:tabs>
          <w:tab w:val="clear" w:pos="2835"/>
          <w:tab w:val="clear" w:pos="3969"/>
          <w:tab w:val="clear" w:pos="5103"/>
          <w:tab w:val="clear" w:pos="6237"/>
          <w:tab w:val="clear" w:pos="7371"/>
        </w:tabs>
        <w:rPr>
          <w:szCs w:val="26"/>
        </w:rPr>
      </w:pPr>
      <w:r>
        <w:t>Ororbiako Kontzejuaren 2015eko ekitaldiko kontu orokorraren fiskalizazioa egin dugu. Haren kontabilitatearen egoera-orriak laburbilduta jaso ditugu txo</w:t>
      </w:r>
      <w:r>
        <w:t>s</w:t>
      </w:r>
      <w:r>
        <w:t>ten honetako III. atalean.</w:t>
      </w:r>
    </w:p>
    <w:p w:rsidR="00B872B1" w:rsidRPr="0095666D" w:rsidRDefault="0095666D" w:rsidP="0095666D">
      <w:pPr>
        <w:pStyle w:val="atitulo3"/>
      </w:pPr>
      <w:r>
        <w:t>Kontzejuaren erantzukizuna</w:t>
      </w:r>
    </w:p>
    <w:p w:rsidR="0095666D" w:rsidRPr="00EA1988" w:rsidRDefault="00A156EA" w:rsidP="0095666D">
      <w:pPr>
        <w:pStyle w:val="texto"/>
        <w:rPr>
          <w:spacing w:val="4"/>
        </w:rPr>
      </w:pPr>
      <w:r>
        <w:t>Idazkaria den Kontzejuaren Batzarreko kidea da kontu orokorra formul</w:t>
      </w:r>
      <w:r>
        <w:t>a</w:t>
      </w:r>
      <w:r>
        <w:t>tzeko eta aurkezteko ardura duena, eta halako moduz egin behar ditu non leialki irudikatuko baitituzte Ororbiako Kontzejuaren aurrekontu-likidazioa, ondarea, emaitzak eta finantza-egoera, aplikatzekoa den finantza-informazio publikoari buruzko arau-esparruarekin bat. Halaber, iruzurraren edo akatsen ondoriozko ez-betetze materialetatik libre dauden kontu orokorrak egin eta aurkezteko b</w:t>
      </w:r>
      <w:r>
        <w:t>e</w:t>
      </w:r>
      <w:r>
        <w:t>harrezkoa den barne kontrolaren arduraduna da.</w:t>
      </w:r>
    </w:p>
    <w:p w:rsidR="0095666D" w:rsidRDefault="0095666D" w:rsidP="0095666D">
      <w:pPr>
        <w:pStyle w:val="texto"/>
        <w:tabs>
          <w:tab w:val="clear" w:pos="2835"/>
          <w:tab w:val="clear" w:pos="3969"/>
          <w:tab w:val="clear" w:pos="5103"/>
          <w:tab w:val="clear" w:pos="6237"/>
          <w:tab w:val="clear" w:pos="7371"/>
        </w:tabs>
        <w:rPr>
          <w:szCs w:val="26"/>
        </w:rPr>
      </w:pPr>
      <w:r>
        <w:t xml:space="preserve">2015eko kontu orokorra 2016ko abuztuaren 4an onetsi zuen Kontzejuaren Batzarrak. </w:t>
      </w:r>
    </w:p>
    <w:p w:rsidR="0095666D" w:rsidRDefault="00B44B58" w:rsidP="0095666D">
      <w:pPr>
        <w:pStyle w:val="texto"/>
        <w:spacing w:after="240"/>
      </w:pPr>
      <w:r>
        <w:t>Kontzejuak, kontu orokorra egiteko eta aurkezteko erantzukizunaz gainera, bermatu beharko du kontu orokorrean islatutako jarduerak, aurrekontu- nahiz finantza-eragiketak eta informazioa bat datozela aplikatzekoa den araudiarekin, eta xede horretarako beharrezkoak diren barne kontroleko sistemak ezarri b</w:t>
      </w:r>
      <w:r>
        <w:t>e</w:t>
      </w:r>
      <w:r>
        <w:t>harko ditu.</w:t>
      </w:r>
    </w:p>
    <w:p w:rsidR="0095666D" w:rsidRPr="00F71FD2" w:rsidRDefault="0095666D" w:rsidP="0095666D">
      <w:pPr>
        <w:pStyle w:val="atitulo3"/>
      </w:pPr>
      <w:r>
        <w:t>Nafarroako Kontuen Ganberaren erantzukizuna</w:t>
      </w:r>
    </w:p>
    <w:p w:rsidR="0095666D" w:rsidRDefault="0095666D" w:rsidP="0095666D">
      <w:pPr>
        <w:pStyle w:val="texto"/>
      </w:pPr>
      <w:r>
        <w:t xml:space="preserve">Gure erantzukizuna da iritzi bat adieraztea 2015eko kontu orokorrari buruz eta gure fiskalizazioan oinarrituta egin diren eragiketen legezkotasunari buruz. </w:t>
      </w:r>
    </w:p>
    <w:p w:rsidR="0095666D" w:rsidRPr="0015212F" w:rsidRDefault="0095666D" w:rsidP="0095666D">
      <w:pPr>
        <w:pStyle w:val="texto"/>
      </w:pPr>
      <w:r>
        <w:t>Horretarako, erantzukizun hori bete dugu kanpo kontroleko erakunde publ</w:t>
      </w:r>
      <w:r>
        <w:t>i</w:t>
      </w:r>
      <w:r>
        <w:t>koen fiskalizaziorako oinarrizko printzipioen arabera. Printzipio horiek esk</w:t>
      </w:r>
      <w:r>
        <w:t>a</w:t>
      </w:r>
      <w:r>
        <w:t>tzen dute etikaren arloko eskakizunak bete ditzagula, bai eta fiskalizazioaren plangintza eta exekuzioa egin dezagula ere, honako helburu honekin: kontu orokorrean arrazoizko segurtasun bat lortzea eta hartan akats materialik ez eg</w:t>
      </w:r>
      <w:r>
        <w:t>o</w:t>
      </w:r>
      <w:r>
        <w:t>tea; eta finantzen egoera-orrietan islatutako jarduketak, finantza-eragiketak eta informazioa, alderdi adierazgarri guztietan, arau indardunen araberakoak iz</w:t>
      </w:r>
      <w:r>
        <w:t>a</w:t>
      </w:r>
      <w:r>
        <w:t xml:space="preserve">tea. </w:t>
      </w:r>
    </w:p>
    <w:p w:rsidR="0095666D" w:rsidRPr="00A2212D" w:rsidRDefault="0095666D" w:rsidP="0095666D">
      <w:pPr>
        <w:pStyle w:val="texto"/>
      </w:pPr>
      <w:r>
        <w:t>Fiskalizazio batek eskatzen du prozedura batzuk aplika ditzagula auditoria-ebidentzia bat lortzeko kontu orokorrean adierazitako zenbatekoei eta inform</w:t>
      </w:r>
      <w:r>
        <w:t>a</w:t>
      </w:r>
      <w:r>
        <w:t>zioari buruz, bai eta araudian ezarritako alderdi garrantzitsuak fiskalizatutako ekitaldian zehar betetzeari buruz ere. Hautatutako prozedurak auditorearen iri</w:t>
      </w:r>
      <w:r>
        <w:t>z</w:t>
      </w:r>
      <w:r>
        <w:t>pidearen araberakoak dira, horren barne dela kontu orokorren akats materialei buruzko arriskuen balorazioa, bai akats hori iruzurraren nahiz oker baten ond</w:t>
      </w:r>
      <w:r>
        <w:t>o</w:t>
      </w:r>
      <w:r>
        <w:t>riozkoa denean, bai legezkotasunaren ez-betetze aipagarrien ondoriozkoa d</w:t>
      </w:r>
      <w:r>
        <w:t>e</w:t>
      </w:r>
      <w:r>
        <w:t xml:space="preserve">nean ere. Arriskuari buruzko balorazio horiek egiterakoan, auditoreak barne kontrola hartzen du kontuan </w:t>
      </w:r>
      <w:proofErr w:type="spellStart"/>
      <w:r>
        <w:t>—entitateak</w:t>
      </w:r>
      <w:proofErr w:type="spellEnd"/>
      <w:r>
        <w:t xml:space="preserve"> kontu orokorra egin dezan eta lege</w:t>
      </w:r>
      <w:r>
        <w:t>z</w:t>
      </w:r>
      <w:r>
        <w:lastRenderedPageBreak/>
        <w:t xml:space="preserve">kotasuna betetzen dela bermatzeko garrantzitsua da </w:t>
      </w:r>
      <w:proofErr w:type="spellStart"/>
      <w:r>
        <w:t>hori—</w:t>
      </w:r>
      <w:proofErr w:type="spellEnd"/>
      <w:r>
        <w:t xml:space="preserve"> inguruabarren ar</w:t>
      </w:r>
      <w:r>
        <w:t>a</w:t>
      </w:r>
      <w:r>
        <w:t>berako auditoria prozedura egokiak diseinatze aldera, eta ez entitatearen barne kontrolaren eraginkortasunari buruzko iritzia emateko xedez. Auditoria batek barne biltzen du, era berean, aplikatutako kontabilitate-politiken egokitasuna eta zuzendaritzak egindako kontabilitate-estimazioen arrazoizkotasuna, bai eta kontu orokorraren aurkezpena ere, oro har.</w:t>
      </w:r>
    </w:p>
    <w:p w:rsidR="0095666D" w:rsidRPr="00A2212D" w:rsidRDefault="0095666D" w:rsidP="0095666D">
      <w:pPr>
        <w:pStyle w:val="texto"/>
      </w:pPr>
      <w:r>
        <w:t>Gure ustez lortu dugun auditoria-ebidentziak behar adinako oinarria eta oin</w:t>
      </w:r>
      <w:r>
        <w:t>a</w:t>
      </w:r>
      <w:r>
        <w:t>rri egokia biltzen du finantza-auditoriako eta legezkotasunaren betetzearen fi</w:t>
      </w:r>
      <w:r>
        <w:t>s</w:t>
      </w:r>
      <w:r>
        <w:t>kalizazioko gure iritziari eusteko.</w:t>
      </w:r>
    </w:p>
    <w:p w:rsidR="0095666D" w:rsidRDefault="0095666D" w:rsidP="0095666D">
      <w:pPr>
        <w:pStyle w:val="atitulo2"/>
        <w:spacing w:before="240"/>
      </w:pPr>
      <w:bookmarkStart w:id="11" w:name="_Toc463350238"/>
      <w:bookmarkStart w:id="12" w:name="_Toc476722766"/>
      <w:r>
        <w:t>II.1. 2015eko kontu orokorrari buruzko auditoria finantzarioko iritzia</w:t>
      </w:r>
      <w:bookmarkEnd w:id="11"/>
      <w:bookmarkEnd w:id="12"/>
    </w:p>
    <w:p w:rsidR="0095666D" w:rsidRDefault="0095666D" w:rsidP="0095666D">
      <w:pPr>
        <w:pStyle w:val="atitulo3"/>
      </w:pPr>
      <w:r>
        <w:t>Iritzi finantzarioaren oinarria, salbuespenekin</w:t>
      </w:r>
    </w:p>
    <w:p w:rsidR="003A4095" w:rsidRPr="002B4FC9" w:rsidRDefault="008901A7" w:rsidP="002B4FC9">
      <w:pPr>
        <w:pStyle w:val="texto"/>
      </w:pPr>
      <w:r>
        <w:t xml:space="preserve"> a) Kontzejuak ez du behar bezala identifikatu eta balioetsitako ondasunen inbentariorik; hori dela eta, ezin izan dugu egiaztatu 1,91 milioitan zenbatets</w:t>
      </w:r>
      <w:r>
        <w:t>i</w:t>
      </w:r>
      <w:r>
        <w:t xml:space="preserve">tako egoera-balantzeko ibilgetuaren saldoaren arrazoizkotasuna. </w:t>
      </w:r>
    </w:p>
    <w:p w:rsidR="0037453A" w:rsidRPr="002B4FC9" w:rsidRDefault="002B4FC9" w:rsidP="001F1225">
      <w:pPr>
        <w:pStyle w:val="texto"/>
        <w:spacing w:after="240"/>
      </w:pPr>
      <w:r>
        <w:t>b) Ez du zorroztasunik aplikatzen diru-sarrerak eta gastuak aurrekontuaren likidazioari egoztearen ondoriozko sortzapen-irizpidea. Hartara, ikusten dugu diru-sarrerak kutxako irizpidearen arabera kontabilizatzen direla; gastuetan, b</w:t>
      </w:r>
      <w:r>
        <w:t>e</w:t>
      </w:r>
      <w:r>
        <w:t>rriz, detektatu dugu 2014ko gastu batzuk badaudela 2015ean erregistratu dir</w:t>
      </w:r>
      <w:r>
        <w:t>e</w:t>
      </w:r>
      <w:r>
        <w:t xml:space="preserve">nak —20.000 euro </w:t>
      </w:r>
      <w:proofErr w:type="spellStart"/>
      <w:r>
        <w:t>inguru—</w:t>
      </w:r>
      <w:proofErr w:type="spellEnd"/>
      <w:r>
        <w:t xml:space="preserve"> eta 2015eko gastu batzuk 2016ko aurrekontuari egotzi zaizkiola —6.000 euro </w:t>
      </w:r>
      <w:proofErr w:type="spellStart"/>
      <w:r>
        <w:t>inguru—</w:t>
      </w:r>
      <w:proofErr w:type="spellEnd"/>
      <w:r>
        <w:t xml:space="preserve">. </w:t>
      </w:r>
    </w:p>
    <w:p w:rsidR="003A4095" w:rsidRDefault="003A4095" w:rsidP="003A4095">
      <w:pPr>
        <w:pStyle w:val="atitulo3"/>
      </w:pPr>
      <w:r>
        <w:t>Auditoria finantzarioko iritzia</w:t>
      </w:r>
    </w:p>
    <w:p w:rsidR="003A4095" w:rsidRDefault="003A4095" w:rsidP="00493FA2">
      <w:pPr>
        <w:pStyle w:val="texto"/>
        <w:tabs>
          <w:tab w:val="clear" w:pos="2835"/>
          <w:tab w:val="clear" w:pos="3969"/>
          <w:tab w:val="clear" w:pos="5103"/>
          <w:tab w:val="clear" w:pos="6237"/>
          <w:tab w:val="clear" w:pos="7371"/>
        </w:tabs>
        <w:rPr>
          <w:szCs w:val="26"/>
        </w:rPr>
      </w:pPr>
      <w:r>
        <w:t>Gure iritzian, “Iritzi finantzarioaren oinarria, salbuespenekin” lerrokadako a) letran azaldutako norainokoaren mugaketarengatik eta b) letran azaldutako eg</w:t>
      </w:r>
      <w:r>
        <w:t>i</w:t>
      </w:r>
      <w:r>
        <w:t>tatearengatik ez bada, erantsitako kontu orokorrak irudi zehatza erakusten du alderdi esanguratsu guztietan, Ororbiako Kontzejuaren ondareari, gastuen eta diru-sarreren aurrekontuaren likidazioari eta 2015eko abenduaren 31ko fina</w:t>
      </w:r>
      <w:r>
        <w:t>n</w:t>
      </w:r>
      <w:r>
        <w:t>tza-egoerari dagokienez, bai eta data horretan amaitutako urteko ekitaldiko emaitza ekonomiko eta aurrekontukoei dagokienez ere, betiere aplikatzekoa den informazio finantzario publikoari buruzko lege-esparruari eta, bereziki, bertan jasotako kontabilitateko printzipio eta irizpideei jarraituz.</w:t>
      </w:r>
    </w:p>
    <w:p w:rsidR="00BF79FE" w:rsidRDefault="002A30ED" w:rsidP="001165C5">
      <w:pPr>
        <w:pStyle w:val="atitulo2"/>
        <w:spacing w:before="240"/>
      </w:pPr>
      <w:bookmarkStart w:id="13" w:name="_Toc476722767"/>
      <w:r>
        <w:t>II.2. Legezkotasuna betetzearen fiskalizazioari buruzko iritzia</w:t>
      </w:r>
      <w:bookmarkEnd w:id="5"/>
      <w:bookmarkEnd w:id="6"/>
      <w:bookmarkEnd w:id="7"/>
      <w:bookmarkEnd w:id="8"/>
      <w:bookmarkEnd w:id="13"/>
    </w:p>
    <w:p w:rsidR="00FE65CE" w:rsidRDefault="001E614B" w:rsidP="0081454A">
      <w:pPr>
        <w:pStyle w:val="texto"/>
        <w:spacing w:after="0"/>
        <w:rPr>
          <w:rFonts w:ascii="Arial" w:hAnsi="Arial"/>
          <w:b/>
          <w:color w:val="000000"/>
          <w:kern w:val="28"/>
          <w:sz w:val="25"/>
          <w:szCs w:val="26"/>
        </w:rPr>
      </w:pPr>
      <w:r>
        <w:t>Ororbiako Kontzejuaren 2015eko ekitaldiko kontu orokorrean jasotako ja</w:t>
      </w:r>
      <w:r>
        <w:t>r</w:t>
      </w:r>
      <w:r>
        <w:t xml:space="preserve">duketak, aurrekontu- eta finantza-eragiketak eta informazioa bat datoz, alderdi adierazgarri guztietan, funts publikoen kudeaketari aplikatzekoak zaizkion arauekin. </w:t>
      </w:r>
      <w:r>
        <w:br w:type="page"/>
      </w:r>
    </w:p>
    <w:p w:rsidR="00D115AC" w:rsidRDefault="00D115AC" w:rsidP="00D115AC">
      <w:pPr>
        <w:pStyle w:val="atitulo1"/>
      </w:pPr>
      <w:bookmarkStart w:id="14" w:name="_Toc476722768"/>
      <w:r>
        <w:lastRenderedPageBreak/>
        <w:t>III. Ororbiako Kontzejuaren 2015eko kontu orokorraren laburpena</w:t>
      </w:r>
      <w:bookmarkEnd w:id="14"/>
      <w:r>
        <w:t xml:space="preserve"> </w:t>
      </w:r>
    </w:p>
    <w:p w:rsidR="003A6E5C" w:rsidRDefault="003A6E5C" w:rsidP="001C3E00">
      <w:pPr>
        <w:pStyle w:val="atitulo2"/>
      </w:pPr>
      <w:bookmarkStart w:id="15" w:name="_Toc309383720"/>
      <w:bookmarkStart w:id="16" w:name="_Toc339016609"/>
      <w:bookmarkStart w:id="17" w:name="_Toc442251800"/>
    </w:p>
    <w:p w:rsidR="001C3E00" w:rsidRPr="004D5125" w:rsidRDefault="001C3E00" w:rsidP="001C3E00">
      <w:pPr>
        <w:pStyle w:val="atitulo2"/>
      </w:pPr>
      <w:bookmarkStart w:id="18" w:name="_Toc476722769"/>
      <w:r>
        <w:t xml:space="preserve">III.1. 2015eko aurrekontuaren betetzeari buruzko </w:t>
      </w:r>
      <w:proofErr w:type="spellStart"/>
      <w:r>
        <w:t>egoera</w:t>
      </w:r>
      <w:bookmarkEnd w:id="15"/>
      <w:bookmarkEnd w:id="16"/>
      <w:bookmarkEnd w:id="17"/>
      <w:r>
        <w:t>orria</w:t>
      </w:r>
      <w:bookmarkEnd w:id="18"/>
      <w:proofErr w:type="spellEnd"/>
    </w:p>
    <w:p w:rsidR="001C3E00" w:rsidRPr="004D5125" w:rsidRDefault="001C3E00" w:rsidP="001C3E00">
      <w:pPr>
        <w:pStyle w:val="CuadroTtulo"/>
        <w:spacing w:before="440" w:after="240"/>
        <w:jc w:val="center"/>
      </w:pPr>
      <w:r>
        <w:t>Gastuak kapitulu ekonomikoen arabera</w:t>
      </w:r>
    </w:p>
    <w:tbl>
      <w:tblPr>
        <w:tblW w:w="5213" w:type="pct"/>
        <w:jc w:val="center"/>
        <w:tblCellMar>
          <w:left w:w="70" w:type="dxa"/>
          <w:right w:w="70" w:type="dxa"/>
        </w:tblCellMar>
        <w:tblLook w:val="04A0" w:firstRow="1" w:lastRow="0" w:firstColumn="1" w:lastColumn="0" w:noHBand="0" w:noVBand="1"/>
      </w:tblPr>
      <w:tblGrid>
        <w:gridCol w:w="3273"/>
        <w:gridCol w:w="1232"/>
        <w:gridCol w:w="811"/>
        <w:gridCol w:w="1232"/>
        <w:gridCol w:w="1155"/>
        <w:gridCol w:w="1164"/>
        <w:gridCol w:w="1069"/>
      </w:tblGrid>
      <w:tr w:rsidR="001C3E00" w:rsidRPr="00B53611" w:rsidTr="002F2B6D">
        <w:trPr>
          <w:trHeight w:val="284"/>
          <w:jc w:val="center"/>
        </w:trPr>
        <w:tc>
          <w:tcPr>
            <w:tcW w:w="1417"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left"/>
              <w:rPr>
                <w:rFonts w:ascii="Arial" w:hAnsi="Arial" w:cs="Arial"/>
                <w:sz w:val="16"/>
                <w:szCs w:val="16"/>
              </w:rPr>
            </w:pPr>
            <w:r>
              <w:rPr>
                <w:rFonts w:ascii="Arial" w:hAnsi="Arial"/>
                <w:sz w:val="16"/>
                <w:szCs w:val="16"/>
              </w:rPr>
              <w:t>Deskribapena</w:t>
            </w:r>
          </w:p>
        </w:tc>
        <w:tc>
          <w:tcPr>
            <w:tcW w:w="705"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right"/>
              <w:rPr>
                <w:rFonts w:ascii="Arial" w:hAnsi="Arial" w:cs="Arial"/>
                <w:sz w:val="16"/>
                <w:szCs w:val="16"/>
              </w:rPr>
            </w:pPr>
            <w:r>
              <w:rPr>
                <w:rFonts w:ascii="Arial" w:hAnsi="Arial"/>
                <w:sz w:val="16"/>
                <w:szCs w:val="16"/>
              </w:rPr>
              <w:t>Hasierako</w:t>
            </w:r>
          </w:p>
          <w:p w:rsidR="001C3E00" w:rsidRPr="00B53611" w:rsidRDefault="001C3E00" w:rsidP="0036015E">
            <w:pPr>
              <w:pStyle w:val="cuatexto"/>
              <w:jc w:val="right"/>
              <w:rPr>
                <w:rFonts w:ascii="Arial" w:hAnsi="Arial" w:cs="Arial"/>
                <w:sz w:val="16"/>
                <w:szCs w:val="16"/>
              </w:rPr>
            </w:pPr>
            <w:r>
              <w:rPr>
                <w:rFonts w:ascii="Arial" w:hAnsi="Arial"/>
                <w:sz w:val="16"/>
                <w:szCs w:val="16"/>
              </w:rPr>
              <w:t xml:space="preserve"> aurreiku</w:t>
            </w:r>
            <w:r>
              <w:rPr>
                <w:rFonts w:ascii="Arial" w:hAnsi="Arial"/>
                <w:sz w:val="16"/>
                <w:szCs w:val="16"/>
              </w:rPr>
              <w:t>s</w:t>
            </w:r>
            <w:r>
              <w:rPr>
                <w:rFonts w:ascii="Arial" w:hAnsi="Arial"/>
                <w:sz w:val="16"/>
                <w:szCs w:val="16"/>
              </w:rPr>
              <w:t>pena</w:t>
            </w:r>
          </w:p>
        </w:tc>
        <w:tc>
          <w:tcPr>
            <w:tcW w:w="521"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right"/>
              <w:rPr>
                <w:rFonts w:ascii="Arial" w:hAnsi="Arial" w:cs="Arial"/>
                <w:sz w:val="16"/>
                <w:szCs w:val="16"/>
              </w:rPr>
            </w:pPr>
            <w:r>
              <w:rPr>
                <w:rFonts w:ascii="Arial" w:hAnsi="Arial"/>
                <w:sz w:val="16"/>
                <w:szCs w:val="16"/>
              </w:rPr>
              <w:t>Aldaketa</w:t>
            </w:r>
          </w:p>
        </w:tc>
        <w:tc>
          <w:tcPr>
            <w:tcW w:w="517"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right"/>
              <w:rPr>
                <w:rFonts w:ascii="Arial" w:hAnsi="Arial" w:cs="Arial"/>
                <w:sz w:val="16"/>
                <w:szCs w:val="16"/>
              </w:rPr>
            </w:pPr>
            <w:r>
              <w:rPr>
                <w:rFonts w:ascii="Arial" w:hAnsi="Arial"/>
                <w:sz w:val="16"/>
                <w:szCs w:val="16"/>
              </w:rPr>
              <w:t>Behin betiko aurreikuspena</w:t>
            </w:r>
          </w:p>
        </w:tc>
        <w:tc>
          <w:tcPr>
            <w:tcW w:w="685"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right"/>
              <w:rPr>
                <w:rFonts w:ascii="Arial" w:hAnsi="Arial" w:cs="Arial"/>
                <w:sz w:val="16"/>
                <w:szCs w:val="16"/>
              </w:rPr>
            </w:pPr>
            <w:r>
              <w:rPr>
                <w:rFonts w:ascii="Arial" w:hAnsi="Arial"/>
                <w:sz w:val="16"/>
                <w:szCs w:val="16"/>
              </w:rPr>
              <w:t>Aitortutako betebeharrak</w:t>
            </w:r>
          </w:p>
        </w:tc>
        <w:tc>
          <w:tcPr>
            <w:tcW w:w="532"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right"/>
              <w:rPr>
                <w:rFonts w:ascii="Arial" w:hAnsi="Arial" w:cs="Arial"/>
                <w:sz w:val="16"/>
                <w:szCs w:val="16"/>
              </w:rPr>
            </w:pPr>
            <w:r>
              <w:rPr>
                <w:rFonts w:ascii="Arial" w:hAnsi="Arial"/>
                <w:sz w:val="16"/>
                <w:szCs w:val="16"/>
              </w:rPr>
              <w:t>Betetakoaren ehunekoa</w:t>
            </w:r>
          </w:p>
        </w:tc>
        <w:tc>
          <w:tcPr>
            <w:tcW w:w="623" w:type="pct"/>
            <w:tcBorders>
              <w:top w:val="single" w:sz="4" w:space="0" w:color="auto"/>
              <w:left w:val="nil"/>
              <w:bottom w:val="single" w:sz="4" w:space="0" w:color="auto"/>
              <w:right w:val="nil"/>
            </w:tcBorders>
            <w:shd w:val="clear" w:color="auto" w:fill="FABF8F" w:themeFill="accent6" w:themeFillTint="99"/>
            <w:vAlign w:val="center"/>
          </w:tcPr>
          <w:p w:rsidR="001C3E00" w:rsidRPr="00B53611" w:rsidRDefault="001C3E00" w:rsidP="0036015E">
            <w:pPr>
              <w:pStyle w:val="cuatexto"/>
              <w:jc w:val="right"/>
              <w:rPr>
                <w:rFonts w:ascii="Arial" w:hAnsi="Arial" w:cs="Arial"/>
                <w:sz w:val="16"/>
                <w:szCs w:val="16"/>
              </w:rPr>
            </w:pPr>
            <w:r>
              <w:rPr>
                <w:rFonts w:ascii="Arial" w:hAnsi="Arial"/>
                <w:sz w:val="16"/>
                <w:szCs w:val="16"/>
              </w:rPr>
              <w:t>Ordainketak</w:t>
            </w:r>
          </w:p>
        </w:tc>
      </w:tr>
      <w:tr w:rsidR="001C3E00" w:rsidRPr="00B53611" w:rsidTr="0091436E">
        <w:trPr>
          <w:trHeight w:val="284"/>
          <w:jc w:val="center"/>
        </w:trPr>
        <w:tc>
          <w:tcPr>
            <w:tcW w:w="1417"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left"/>
              <w:rPr>
                <w:sz w:val="18"/>
                <w:szCs w:val="18"/>
              </w:rPr>
            </w:pPr>
            <w:r>
              <w:rPr>
                <w:sz w:val="18"/>
                <w:szCs w:val="18"/>
              </w:rPr>
              <w:t>1. Langile-gastuak</w:t>
            </w:r>
          </w:p>
        </w:tc>
        <w:tc>
          <w:tcPr>
            <w:tcW w:w="705"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17.000</w:t>
            </w:r>
          </w:p>
        </w:tc>
        <w:tc>
          <w:tcPr>
            <w:tcW w:w="521"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0</w:t>
            </w:r>
          </w:p>
        </w:tc>
        <w:tc>
          <w:tcPr>
            <w:tcW w:w="517"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17.000</w:t>
            </w:r>
          </w:p>
        </w:tc>
        <w:tc>
          <w:tcPr>
            <w:tcW w:w="685"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16.647</w:t>
            </w:r>
          </w:p>
        </w:tc>
        <w:tc>
          <w:tcPr>
            <w:tcW w:w="532"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98</w:t>
            </w:r>
          </w:p>
        </w:tc>
        <w:tc>
          <w:tcPr>
            <w:tcW w:w="623" w:type="pct"/>
            <w:tcBorders>
              <w:top w:val="single" w:sz="4"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16.647</w:t>
            </w:r>
          </w:p>
        </w:tc>
      </w:tr>
      <w:tr w:rsidR="001C3E00" w:rsidRPr="00B53611" w:rsidTr="0091436E">
        <w:trPr>
          <w:trHeight w:val="284"/>
          <w:jc w:val="center"/>
        </w:trPr>
        <w:tc>
          <w:tcPr>
            <w:tcW w:w="1417"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left"/>
              <w:rPr>
                <w:sz w:val="18"/>
                <w:szCs w:val="18"/>
              </w:rPr>
            </w:pPr>
            <w:r>
              <w:rPr>
                <w:sz w:val="18"/>
                <w:szCs w:val="18"/>
              </w:rPr>
              <w:t>2. Ondasun arrunten eta zerbitzuen gastuak</w:t>
            </w:r>
          </w:p>
        </w:tc>
        <w:tc>
          <w:tcPr>
            <w:tcW w:w="705"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173.600</w:t>
            </w:r>
          </w:p>
        </w:tc>
        <w:tc>
          <w:tcPr>
            <w:tcW w:w="521"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0</w:t>
            </w:r>
          </w:p>
        </w:tc>
        <w:tc>
          <w:tcPr>
            <w:tcW w:w="517"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173.600</w:t>
            </w:r>
          </w:p>
        </w:tc>
        <w:tc>
          <w:tcPr>
            <w:tcW w:w="685"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130.349</w:t>
            </w:r>
          </w:p>
        </w:tc>
        <w:tc>
          <w:tcPr>
            <w:tcW w:w="532" w:type="pct"/>
            <w:tcBorders>
              <w:top w:val="single" w:sz="2" w:space="0" w:color="auto"/>
              <w:left w:val="nil"/>
              <w:bottom w:val="single" w:sz="2" w:space="0" w:color="auto"/>
              <w:right w:val="nil"/>
            </w:tcBorders>
            <w:shd w:val="clear" w:color="auto" w:fill="auto"/>
            <w:vAlign w:val="center"/>
          </w:tcPr>
          <w:p w:rsidR="001C3E00" w:rsidRPr="00B53611" w:rsidRDefault="001C3E00" w:rsidP="0036015E">
            <w:pPr>
              <w:pStyle w:val="cuatexto"/>
              <w:jc w:val="right"/>
              <w:rPr>
                <w:sz w:val="18"/>
                <w:szCs w:val="18"/>
              </w:rPr>
            </w:pPr>
            <w:r>
              <w:rPr>
                <w:sz w:val="18"/>
                <w:szCs w:val="18"/>
              </w:rPr>
              <w:t>75</w:t>
            </w:r>
          </w:p>
        </w:tc>
        <w:tc>
          <w:tcPr>
            <w:tcW w:w="623"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129.547</w:t>
            </w:r>
          </w:p>
        </w:tc>
      </w:tr>
      <w:tr w:rsidR="001C3E00" w:rsidRPr="00B53611" w:rsidTr="0091436E">
        <w:trPr>
          <w:trHeight w:val="284"/>
          <w:jc w:val="center"/>
        </w:trPr>
        <w:tc>
          <w:tcPr>
            <w:tcW w:w="1417"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left"/>
              <w:rPr>
                <w:sz w:val="18"/>
                <w:szCs w:val="18"/>
              </w:rPr>
            </w:pPr>
            <w:r>
              <w:rPr>
                <w:sz w:val="18"/>
                <w:szCs w:val="18"/>
              </w:rPr>
              <w:t>4. Transferentzia arruntak</w:t>
            </w:r>
          </w:p>
        </w:tc>
        <w:tc>
          <w:tcPr>
            <w:tcW w:w="705"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4.500</w:t>
            </w:r>
          </w:p>
        </w:tc>
        <w:tc>
          <w:tcPr>
            <w:tcW w:w="521"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0</w:t>
            </w:r>
          </w:p>
        </w:tc>
        <w:tc>
          <w:tcPr>
            <w:tcW w:w="517"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4.500</w:t>
            </w:r>
          </w:p>
        </w:tc>
        <w:tc>
          <w:tcPr>
            <w:tcW w:w="685"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4.088</w:t>
            </w:r>
          </w:p>
        </w:tc>
        <w:tc>
          <w:tcPr>
            <w:tcW w:w="532" w:type="pct"/>
            <w:tcBorders>
              <w:top w:val="single" w:sz="2" w:space="0" w:color="auto"/>
              <w:left w:val="nil"/>
              <w:bottom w:val="single" w:sz="2" w:space="0" w:color="auto"/>
              <w:right w:val="nil"/>
            </w:tcBorders>
            <w:shd w:val="clear" w:color="auto" w:fill="auto"/>
            <w:vAlign w:val="center"/>
          </w:tcPr>
          <w:p w:rsidR="001C3E00" w:rsidRPr="00B53611" w:rsidRDefault="001C3E00" w:rsidP="0036015E">
            <w:pPr>
              <w:pStyle w:val="cuatexto"/>
              <w:jc w:val="right"/>
              <w:rPr>
                <w:sz w:val="18"/>
                <w:szCs w:val="18"/>
              </w:rPr>
            </w:pPr>
            <w:r>
              <w:rPr>
                <w:sz w:val="18"/>
                <w:szCs w:val="18"/>
              </w:rPr>
              <w:t>91</w:t>
            </w:r>
          </w:p>
        </w:tc>
        <w:tc>
          <w:tcPr>
            <w:tcW w:w="623"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4.088</w:t>
            </w:r>
          </w:p>
        </w:tc>
      </w:tr>
      <w:tr w:rsidR="001C3E00" w:rsidRPr="00B53611" w:rsidTr="0091436E">
        <w:trPr>
          <w:trHeight w:val="284"/>
          <w:jc w:val="center"/>
        </w:trPr>
        <w:tc>
          <w:tcPr>
            <w:tcW w:w="1417"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left"/>
              <w:rPr>
                <w:sz w:val="18"/>
                <w:szCs w:val="18"/>
              </w:rPr>
            </w:pPr>
            <w:r>
              <w:rPr>
                <w:sz w:val="18"/>
                <w:szCs w:val="18"/>
              </w:rPr>
              <w:t>6. Inbertsio errealak</w:t>
            </w:r>
          </w:p>
        </w:tc>
        <w:tc>
          <w:tcPr>
            <w:tcW w:w="705"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58.000</w:t>
            </w:r>
          </w:p>
        </w:tc>
        <w:tc>
          <w:tcPr>
            <w:tcW w:w="521"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0</w:t>
            </w:r>
          </w:p>
        </w:tc>
        <w:tc>
          <w:tcPr>
            <w:tcW w:w="517"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58.000</w:t>
            </w:r>
          </w:p>
        </w:tc>
        <w:tc>
          <w:tcPr>
            <w:tcW w:w="685"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48.622</w:t>
            </w:r>
          </w:p>
        </w:tc>
        <w:tc>
          <w:tcPr>
            <w:tcW w:w="532" w:type="pct"/>
            <w:tcBorders>
              <w:top w:val="single" w:sz="2" w:space="0" w:color="auto"/>
              <w:left w:val="nil"/>
              <w:bottom w:val="single" w:sz="2" w:space="0" w:color="auto"/>
              <w:right w:val="nil"/>
            </w:tcBorders>
            <w:shd w:val="clear" w:color="auto" w:fill="auto"/>
            <w:vAlign w:val="center"/>
          </w:tcPr>
          <w:p w:rsidR="001C3E00" w:rsidRPr="00B53611" w:rsidRDefault="001C3E00" w:rsidP="0036015E">
            <w:pPr>
              <w:pStyle w:val="cuatexto"/>
              <w:jc w:val="right"/>
              <w:rPr>
                <w:sz w:val="18"/>
                <w:szCs w:val="18"/>
              </w:rPr>
            </w:pPr>
            <w:r>
              <w:rPr>
                <w:sz w:val="18"/>
                <w:szCs w:val="18"/>
              </w:rPr>
              <w:t>84</w:t>
            </w:r>
          </w:p>
        </w:tc>
        <w:tc>
          <w:tcPr>
            <w:tcW w:w="623" w:type="pct"/>
            <w:tcBorders>
              <w:top w:val="single" w:sz="2" w:space="0" w:color="auto"/>
              <w:left w:val="nil"/>
              <w:bottom w:val="single" w:sz="2" w:space="0" w:color="auto"/>
              <w:right w:val="nil"/>
            </w:tcBorders>
            <w:shd w:val="clear" w:color="auto" w:fill="auto"/>
            <w:noWrap/>
            <w:vAlign w:val="center"/>
          </w:tcPr>
          <w:p w:rsidR="001C3E00" w:rsidRPr="00B53611" w:rsidRDefault="001C3E00" w:rsidP="0036015E">
            <w:pPr>
              <w:pStyle w:val="cuatexto"/>
              <w:jc w:val="right"/>
              <w:rPr>
                <w:sz w:val="18"/>
                <w:szCs w:val="18"/>
              </w:rPr>
            </w:pPr>
            <w:r>
              <w:rPr>
                <w:sz w:val="18"/>
                <w:szCs w:val="18"/>
              </w:rPr>
              <w:t>48.437</w:t>
            </w:r>
          </w:p>
        </w:tc>
      </w:tr>
      <w:tr w:rsidR="001C3E00" w:rsidRPr="004D5125" w:rsidTr="0091436E">
        <w:trPr>
          <w:trHeight w:val="284"/>
          <w:jc w:val="center"/>
        </w:trPr>
        <w:tc>
          <w:tcPr>
            <w:tcW w:w="1417"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left"/>
              <w:rPr>
                <w:rFonts w:ascii="Arial" w:hAnsi="Arial" w:cs="Arial"/>
                <w:sz w:val="18"/>
                <w:szCs w:val="18"/>
              </w:rPr>
            </w:pPr>
            <w:r>
              <w:rPr>
                <w:rFonts w:ascii="Arial" w:hAnsi="Arial"/>
                <w:sz w:val="18"/>
                <w:szCs w:val="18"/>
              </w:rPr>
              <w:t>Guztira</w:t>
            </w:r>
          </w:p>
        </w:tc>
        <w:tc>
          <w:tcPr>
            <w:tcW w:w="705"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253.100</w:t>
            </w:r>
          </w:p>
        </w:tc>
        <w:tc>
          <w:tcPr>
            <w:tcW w:w="521"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0</w:t>
            </w:r>
          </w:p>
        </w:tc>
        <w:tc>
          <w:tcPr>
            <w:tcW w:w="517"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253.100</w:t>
            </w:r>
          </w:p>
        </w:tc>
        <w:tc>
          <w:tcPr>
            <w:tcW w:w="685"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199.705</w:t>
            </w:r>
          </w:p>
        </w:tc>
        <w:tc>
          <w:tcPr>
            <w:tcW w:w="532"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79</w:t>
            </w:r>
          </w:p>
        </w:tc>
        <w:tc>
          <w:tcPr>
            <w:tcW w:w="623"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198.719</w:t>
            </w:r>
          </w:p>
        </w:tc>
      </w:tr>
    </w:tbl>
    <w:p w:rsidR="001C3E00" w:rsidRPr="004D5125" w:rsidRDefault="001C3E00" w:rsidP="001C3E00">
      <w:pPr>
        <w:pStyle w:val="CuadroTtulo"/>
        <w:spacing w:before="880" w:after="240"/>
        <w:jc w:val="center"/>
      </w:pPr>
      <w:r>
        <w:t>Diru-sarrerak kapitulu ekonomikoen arabera</w:t>
      </w:r>
    </w:p>
    <w:tbl>
      <w:tblPr>
        <w:tblW w:w="5230" w:type="pct"/>
        <w:jc w:val="center"/>
        <w:tblLayout w:type="fixed"/>
        <w:tblCellMar>
          <w:left w:w="70" w:type="dxa"/>
          <w:right w:w="70" w:type="dxa"/>
        </w:tblCellMar>
        <w:tblLook w:val="04A0" w:firstRow="1" w:lastRow="0" w:firstColumn="1" w:lastColumn="0" w:noHBand="0" w:noVBand="1"/>
      </w:tblPr>
      <w:tblGrid>
        <w:gridCol w:w="3288"/>
        <w:gridCol w:w="1308"/>
        <w:gridCol w:w="687"/>
        <w:gridCol w:w="927"/>
        <w:gridCol w:w="1024"/>
        <w:gridCol w:w="1024"/>
        <w:gridCol w:w="1082"/>
      </w:tblGrid>
      <w:tr w:rsidR="001C3E00" w:rsidRPr="004D5125" w:rsidTr="0091436E">
        <w:trPr>
          <w:trHeight w:val="284"/>
          <w:jc w:val="center"/>
        </w:trPr>
        <w:tc>
          <w:tcPr>
            <w:tcW w:w="1760"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left"/>
              <w:rPr>
                <w:rFonts w:ascii="Arial" w:hAnsi="Arial" w:cs="Arial"/>
                <w:sz w:val="16"/>
                <w:szCs w:val="16"/>
              </w:rPr>
            </w:pPr>
            <w:r>
              <w:rPr>
                <w:rFonts w:ascii="Arial" w:hAnsi="Arial"/>
                <w:sz w:val="16"/>
                <w:szCs w:val="16"/>
              </w:rPr>
              <w:t>Deskribapena</w:t>
            </w:r>
          </w:p>
        </w:tc>
        <w:tc>
          <w:tcPr>
            <w:tcW w:w="700"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right"/>
              <w:rPr>
                <w:rFonts w:ascii="Arial" w:hAnsi="Arial" w:cs="Arial"/>
                <w:sz w:val="16"/>
                <w:szCs w:val="16"/>
              </w:rPr>
            </w:pPr>
            <w:r>
              <w:rPr>
                <w:rFonts w:ascii="Arial" w:hAnsi="Arial"/>
                <w:sz w:val="16"/>
                <w:szCs w:val="16"/>
              </w:rPr>
              <w:t xml:space="preserve">Hasierako </w:t>
            </w:r>
          </w:p>
          <w:p w:rsidR="001C3E00" w:rsidRPr="004D5125" w:rsidRDefault="001C3E00" w:rsidP="0036015E">
            <w:pPr>
              <w:pStyle w:val="cuatexto"/>
              <w:jc w:val="right"/>
              <w:rPr>
                <w:rFonts w:ascii="Arial" w:hAnsi="Arial" w:cs="Arial"/>
                <w:sz w:val="16"/>
                <w:szCs w:val="16"/>
              </w:rPr>
            </w:pPr>
            <w:r>
              <w:rPr>
                <w:rFonts w:ascii="Arial" w:hAnsi="Arial"/>
                <w:sz w:val="16"/>
                <w:szCs w:val="16"/>
              </w:rPr>
              <w:t>aurreikuspena</w:t>
            </w:r>
          </w:p>
        </w:tc>
        <w:tc>
          <w:tcPr>
            <w:tcW w:w="368"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right"/>
              <w:rPr>
                <w:rFonts w:ascii="Arial" w:hAnsi="Arial" w:cs="Arial"/>
                <w:sz w:val="16"/>
                <w:szCs w:val="16"/>
              </w:rPr>
            </w:pPr>
            <w:r>
              <w:rPr>
                <w:rFonts w:ascii="Arial" w:hAnsi="Arial"/>
                <w:sz w:val="16"/>
                <w:szCs w:val="16"/>
              </w:rPr>
              <w:t>Ald</w:t>
            </w:r>
            <w:r>
              <w:rPr>
                <w:rFonts w:ascii="Arial" w:hAnsi="Arial"/>
                <w:sz w:val="16"/>
                <w:szCs w:val="16"/>
              </w:rPr>
              <w:t>a</w:t>
            </w:r>
            <w:r>
              <w:rPr>
                <w:rFonts w:ascii="Arial" w:hAnsi="Arial"/>
                <w:sz w:val="16"/>
                <w:szCs w:val="16"/>
              </w:rPr>
              <w:t>keta</w:t>
            </w:r>
          </w:p>
        </w:tc>
        <w:tc>
          <w:tcPr>
            <w:tcW w:w="496"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right"/>
              <w:rPr>
                <w:rFonts w:ascii="Arial" w:hAnsi="Arial" w:cs="Arial"/>
                <w:sz w:val="16"/>
                <w:szCs w:val="16"/>
              </w:rPr>
            </w:pPr>
            <w:r>
              <w:rPr>
                <w:rFonts w:ascii="Arial" w:hAnsi="Arial"/>
                <w:sz w:val="16"/>
                <w:szCs w:val="16"/>
              </w:rPr>
              <w:t>Behin betiko</w:t>
            </w:r>
          </w:p>
          <w:p w:rsidR="001C3E00" w:rsidRPr="004D5125" w:rsidRDefault="001C3E00" w:rsidP="0036015E">
            <w:pPr>
              <w:pStyle w:val="cuatexto"/>
              <w:jc w:val="right"/>
              <w:rPr>
                <w:rFonts w:ascii="Arial" w:hAnsi="Arial" w:cs="Arial"/>
                <w:sz w:val="16"/>
                <w:szCs w:val="16"/>
              </w:rPr>
            </w:pPr>
            <w:r>
              <w:rPr>
                <w:rFonts w:ascii="Arial" w:hAnsi="Arial"/>
                <w:sz w:val="16"/>
                <w:szCs w:val="16"/>
              </w:rPr>
              <w:t xml:space="preserve"> aurre</w:t>
            </w:r>
            <w:r>
              <w:rPr>
                <w:rFonts w:ascii="Arial" w:hAnsi="Arial"/>
                <w:sz w:val="16"/>
                <w:szCs w:val="16"/>
              </w:rPr>
              <w:t>i</w:t>
            </w:r>
            <w:r>
              <w:rPr>
                <w:rFonts w:ascii="Arial" w:hAnsi="Arial"/>
                <w:sz w:val="16"/>
                <w:szCs w:val="16"/>
              </w:rPr>
              <w:t>kuspena</w:t>
            </w:r>
          </w:p>
        </w:tc>
        <w:tc>
          <w:tcPr>
            <w:tcW w:w="548"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right"/>
              <w:rPr>
                <w:rFonts w:ascii="Arial" w:hAnsi="Arial" w:cs="Arial"/>
                <w:sz w:val="16"/>
                <w:szCs w:val="16"/>
              </w:rPr>
            </w:pPr>
            <w:r>
              <w:rPr>
                <w:rFonts w:ascii="Arial" w:hAnsi="Arial"/>
                <w:sz w:val="16"/>
                <w:szCs w:val="16"/>
              </w:rPr>
              <w:t>Aitortutako</w:t>
            </w:r>
          </w:p>
          <w:p w:rsidR="001C3E00" w:rsidRPr="004D5125" w:rsidRDefault="001C3E00" w:rsidP="0036015E">
            <w:pPr>
              <w:pStyle w:val="cuatexto"/>
              <w:jc w:val="right"/>
              <w:rPr>
                <w:rFonts w:ascii="Arial" w:hAnsi="Arial" w:cs="Arial"/>
                <w:sz w:val="16"/>
                <w:szCs w:val="16"/>
              </w:rPr>
            </w:pPr>
            <w:r>
              <w:rPr>
                <w:rFonts w:ascii="Arial" w:hAnsi="Arial"/>
                <w:sz w:val="16"/>
                <w:szCs w:val="16"/>
              </w:rPr>
              <w:t xml:space="preserve"> eskub</w:t>
            </w:r>
            <w:r>
              <w:rPr>
                <w:rFonts w:ascii="Arial" w:hAnsi="Arial"/>
                <w:sz w:val="16"/>
                <w:szCs w:val="16"/>
              </w:rPr>
              <w:t>i</w:t>
            </w:r>
            <w:r>
              <w:rPr>
                <w:rFonts w:ascii="Arial" w:hAnsi="Arial"/>
                <w:sz w:val="16"/>
                <w:szCs w:val="16"/>
              </w:rPr>
              <w:t>deak</w:t>
            </w:r>
          </w:p>
        </w:tc>
        <w:tc>
          <w:tcPr>
            <w:tcW w:w="548"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right"/>
              <w:rPr>
                <w:rFonts w:ascii="Arial" w:hAnsi="Arial" w:cs="Arial"/>
                <w:sz w:val="16"/>
                <w:szCs w:val="16"/>
              </w:rPr>
            </w:pPr>
            <w:r>
              <w:rPr>
                <w:rFonts w:ascii="Arial" w:hAnsi="Arial"/>
                <w:sz w:val="16"/>
                <w:szCs w:val="16"/>
              </w:rPr>
              <w:t>Betetakoa (%)</w:t>
            </w:r>
          </w:p>
        </w:tc>
        <w:tc>
          <w:tcPr>
            <w:tcW w:w="579" w:type="pct"/>
            <w:tcBorders>
              <w:top w:val="single" w:sz="4" w:space="0" w:color="auto"/>
              <w:left w:val="nil"/>
              <w:bottom w:val="single" w:sz="4" w:space="0" w:color="auto"/>
              <w:right w:val="nil"/>
            </w:tcBorders>
            <w:shd w:val="clear" w:color="auto" w:fill="FABF8F" w:themeFill="accent6" w:themeFillTint="99"/>
            <w:vAlign w:val="center"/>
          </w:tcPr>
          <w:p w:rsidR="001C3E00" w:rsidRPr="004D5125" w:rsidRDefault="001C3E00" w:rsidP="0036015E">
            <w:pPr>
              <w:pStyle w:val="cuatexto"/>
              <w:jc w:val="right"/>
              <w:rPr>
                <w:rFonts w:ascii="Arial" w:hAnsi="Arial" w:cs="Arial"/>
                <w:sz w:val="16"/>
                <w:szCs w:val="16"/>
              </w:rPr>
            </w:pPr>
            <w:r>
              <w:rPr>
                <w:rFonts w:ascii="Arial" w:hAnsi="Arial"/>
                <w:sz w:val="16"/>
                <w:szCs w:val="16"/>
              </w:rPr>
              <w:t>Kobrantzak</w:t>
            </w:r>
          </w:p>
        </w:tc>
      </w:tr>
      <w:tr w:rsidR="001C3E00" w:rsidRPr="004D5125" w:rsidTr="0091436E">
        <w:trPr>
          <w:trHeight w:val="284"/>
          <w:jc w:val="center"/>
        </w:trPr>
        <w:tc>
          <w:tcPr>
            <w:tcW w:w="1760"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left"/>
              <w:rPr>
                <w:sz w:val="18"/>
                <w:szCs w:val="18"/>
              </w:rPr>
            </w:pPr>
            <w:r>
              <w:rPr>
                <w:sz w:val="18"/>
                <w:szCs w:val="18"/>
              </w:rPr>
              <w:t>3. Tasak eta bestelako diru-sarrerak</w:t>
            </w:r>
          </w:p>
        </w:tc>
        <w:tc>
          <w:tcPr>
            <w:tcW w:w="700"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153.200</w:t>
            </w:r>
          </w:p>
        </w:tc>
        <w:tc>
          <w:tcPr>
            <w:tcW w:w="36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0</w:t>
            </w:r>
          </w:p>
        </w:tc>
        <w:tc>
          <w:tcPr>
            <w:tcW w:w="496"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153.200</w:t>
            </w:r>
          </w:p>
        </w:tc>
        <w:tc>
          <w:tcPr>
            <w:tcW w:w="54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182.479</w:t>
            </w:r>
          </w:p>
        </w:tc>
        <w:tc>
          <w:tcPr>
            <w:tcW w:w="54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119</w:t>
            </w:r>
          </w:p>
        </w:tc>
        <w:tc>
          <w:tcPr>
            <w:tcW w:w="579"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182.479</w:t>
            </w:r>
          </w:p>
        </w:tc>
      </w:tr>
      <w:tr w:rsidR="001C3E00" w:rsidRPr="004D5125" w:rsidTr="0091436E">
        <w:trPr>
          <w:trHeight w:val="284"/>
          <w:jc w:val="center"/>
        </w:trPr>
        <w:tc>
          <w:tcPr>
            <w:tcW w:w="1760"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left"/>
              <w:rPr>
                <w:sz w:val="18"/>
                <w:szCs w:val="18"/>
              </w:rPr>
            </w:pPr>
            <w:r>
              <w:rPr>
                <w:sz w:val="18"/>
                <w:szCs w:val="18"/>
              </w:rPr>
              <w:t>4. Transferentzia arruntak</w:t>
            </w:r>
          </w:p>
        </w:tc>
        <w:tc>
          <w:tcPr>
            <w:tcW w:w="700"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59.000</w:t>
            </w:r>
          </w:p>
        </w:tc>
        <w:tc>
          <w:tcPr>
            <w:tcW w:w="36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0</w:t>
            </w:r>
          </w:p>
        </w:tc>
        <w:tc>
          <w:tcPr>
            <w:tcW w:w="496"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59.000</w:t>
            </w:r>
          </w:p>
        </w:tc>
        <w:tc>
          <w:tcPr>
            <w:tcW w:w="54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60.652</w:t>
            </w:r>
          </w:p>
        </w:tc>
        <w:tc>
          <w:tcPr>
            <w:tcW w:w="54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103</w:t>
            </w:r>
          </w:p>
        </w:tc>
        <w:tc>
          <w:tcPr>
            <w:tcW w:w="579"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60.652</w:t>
            </w:r>
          </w:p>
        </w:tc>
      </w:tr>
      <w:tr w:rsidR="001C3E00" w:rsidRPr="004D5125" w:rsidTr="0091436E">
        <w:trPr>
          <w:trHeight w:val="284"/>
          <w:jc w:val="center"/>
        </w:trPr>
        <w:tc>
          <w:tcPr>
            <w:tcW w:w="1760"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left"/>
              <w:rPr>
                <w:sz w:val="18"/>
                <w:szCs w:val="18"/>
              </w:rPr>
            </w:pPr>
            <w:r>
              <w:rPr>
                <w:sz w:val="18"/>
                <w:szCs w:val="18"/>
              </w:rPr>
              <w:t>5. Ondare bidezko diru-sarrerak eta herri-aprobetxamenduak</w:t>
            </w:r>
          </w:p>
        </w:tc>
        <w:tc>
          <w:tcPr>
            <w:tcW w:w="700"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40.900</w:t>
            </w:r>
          </w:p>
        </w:tc>
        <w:tc>
          <w:tcPr>
            <w:tcW w:w="36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0</w:t>
            </w:r>
          </w:p>
        </w:tc>
        <w:tc>
          <w:tcPr>
            <w:tcW w:w="496"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40.900</w:t>
            </w:r>
          </w:p>
        </w:tc>
        <w:tc>
          <w:tcPr>
            <w:tcW w:w="54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41.924</w:t>
            </w:r>
          </w:p>
        </w:tc>
        <w:tc>
          <w:tcPr>
            <w:tcW w:w="548"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103</w:t>
            </w:r>
          </w:p>
        </w:tc>
        <w:tc>
          <w:tcPr>
            <w:tcW w:w="579" w:type="pct"/>
            <w:tcBorders>
              <w:top w:val="single" w:sz="2" w:space="0" w:color="auto"/>
              <w:left w:val="nil"/>
              <w:bottom w:val="single" w:sz="2" w:space="0" w:color="auto"/>
              <w:right w:val="nil"/>
            </w:tcBorders>
            <w:shd w:val="clear" w:color="auto" w:fill="auto"/>
            <w:noWrap/>
            <w:vAlign w:val="center"/>
          </w:tcPr>
          <w:p w:rsidR="001C3E00" w:rsidRPr="004D5125" w:rsidRDefault="001C3E00" w:rsidP="0036015E">
            <w:pPr>
              <w:pStyle w:val="cuatexto"/>
              <w:jc w:val="right"/>
              <w:rPr>
                <w:sz w:val="18"/>
                <w:szCs w:val="18"/>
              </w:rPr>
            </w:pPr>
            <w:r>
              <w:rPr>
                <w:sz w:val="18"/>
                <w:szCs w:val="18"/>
              </w:rPr>
              <w:t>41.924</w:t>
            </w:r>
          </w:p>
        </w:tc>
      </w:tr>
      <w:tr w:rsidR="001C3E00" w:rsidRPr="004D5125" w:rsidTr="0091436E">
        <w:trPr>
          <w:trHeight w:val="284"/>
          <w:jc w:val="center"/>
        </w:trPr>
        <w:tc>
          <w:tcPr>
            <w:tcW w:w="1760"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left"/>
              <w:rPr>
                <w:rFonts w:ascii="Arial" w:hAnsi="Arial" w:cs="Arial"/>
                <w:sz w:val="18"/>
                <w:szCs w:val="18"/>
              </w:rPr>
            </w:pPr>
            <w:r>
              <w:rPr>
                <w:rFonts w:ascii="Arial" w:hAnsi="Arial"/>
                <w:sz w:val="18"/>
                <w:szCs w:val="18"/>
              </w:rPr>
              <w:t>Guztira</w:t>
            </w:r>
          </w:p>
        </w:tc>
        <w:tc>
          <w:tcPr>
            <w:tcW w:w="700"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253.100</w:t>
            </w:r>
          </w:p>
        </w:tc>
        <w:tc>
          <w:tcPr>
            <w:tcW w:w="368"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0</w:t>
            </w:r>
          </w:p>
        </w:tc>
        <w:tc>
          <w:tcPr>
            <w:tcW w:w="496"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253.100</w:t>
            </w:r>
          </w:p>
        </w:tc>
        <w:tc>
          <w:tcPr>
            <w:tcW w:w="548"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285.056</w:t>
            </w:r>
          </w:p>
        </w:tc>
        <w:tc>
          <w:tcPr>
            <w:tcW w:w="548"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113</w:t>
            </w:r>
          </w:p>
        </w:tc>
        <w:tc>
          <w:tcPr>
            <w:tcW w:w="579" w:type="pct"/>
            <w:tcBorders>
              <w:top w:val="single" w:sz="4" w:space="0" w:color="auto"/>
              <w:left w:val="nil"/>
              <w:bottom w:val="single" w:sz="4" w:space="0" w:color="auto"/>
              <w:right w:val="nil"/>
            </w:tcBorders>
            <w:shd w:val="clear" w:color="auto" w:fill="FABF8F" w:themeFill="accent6" w:themeFillTint="99"/>
            <w:noWrap/>
            <w:vAlign w:val="center"/>
          </w:tcPr>
          <w:p w:rsidR="001C3E00" w:rsidRPr="004D5125" w:rsidRDefault="001C3E00" w:rsidP="0036015E">
            <w:pPr>
              <w:pStyle w:val="cuatexto"/>
              <w:jc w:val="right"/>
              <w:rPr>
                <w:rFonts w:ascii="Arial" w:hAnsi="Arial" w:cs="Arial"/>
                <w:sz w:val="18"/>
                <w:szCs w:val="18"/>
              </w:rPr>
            </w:pPr>
            <w:r>
              <w:rPr>
                <w:rFonts w:ascii="Arial" w:hAnsi="Arial"/>
                <w:sz w:val="18"/>
                <w:szCs w:val="18"/>
              </w:rPr>
              <w:t>285.056</w:t>
            </w:r>
          </w:p>
        </w:tc>
      </w:tr>
    </w:tbl>
    <w:p w:rsidR="001C3E00" w:rsidRDefault="001C3E00" w:rsidP="001C3E00">
      <w:pPr>
        <w:ind w:firstLine="0"/>
      </w:pPr>
    </w:p>
    <w:p w:rsidR="003A6E5C" w:rsidRDefault="003A6E5C">
      <w:pPr>
        <w:spacing w:after="0"/>
        <w:ind w:firstLine="0"/>
        <w:jc w:val="left"/>
        <w:rPr>
          <w:rFonts w:ascii="Arial" w:hAnsi="Arial"/>
          <w:bCs/>
          <w:iCs/>
          <w:color w:val="000000"/>
          <w:spacing w:val="10"/>
          <w:kern w:val="28"/>
          <w:sz w:val="25"/>
          <w:szCs w:val="26"/>
        </w:rPr>
      </w:pPr>
      <w:bookmarkStart w:id="19" w:name="_Toc309383721"/>
      <w:bookmarkStart w:id="20" w:name="_Toc339016610"/>
      <w:bookmarkStart w:id="21" w:name="_Toc442251801"/>
      <w:bookmarkStart w:id="22" w:name="_Toc466629720"/>
      <w:r>
        <w:br w:type="page"/>
      </w:r>
    </w:p>
    <w:p w:rsidR="001C3E00" w:rsidRPr="004D5125" w:rsidRDefault="001C3E00" w:rsidP="001C3E00">
      <w:pPr>
        <w:pStyle w:val="atitulo2"/>
      </w:pPr>
      <w:bookmarkStart w:id="23" w:name="_Toc476722770"/>
      <w:r>
        <w:lastRenderedPageBreak/>
        <w:t xml:space="preserve">III.2. 2015eko </w:t>
      </w:r>
      <w:bookmarkEnd w:id="19"/>
      <w:r>
        <w:t>aurrekontu-</w:t>
      </w:r>
      <w:bookmarkEnd w:id="20"/>
      <w:bookmarkEnd w:id="21"/>
      <w:r>
        <w:t>emaitza</w:t>
      </w:r>
      <w:bookmarkEnd w:id="22"/>
      <w:bookmarkEnd w:id="23"/>
    </w:p>
    <w:tbl>
      <w:tblPr>
        <w:tblW w:w="8815" w:type="dxa"/>
        <w:tblInd w:w="70" w:type="dxa"/>
        <w:tblCellMar>
          <w:left w:w="70" w:type="dxa"/>
          <w:right w:w="70" w:type="dxa"/>
        </w:tblCellMar>
        <w:tblLook w:val="04A0" w:firstRow="1" w:lastRow="0" w:firstColumn="1" w:lastColumn="0" w:noHBand="0" w:noVBand="1"/>
      </w:tblPr>
      <w:tblGrid>
        <w:gridCol w:w="5935"/>
        <w:gridCol w:w="1440"/>
        <w:gridCol w:w="1440"/>
      </w:tblGrid>
      <w:tr w:rsidR="001C3E00" w:rsidRPr="001F2418" w:rsidTr="002F2B6D">
        <w:trPr>
          <w:trHeight w:val="284"/>
        </w:trPr>
        <w:tc>
          <w:tcPr>
            <w:tcW w:w="5935" w:type="dxa"/>
            <w:tcBorders>
              <w:top w:val="single" w:sz="4" w:space="0" w:color="auto"/>
              <w:left w:val="nil"/>
              <w:bottom w:val="single" w:sz="4" w:space="0" w:color="auto"/>
              <w:right w:val="nil"/>
            </w:tcBorders>
            <w:shd w:val="clear" w:color="auto" w:fill="FABF8F" w:themeFill="accent6" w:themeFillTint="99"/>
            <w:noWrap/>
            <w:vAlign w:val="center"/>
          </w:tcPr>
          <w:p w:rsidR="001C3E00" w:rsidRPr="001F2418" w:rsidRDefault="001C3E00" w:rsidP="0036015E">
            <w:pPr>
              <w:pStyle w:val="cuatexto"/>
              <w:jc w:val="left"/>
              <w:rPr>
                <w:rFonts w:ascii="Arial" w:hAnsi="Arial" w:cs="Arial"/>
                <w:sz w:val="18"/>
                <w:szCs w:val="18"/>
              </w:rPr>
            </w:pPr>
            <w:bookmarkStart w:id="24" w:name="_Toc278286750"/>
            <w:bookmarkStart w:id="25" w:name="_Toc305403139"/>
            <w:r>
              <w:rPr>
                <w:rFonts w:ascii="Arial" w:hAnsi="Arial"/>
                <w:sz w:val="18"/>
                <w:szCs w:val="18"/>
              </w:rPr>
              <w:t>Kontzeptua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1C3E00" w:rsidRPr="001F2418" w:rsidRDefault="001C3E00" w:rsidP="0036015E">
            <w:pPr>
              <w:pStyle w:val="cuatexto"/>
              <w:jc w:val="right"/>
              <w:rPr>
                <w:rFonts w:ascii="Arial" w:hAnsi="Arial" w:cs="Arial"/>
                <w:sz w:val="18"/>
                <w:szCs w:val="18"/>
              </w:rPr>
            </w:pPr>
            <w:r>
              <w:rPr>
                <w:rFonts w:ascii="Arial" w:hAnsi="Arial"/>
                <w:sz w:val="18"/>
                <w:szCs w:val="18"/>
              </w:rPr>
              <w:t>2014ko ekita</w:t>
            </w:r>
            <w:r>
              <w:rPr>
                <w:rFonts w:ascii="Arial" w:hAnsi="Arial"/>
                <w:sz w:val="18"/>
                <w:szCs w:val="18"/>
              </w:rPr>
              <w:t>l</w:t>
            </w:r>
            <w:r>
              <w:rPr>
                <w:rFonts w:ascii="Arial" w:hAnsi="Arial"/>
                <w:sz w:val="18"/>
                <w:szCs w:val="18"/>
              </w:rPr>
              <w:t>dia</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1C3E00" w:rsidRPr="001F2418" w:rsidRDefault="001C3E00" w:rsidP="0036015E">
            <w:pPr>
              <w:pStyle w:val="cuatexto"/>
              <w:jc w:val="right"/>
              <w:rPr>
                <w:rFonts w:ascii="Arial" w:hAnsi="Arial" w:cs="Arial"/>
                <w:sz w:val="18"/>
                <w:szCs w:val="18"/>
              </w:rPr>
            </w:pPr>
            <w:r>
              <w:rPr>
                <w:rFonts w:ascii="Arial" w:hAnsi="Arial"/>
                <w:sz w:val="18"/>
                <w:szCs w:val="18"/>
              </w:rPr>
              <w:t>2015eko ek</w:t>
            </w:r>
            <w:r>
              <w:rPr>
                <w:rFonts w:ascii="Arial" w:hAnsi="Arial"/>
                <w:sz w:val="18"/>
                <w:szCs w:val="18"/>
              </w:rPr>
              <w:t>i</w:t>
            </w:r>
            <w:r>
              <w:rPr>
                <w:rFonts w:ascii="Arial" w:hAnsi="Arial"/>
                <w:sz w:val="18"/>
                <w:szCs w:val="18"/>
              </w:rPr>
              <w:t>taldia</w:t>
            </w:r>
          </w:p>
        </w:tc>
      </w:tr>
      <w:tr w:rsidR="001C3E00" w:rsidRPr="00635066" w:rsidTr="002F2B6D">
        <w:trPr>
          <w:trHeight w:val="284"/>
        </w:trPr>
        <w:tc>
          <w:tcPr>
            <w:tcW w:w="5935" w:type="dxa"/>
            <w:tcBorders>
              <w:top w:val="single" w:sz="4" w:space="0" w:color="auto"/>
              <w:left w:val="nil"/>
              <w:bottom w:val="single" w:sz="2" w:space="0" w:color="auto"/>
              <w:right w:val="nil"/>
            </w:tcBorders>
            <w:shd w:val="clear" w:color="auto" w:fill="auto"/>
            <w:noWrap/>
            <w:vAlign w:val="center"/>
          </w:tcPr>
          <w:p w:rsidR="001C3E00" w:rsidRPr="00635066" w:rsidRDefault="001C3E00" w:rsidP="0036015E">
            <w:pPr>
              <w:pStyle w:val="cuatexto"/>
              <w:jc w:val="left"/>
            </w:pPr>
            <w:r>
              <w:t>+ Aitortutako eskubideak</w:t>
            </w:r>
          </w:p>
        </w:tc>
        <w:tc>
          <w:tcPr>
            <w:tcW w:w="1440" w:type="dxa"/>
            <w:tcBorders>
              <w:top w:val="single" w:sz="4" w:space="0" w:color="auto"/>
              <w:left w:val="nil"/>
              <w:bottom w:val="single" w:sz="2" w:space="0" w:color="auto"/>
              <w:right w:val="nil"/>
            </w:tcBorders>
            <w:vAlign w:val="center"/>
          </w:tcPr>
          <w:p w:rsidR="001C3E00" w:rsidRPr="00635066" w:rsidRDefault="001C3E00" w:rsidP="0036015E">
            <w:pPr>
              <w:pStyle w:val="cuatexto"/>
              <w:jc w:val="right"/>
            </w:pPr>
            <w:r>
              <w:t>234.624</w:t>
            </w:r>
          </w:p>
        </w:tc>
        <w:tc>
          <w:tcPr>
            <w:tcW w:w="1440" w:type="dxa"/>
            <w:tcBorders>
              <w:top w:val="single" w:sz="4" w:space="0" w:color="auto"/>
              <w:left w:val="nil"/>
              <w:bottom w:val="single" w:sz="2" w:space="0" w:color="auto"/>
              <w:right w:val="nil"/>
            </w:tcBorders>
            <w:shd w:val="clear" w:color="auto" w:fill="auto"/>
            <w:noWrap/>
            <w:vAlign w:val="center"/>
          </w:tcPr>
          <w:p w:rsidR="001C3E00" w:rsidRPr="00635066" w:rsidRDefault="001C3E00" w:rsidP="0036015E">
            <w:pPr>
              <w:pStyle w:val="cuatexto"/>
              <w:jc w:val="right"/>
            </w:pPr>
            <w:r>
              <w:t>285.056</w:t>
            </w:r>
          </w:p>
        </w:tc>
      </w:tr>
      <w:tr w:rsidR="001C3E00" w:rsidRPr="00635066" w:rsidTr="002F2B6D">
        <w:trPr>
          <w:trHeight w:val="284"/>
        </w:trPr>
        <w:tc>
          <w:tcPr>
            <w:tcW w:w="5935" w:type="dxa"/>
            <w:tcBorders>
              <w:top w:val="single" w:sz="2" w:space="0" w:color="auto"/>
              <w:left w:val="nil"/>
              <w:bottom w:val="single" w:sz="2" w:space="0" w:color="auto"/>
              <w:right w:val="nil"/>
            </w:tcBorders>
            <w:shd w:val="clear" w:color="auto" w:fill="auto"/>
            <w:noWrap/>
            <w:vAlign w:val="center"/>
          </w:tcPr>
          <w:p w:rsidR="001C3E00" w:rsidRPr="00635066" w:rsidRDefault="001C3E00" w:rsidP="002F2B6D">
            <w:pPr>
              <w:pStyle w:val="cuatexto"/>
              <w:jc w:val="left"/>
            </w:pPr>
            <w:r>
              <w:t>- Aitortutako betebeharrak</w:t>
            </w:r>
          </w:p>
        </w:tc>
        <w:tc>
          <w:tcPr>
            <w:tcW w:w="1440" w:type="dxa"/>
            <w:tcBorders>
              <w:top w:val="single" w:sz="2" w:space="0" w:color="auto"/>
              <w:left w:val="nil"/>
              <w:bottom w:val="single" w:sz="2" w:space="0" w:color="auto"/>
              <w:right w:val="nil"/>
            </w:tcBorders>
            <w:vAlign w:val="center"/>
          </w:tcPr>
          <w:p w:rsidR="001C3E00" w:rsidRPr="00635066" w:rsidRDefault="001C3E00" w:rsidP="0036015E">
            <w:pPr>
              <w:pStyle w:val="cuatexto"/>
              <w:jc w:val="right"/>
            </w:pPr>
            <w:r>
              <w:t>409.844</w:t>
            </w:r>
          </w:p>
        </w:tc>
        <w:tc>
          <w:tcPr>
            <w:tcW w:w="1440"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right"/>
            </w:pPr>
            <w:r>
              <w:t>199.705</w:t>
            </w:r>
          </w:p>
        </w:tc>
      </w:tr>
      <w:tr w:rsidR="001C3E00" w:rsidRPr="00635066" w:rsidTr="002F2B6D">
        <w:trPr>
          <w:trHeight w:val="284"/>
        </w:trPr>
        <w:tc>
          <w:tcPr>
            <w:tcW w:w="5935"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left"/>
            </w:pPr>
            <w:r>
              <w:t>Aurrekontu-emaitza</w:t>
            </w:r>
          </w:p>
        </w:tc>
        <w:tc>
          <w:tcPr>
            <w:tcW w:w="1440" w:type="dxa"/>
            <w:tcBorders>
              <w:top w:val="single" w:sz="2" w:space="0" w:color="auto"/>
              <w:left w:val="nil"/>
              <w:bottom w:val="single" w:sz="2" w:space="0" w:color="auto"/>
              <w:right w:val="nil"/>
            </w:tcBorders>
            <w:vAlign w:val="center"/>
          </w:tcPr>
          <w:p w:rsidR="001C3E00" w:rsidRPr="00635066" w:rsidRDefault="001C3E00" w:rsidP="0036015E">
            <w:pPr>
              <w:pStyle w:val="cuatexto"/>
              <w:jc w:val="right"/>
            </w:pPr>
            <w:r>
              <w:t>-175.221</w:t>
            </w:r>
          </w:p>
        </w:tc>
        <w:tc>
          <w:tcPr>
            <w:tcW w:w="1440"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right"/>
            </w:pPr>
            <w:r>
              <w:t>85.350</w:t>
            </w:r>
          </w:p>
        </w:tc>
      </w:tr>
      <w:tr w:rsidR="001C3E00" w:rsidRPr="002F2B6D" w:rsidTr="002F2B6D">
        <w:trPr>
          <w:trHeight w:val="284"/>
        </w:trPr>
        <w:tc>
          <w:tcPr>
            <w:tcW w:w="5935"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left"/>
            </w:pPr>
            <w:r>
              <w:t>Doikuntzak</w:t>
            </w:r>
          </w:p>
        </w:tc>
        <w:tc>
          <w:tcPr>
            <w:tcW w:w="1440" w:type="dxa"/>
            <w:tcBorders>
              <w:top w:val="single" w:sz="2" w:space="0" w:color="auto"/>
              <w:left w:val="nil"/>
              <w:bottom w:val="single" w:sz="2" w:space="0" w:color="auto"/>
              <w:right w:val="nil"/>
            </w:tcBorders>
            <w:vAlign w:val="center"/>
          </w:tcPr>
          <w:p w:rsidR="001C3E00" w:rsidRPr="002F2B6D" w:rsidRDefault="001C3E00" w:rsidP="0036015E">
            <w:pPr>
              <w:pStyle w:val="cuatexto"/>
              <w:jc w:val="right"/>
              <w:rPr>
                <w:bCs/>
              </w:rPr>
            </w:pPr>
            <w:r>
              <w:t>0</w:t>
            </w:r>
          </w:p>
        </w:tc>
        <w:tc>
          <w:tcPr>
            <w:tcW w:w="1440" w:type="dxa"/>
            <w:tcBorders>
              <w:top w:val="single" w:sz="2" w:space="0" w:color="auto"/>
              <w:left w:val="nil"/>
              <w:bottom w:val="single" w:sz="2" w:space="0" w:color="auto"/>
              <w:right w:val="nil"/>
            </w:tcBorders>
            <w:shd w:val="clear" w:color="auto" w:fill="auto"/>
            <w:noWrap/>
            <w:vAlign w:val="center"/>
          </w:tcPr>
          <w:p w:rsidR="001C3E00" w:rsidRPr="002F2B6D" w:rsidRDefault="001C3E00" w:rsidP="0036015E">
            <w:pPr>
              <w:pStyle w:val="cuatexto"/>
              <w:jc w:val="right"/>
              <w:rPr>
                <w:bCs/>
              </w:rPr>
            </w:pPr>
            <w:r>
              <w:t>0</w:t>
            </w:r>
          </w:p>
        </w:tc>
      </w:tr>
      <w:tr w:rsidR="001C3E00" w:rsidRPr="00635066" w:rsidTr="002F2B6D">
        <w:trPr>
          <w:trHeight w:val="284"/>
        </w:trPr>
        <w:tc>
          <w:tcPr>
            <w:tcW w:w="5935" w:type="dxa"/>
            <w:tcBorders>
              <w:top w:val="single" w:sz="2" w:space="0" w:color="auto"/>
              <w:left w:val="nil"/>
              <w:bottom w:val="single" w:sz="2" w:space="0" w:color="auto"/>
              <w:right w:val="nil"/>
            </w:tcBorders>
            <w:shd w:val="clear" w:color="auto" w:fill="auto"/>
            <w:vAlign w:val="center"/>
          </w:tcPr>
          <w:p w:rsidR="001C3E00" w:rsidRPr="00635066" w:rsidRDefault="001C3E00" w:rsidP="002F2B6D">
            <w:pPr>
              <w:pStyle w:val="cuatexto"/>
              <w:jc w:val="left"/>
            </w:pPr>
            <w:r>
              <w:t>- Finantzaketaren desbideratze positiboak</w:t>
            </w:r>
          </w:p>
        </w:tc>
        <w:tc>
          <w:tcPr>
            <w:tcW w:w="1440" w:type="dxa"/>
            <w:tcBorders>
              <w:top w:val="single" w:sz="2" w:space="0" w:color="auto"/>
              <w:left w:val="nil"/>
              <w:bottom w:val="single" w:sz="2" w:space="0" w:color="auto"/>
              <w:right w:val="nil"/>
            </w:tcBorders>
            <w:vAlign w:val="center"/>
          </w:tcPr>
          <w:p w:rsidR="001C3E00" w:rsidRPr="00635066" w:rsidRDefault="001C3E00" w:rsidP="0036015E">
            <w:pPr>
              <w:pStyle w:val="cuatexto"/>
              <w:jc w:val="right"/>
            </w:pPr>
            <w:r>
              <w:t>0</w:t>
            </w:r>
          </w:p>
        </w:tc>
        <w:tc>
          <w:tcPr>
            <w:tcW w:w="1440"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right"/>
            </w:pPr>
            <w:r>
              <w:t>0</w:t>
            </w:r>
          </w:p>
        </w:tc>
      </w:tr>
      <w:tr w:rsidR="001C3E00" w:rsidRPr="00635066" w:rsidTr="002F2B6D">
        <w:trPr>
          <w:trHeight w:val="284"/>
        </w:trPr>
        <w:tc>
          <w:tcPr>
            <w:tcW w:w="5935" w:type="dxa"/>
            <w:tcBorders>
              <w:top w:val="single" w:sz="2" w:space="0" w:color="auto"/>
              <w:left w:val="nil"/>
              <w:bottom w:val="single" w:sz="2" w:space="0" w:color="auto"/>
              <w:right w:val="nil"/>
            </w:tcBorders>
            <w:shd w:val="clear" w:color="auto" w:fill="auto"/>
            <w:vAlign w:val="center"/>
          </w:tcPr>
          <w:p w:rsidR="001C3E00" w:rsidRPr="00635066" w:rsidRDefault="001C3E00" w:rsidP="0036015E">
            <w:pPr>
              <w:pStyle w:val="cuatexto"/>
              <w:jc w:val="left"/>
            </w:pPr>
            <w:r>
              <w:t>+ Finantzaketaren desbideratze negatiboak</w:t>
            </w:r>
          </w:p>
        </w:tc>
        <w:tc>
          <w:tcPr>
            <w:tcW w:w="1440" w:type="dxa"/>
            <w:tcBorders>
              <w:top w:val="single" w:sz="2" w:space="0" w:color="auto"/>
              <w:left w:val="nil"/>
              <w:bottom w:val="single" w:sz="2" w:space="0" w:color="auto"/>
              <w:right w:val="nil"/>
            </w:tcBorders>
            <w:vAlign w:val="center"/>
          </w:tcPr>
          <w:p w:rsidR="001C3E00" w:rsidRPr="00635066" w:rsidRDefault="001C3E00" w:rsidP="0036015E">
            <w:pPr>
              <w:pStyle w:val="cuatexto"/>
              <w:jc w:val="right"/>
            </w:pPr>
            <w:r>
              <w:t>0</w:t>
            </w:r>
          </w:p>
        </w:tc>
        <w:tc>
          <w:tcPr>
            <w:tcW w:w="1440"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right"/>
            </w:pPr>
            <w:r>
              <w:t>0</w:t>
            </w:r>
          </w:p>
        </w:tc>
      </w:tr>
      <w:tr w:rsidR="001C3E00" w:rsidRPr="00635066" w:rsidTr="002F2B6D">
        <w:trPr>
          <w:trHeight w:val="284"/>
        </w:trPr>
        <w:tc>
          <w:tcPr>
            <w:tcW w:w="5935" w:type="dxa"/>
            <w:tcBorders>
              <w:top w:val="single" w:sz="2" w:space="0" w:color="auto"/>
              <w:left w:val="nil"/>
              <w:bottom w:val="single" w:sz="2" w:space="0" w:color="auto"/>
              <w:right w:val="nil"/>
            </w:tcBorders>
            <w:shd w:val="clear" w:color="auto" w:fill="auto"/>
            <w:vAlign w:val="center"/>
          </w:tcPr>
          <w:p w:rsidR="001C3E00" w:rsidRPr="00635066" w:rsidRDefault="001C3E00" w:rsidP="0036015E">
            <w:pPr>
              <w:pStyle w:val="cuatexto"/>
              <w:jc w:val="left"/>
            </w:pPr>
            <w:r>
              <w:t xml:space="preserve">+ </w:t>
            </w:r>
            <w:proofErr w:type="spellStart"/>
            <w:r>
              <w:t>Diruzaintza-gerakinarekin</w:t>
            </w:r>
            <w:proofErr w:type="spellEnd"/>
            <w:r>
              <w:t xml:space="preserve"> finantzatutako gastuak</w:t>
            </w:r>
          </w:p>
        </w:tc>
        <w:tc>
          <w:tcPr>
            <w:tcW w:w="1440" w:type="dxa"/>
            <w:tcBorders>
              <w:top w:val="single" w:sz="2" w:space="0" w:color="auto"/>
              <w:left w:val="nil"/>
              <w:bottom w:val="single" w:sz="2" w:space="0" w:color="auto"/>
              <w:right w:val="nil"/>
            </w:tcBorders>
            <w:vAlign w:val="center"/>
          </w:tcPr>
          <w:p w:rsidR="001C3E00" w:rsidRPr="00635066" w:rsidRDefault="001C3E00" w:rsidP="0036015E">
            <w:pPr>
              <w:pStyle w:val="cuatexto"/>
              <w:jc w:val="right"/>
            </w:pPr>
            <w:r>
              <w:t>0</w:t>
            </w:r>
          </w:p>
        </w:tc>
        <w:tc>
          <w:tcPr>
            <w:tcW w:w="1440" w:type="dxa"/>
            <w:tcBorders>
              <w:top w:val="single" w:sz="2" w:space="0" w:color="auto"/>
              <w:left w:val="nil"/>
              <w:bottom w:val="single" w:sz="2" w:space="0" w:color="auto"/>
              <w:right w:val="nil"/>
            </w:tcBorders>
            <w:shd w:val="clear" w:color="auto" w:fill="auto"/>
            <w:noWrap/>
            <w:vAlign w:val="center"/>
          </w:tcPr>
          <w:p w:rsidR="001C3E00" w:rsidRPr="00635066" w:rsidRDefault="001C3E00" w:rsidP="0036015E">
            <w:pPr>
              <w:pStyle w:val="cuatexto"/>
              <w:jc w:val="right"/>
            </w:pPr>
            <w:r>
              <w:t>0</w:t>
            </w:r>
          </w:p>
        </w:tc>
      </w:tr>
      <w:tr w:rsidR="001C3E00" w:rsidRPr="00635066" w:rsidTr="002F2B6D">
        <w:trPr>
          <w:trHeight w:val="284"/>
        </w:trPr>
        <w:tc>
          <w:tcPr>
            <w:tcW w:w="5935" w:type="dxa"/>
            <w:tcBorders>
              <w:top w:val="single" w:sz="2" w:space="0" w:color="auto"/>
              <w:left w:val="nil"/>
              <w:bottom w:val="single" w:sz="4" w:space="0" w:color="auto"/>
              <w:right w:val="nil"/>
            </w:tcBorders>
            <w:shd w:val="clear" w:color="auto" w:fill="auto"/>
            <w:vAlign w:val="center"/>
          </w:tcPr>
          <w:p w:rsidR="001C3E00" w:rsidRPr="00635066" w:rsidRDefault="001C3E00" w:rsidP="0036015E">
            <w:pPr>
              <w:pStyle w:val="cuatexto"/>
              <w:jc w:val="left"/>
            </w:pPr>
            <w:r>
              <w:t>+ Merkataritzako eragiketen emaitza</w:t>
            </w:r>
          </w:p>
        </w:tc>
        <w:tc>
          <w:tcPr>
            <w:tcW w:w="1440" w:type="dxa"/>
            <w:tcBorders>
              <w:top w:val="single" w:sz="2" w:space="0" w:color="auto"/>
              <w:left w:val="nil"/>
              <w:bottom w:val="single" w:sz="4" w:space="0" w:color="auto"/>
              <w:right w:val="nil"/>
            </w:tcBorders>
            <w:vAlign w:val="center"/>
          </w:tcPr>
          <w:p w:rsidR="001C3E00" w:rsidRPr="00635066" w:rsidRDefault="001C3E00" w:rsidP="0036015E">
            <w:pPr>
              <w:pStyle w:val="cuatexto"/>
              <w:jc w:val="right"/>
            </w:pPr>
            <w:r>
              <w:t>0</w:t>
            </w:r>
          </w:p>
        </w:tc>
        <w:tc>
          <w:tcPr>
            <w:tcW w:w="1440" w:type="dxa"/>
            <w:tcBorders>
              <w:top w:val="single" w:sz="2" w:space="0" w:color="auto"/>
              <w:left w:val="nil"/>
              <w:bottom w:val="single" w:sz="4" w:space="0" w:color="auto"/>
              <w:right w:val="nil"/>
            </w:tcBorders>
            <w:shd w:val="clear" w:color="auto" w:fill="auto"/>
            <w:noWrap/>
            <w:vAlign w:val="center"/>
          </w:tcPr>
          <w:p w:rsidR="001C3E00" w:rsidRPr="00635066" w:rsidRDefault="001C3E00" w:rsidP="0036015E">
            <w:pPr>
              <w:pStyle w:val="cuatexto"/>
              <w:jc w:val="right"/>
            </w:pPr>
            <w:r>
              <w:t>0</w:t>
            </w:r>
          </w:p>
        </w:tc>
      </w:tr>
      <w:tr w:rsidR="001C3E00" w:rsidRPr="001F2418" w:rsidTr="002F2B6D">
        <w:trPr>
          <w:trHeight w:val="284"/>
        </w:trPr>
        <w:tc>
          <w:tcPr>
            <w:tcW w:w="5935" w:type="dxa"/>
            <w:tcBorders>
              <w:top w:val="single" w:sz="4" w:space="0" w:color="auto"/>
              <w:left w:val="nil"/>
              <w:bottom w:val="single" w:sz="4" w:space="0" w:color="auto"/>
              <w:right w:val="nil"/>
            </w:tcBorders>
            <w:shd w:val="clear" w:color="auto" w:fill="FABF8F" w:themeFill="accent6" w:themeFillTint="99"/>
            <w:noWrap/>
            <w:vAlign w:val="center"/>
          </w:tcPr>
          <w:p w:rsidR="001C3E00" w:rsidRPr="001F2418" w:rsidRDefault="001C3E00" w:rsidP="0036015E">
            <w:pPr>
              <w:pStyle w:val="cuatexto"/>
              <w:jc w:val="left"/>
              <w:rPr>
                <w:rFonts w:ascii="Arial" w:hAnsi="Arial" w:cs="Arial"/>
                <w:sz w:val="18"/>
                <w:szCs w:val="18"/>
              </w:rPr>
            </w:pPr>
            <w:r>
              <w:rPr>
                <w:rFonts w:ascii="Arial" w:hAnsi="Arial"/>
                <w:sz w:val="18"/>
                <w:szCs w:val="18"/>
              </w:rPr>
              <w:t>Aurrekontu-emaitza doitua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1C3E00" w:rsidRPr="001F2418" w:rsidRDefault="001C3E00" w:rsidP="0036015E">
            <w:pPr>
              <w:pStyle w:val="cuatexto"/>
              <w:jc w:val="right"/>
              <w:rPr>
                <w:rFonts w:ascii="Arial" w:hAnsi="Arial" w:cs="Arial"/>
                <w:sz w:val="18"/>
                <w:szCs w:val="18"/>
              </w:rPr>
            </w:pPr>
            <w:r>
              <w:rPr>
                <w:rFonts w:ascii="Arial" w:hAnsi="Arial"/>
                <w:sz w:val="18"/>
                <w:szCs w:val="18"/>
              </w:rPr>
              <w:t>-175.221</w:t>
            </w:r>
          </w:p>
        </w:tc>
        <w:tc>
          <w:tcPr>
            <w:tcW w:w="1440" w:type="dxa"/>
            <w:tcBorders>
              <w:top w:val="single" w:sz="4" w:space="0" w:color="auto"/>
              <w:left w:val="nil"/>
              <w:bottom w:val="single" w:sz="4" w:space="0" w:color="auto"/>
              <w:right w:val="nil"/>
            </w:tcBorders>
            <w:shd w:val="clear" w:color="auto" w:fill="FABF8F" w:themeFill="accent6" w:themeFillTint="99"/>
            <w:noWrap/>
            <w:vAlign w:val="center"/>
          </w:tcPr>
          <w:p w:rsidR="001C3E00" w:rsidRPr="001F2418" w:rsidRDefault="001C3E00" w:rsidP="0036015E">
            <w:pPr>
              <w:pStyle w:val="cuatexto"/>
              <w:jc w:val="right"/>
              <w:rPr>
                <w:rFonts w:ascii="Arial" w:hAnsi="Arial" w:cs="Arial"/>
                <w:sz w:val="18"/>
                <w:szCs w:val="18"/>
              </w:rPr>
            </w:pPr>
            <w:r>
              <w:rPr>
                <w:rFonts w:ascii="Arial" w:hAnsi="Arial"/>
                <w:sz w:val="18"/>
                <w:szCs w:val="18"/>
              </w:rPr>
              <w:t>85.350</w:t>
            </w:r>
          </w:p>
        </w:tc>
      </w:tr>
    </w:tbl>
    <w:p w:rsidR="001C3E00" w:rsidRDefault="001C3E00" w:rsidP="001C3E00">
      <w:pPr>
        <w:pStyle w:val="atitulo2"/>
      </w:pPr>
    </w:p>
    <w:p w:rsidR="003A6E5C" w:rsidRDefault="003A6E5C" w:rsidP="001C3E00">
      <w:pPr>
        <w:pStyle w:val="atitulo2"/>
      </w:pPr>
    </w:p>
    <w:p w:rsidR="001C3E00" w:rsidRPr="004D5125" w:rsidRDefault="001C3E00" w:rsidP="001C3E00">
      <w:pPr>
        <w:pStyle w:val="atitulo2"/>
      </w:pPr>
      <w:bookmarkStart w:id="26" w:name="_Toc442251802"/>
      <w:bookmarkStart w:id="27" w:name="_Toc466629721"/>
      <w:bookmarkStart w:id="28" w:name="_Toc476722771"/>
      <w:r>
        <w:t xml:space="preserve">III.3. </w:t>
      </w:r>
      <w:bookmarkStart w:id="29" w:name="_Toc339016611"/>
      <w:proofErr w:type="spellStart"/>
      <w:r>
        <w:t>Diruzaintza-gerakina</w:t>
      </w:r>
      <w:proofErr w:type="spellEnd"/>
      <w:r>
        <w:t xml:space="preserve"> </w:t>
      </w:r>
      <w:bookmarkEnd w:id="24"/>
      <w:bookmarkEnd w:id="25"/>
      <w:r>
        <w:t>2015eko abenduaren 31</w:t>
      </w:r>
      <w:bookmarkEnd w:id="29"/>
      <w:r>
        <w:t>n</w:t>
      </w:r>
      <w:bookmarkEnd w:id="26"/>
      <w:bookmarkEnd w:id="27"/>
      <w:bookmarkEnd w:id="28"/>
    </w:p>
    <w:tbl>
      <w:tblPr>
        <w:tblW w:w="4925" w:type="pct"/>
        <w:tblInd w:w="70" w:type="dxa"/>
        <w:tblCellMar>
          <w:left w:w="70" w:type="dxa"/>
          <w:right w:w="70" w:type="dxa"/>
        </w:tblCellMar>
        <w:tblLook w:val="04A0" w:firstRow="1" w:lastRow="0" w:firstColumn="1" w:lastColumn="0" w:noHBand="0" w:noVBand="1"/>
      </w:tblPr>
      <w:tblGrid>
        <w:gridCol w:w="5921"/>
        <w:gridCol w:w="1437"/>
        <w:gridCol w:w="1437"/>
      </w:tblGrid>
      <w:tr w:rsidR="001C3E00" w:rsidRPr="00AC5F28" w:rsidTr="002F2B6D">
        <w:trPr>
          <w:trHeight w:val="284"/>
        </w:trPr>
        <w:tc>
          <w:tcPr>
            <w:tcW w:w="3366" w:type="pct"/>
            <w:tcBorders>
              <w:top w:val="single" w:sz="4" w:space="0" w:color="auto"/>
              <w:left w:val="nil"/>
              <w:bottom w:val="single" w:sz="4" w:space="0" w:color="auto"/>
              <w:right w:val="nil"/>
            </w:tcBorders>
            <w:shd w:val="clear" w:color="auto" w:fill="FABF8F" w:themeFill="accent6" w:themeFillTint="99"/>
            <w:vAlign w:val="center"/>
          </w:tcPr>
          <w:p w:rsidR="001C3E00" w:rsidRPr="00AC5F28" w:rsidRDefault="001C3E00" w:rsidP="0036015E">
            <w:pPr>
              <w:pStyle w:val="cuatexto"/>
              <w:jc w:val="left"/>
              <w:rPr>
                <w:rFonts w:ascii="Arial" w:hAnsi="Arial" w:cs="Arial"/>
                <w:sz w:val="18"/>
                <w:szCs w:val="18"/>
              </w:rPr>
            </w:pPr>
            <w:r>
              <w:rPr>
                <w:rFonts w:ascii="Arial" w:hAnsi="Arial"/>
                <w:sz w:val="18"/>
                <w:szCs w:val="18"/>
              </w:rPr>
              <w:t>Kontzeptua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1C3E00" w:rsidRPr="00AC5F28" w:rsidRDefault="001C3E00" w:rsidP="0036015E">
            <w:pPr>
              <w:pStyle w:val="cuatexto"/>
              <w:jc w:val="right"/>
              <w:rPr>
                <w:rFonts w:ascii="Arial" w:hAnsi="Arial" w:cs="Arial"/>
                <w:sz w:val="18"/>
                <w:szCs w:val="18"/>
              </w:rPr>
            </w:pPr>
            <w:r>
              <w:rPr>
                <w:rFonts w:ascii="Arial" w:hAnsi="Arial"/>
                <w:sz w:val="18"/>
                <w:szCs w:val="18"/>
              </w:rPr>
              <w:t>2014ko ekita</w:t>
            </w:r>
            <w:r>
              <w:rPr>
                <w:rFonts w:ascii="Arial" w:hAnsi="Arial"/>
                <w:sz w:val="18"/>
                <w:szCs w:val="18"/>
              </w:rPr>
              <w:t>l</w:t>
            </w:r>
            <w:r>
              <w:rPr>
                <w:rFonts w:ascii="Arial" w:hAnsi="Arial"/>
                <w:sz w:val="18"/>
                <w:szCs w:val="18"/>
              </w:rPr>
              <w:t>dia</w:t>
            </w:r>
          </w:p>
        </w:tc>
        <w:tc>
          <w:tcPr>
            <w:tcW w:w="817" w:type="pct"/>
            <w:tcBorders>
              <w:top w:val="single" w:sz="4" w:space="0" w:color="auto"/>
              <w:left w:val="nil"/>
              <w:bottom w:val="single" w:sz="4" w:space="0" w:color="auto"/>
              <w:right w:val="nil"/>
            </w:tcBorders>
            <w:shd w:val="clear" w:color="auto" w:fill="FABF8F" w:themeFill="accent6" w:themeFillTint="99"/>
            <w:vAlign w:val="center"/>
          </w:tcPr>
          <w:p w:rsidR="001C3E00" w:rsidRPr="00AC5F28" w:rsidRDefault="001C3E00" w:rsidP="0036015E">
            <w:pPr>
              <w:pStyle w:val="cuatexto"/>
              <w:jc w:val="right"/>
              <w:rPr>
                <w:rFonts w:ascii="Arial" w:hAnsi="Arial" w:cs="Arial"/>
                <w:sz w:val="18"/>
                <w:szCs w:val="18"/>
              </w:rPr>
            </w:pPr>
            <w:r>
              <w:rPr>
                <w:rFonts w:ascii="Arial" w:hAnsi="Arial"/>
                <w:sz w:val="18"/>
                <w:szCs w:val="18"/>
              </w:rPr>
              <w:t>2015eko ek</w:t>
            </w:r>
            <w:r>
              <w:rPr>
                <w:rFonts w:ascii="Arial" w:hAnsi="Arial"/>
                <w:sz w:val="18"/>
                <w:szCs w:val="18"/>
              </w:rPr>
              <w:t>i</w:t>
            </w:r>
            <w:r>
              <w:rPr>
                <w:rFonts w:ascii="Arial" w:hAnsi="Arial"/>
                <w:sz w:val="18"/>
                <w:szCs w:val="18"/>
              </w:rPr>
              <w:t>taldia</w:t>
            </w:r>
          </w:p>
        </w:tc>
      </w:tr>
      <w:tr w:rsidR="001C3E00" w:rsidRPr="00AC5F28" w:rsidTr="002F2B6D">
        <w:trPr>
          <w:trHeight w:val="284"/>
        </w:trPr>
        <w:tc>
          <w:tcPr>
            <w:tcW w:w="3366" w:type="pct"/>
            <w:tcBorders>
              <w:top w:val="single" w:sz="4" w:space="0" w:color="auto"/>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r>
              <w:t>(+) Kobratzeko dauden eskubideak</w:t>
            </w:r>
          </w:p>
        </w:tc>
        <w:tc>
          <w:tcPr>
            <w:tcW w:w="817" w:type="pct"/>
            <w:tcBorders>
              <w:top w:val="single" w:sz="4" w:space="0" w:color="auto"/>
              <w:left w:val="nil"/>
              <w:bottom w:val="single" w:sz="2" w:space="0" w:color="auto"/>
              <w:right w:val="nil"/>
            </w:tcBorders>
            <w:vAlign w:val="center"/>
          </w:tcPr>
          <w:p w:rsidR="001C3E00" w:rsidRPr="00AC5F28" w:rsidRDefault="001C3E00" w:rsidP="0036015E">
            <w:pPr>
              <w:pStyle w:val="cuatexto"/>
              <w:jc w:val="right"/>
              <w:rPr>
                <w:szCs w:val="20"/>
              </w:rPr>
            </w:pPr>
            <w:r>
              <w:t>0</w:t>
            </w:r>
          </w:p>
        </w:tc>
        <w:tc>
          <w:tcPr>
            <w:tcW w:w="817" w:type="pct"/>
            <w:tcBorders>
              <w:top w:val="single" w:sz="4" w:space="0" w:color="auto"/>
              <w:left w:val="nil"/>
              <w:bottom w:val="single" w:sz="2" w:space="0" w:color="auto"/>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AC5F28" w:rsidTr="002F2B6D">
        <w:trPr>
          <w:trHeight w:val="284"/>
        </w:trPr>
        <w:tc>
          <w:tcPr>
            <w:tcW w:w="3366" w:type="pct"/>
            <w:tcBorders>
              <w:top w:val="single" w:sz="2" w:space="0" w:color="auto"/>
              <w:left w:val="nil"/>
              <w:right w:val="nil"/>
            </w:tcBorders>
            <w:shd w:val="clear" w:color="auto" w:fill="auto"/>
            <w:vAlign w:val="center"/>
          </w:tcPr>
          <w:p w:rsidR="001C3E00" w:rsidRPr="00AC5F28" w:rsidRDefault="001C3E00" w:rsidP="0036015E">
            <w:pPr>
              <w:pStyle w:val="cuatexto"/>
              <w:jc w:val="left"/>
              <w:rPr>
                <w:szCs w:val="20"/>
              </w:rPr>
            </w:pPr>
            <w:r>
              <w:t>(+) Diru-sarrerak: Aurtengo ekitaldia</w:t>
            </w:r>
          </w:p>
        </w:tc>
        <w:tc>
          <w:tcPr>
            <w:tcW w:w="817" w:type="pct"/>
            <w:tcBorders>
              <w:top w:val="single" w:sz="2" w:space="0" w:color="auto"/>
              <w:left w:val="nil"/>
              <w:right w:val="nil"/>
            </w:tcBorders>
            <w:vAlign w:val="center"/>
          </w:tcPr>
          <w:p w:rsidR="001C3E00" w:rsidRPr="00AC5F28" w:rsidRDefault="001C3E00" w:rsidP="0036015E">
            <w:pPr>
              <w:pStyle w:val="cuatexto"/>
              <w:jc w:val="right"/>
              <w:rPr>
                <w:szCs w:val="20"/>
              </w:rPr>
            </w:pPr>
            <w:r>
              <w:t>0</w:t>
            </w:r>
          </w:p>
        </w:tc>
        <w:tc>
          <w:tcPr>
            <w:tcW w:w="817" w:type="pct"/>
            <w:tcBorders>
              <w:top w:val="single" w:sz="2" w:space="0" w:color="auto"/>
              <w:left w:val="nil"/>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AC5F28" w:rsidTr="002F2B6D">
        <w:trPr>
          <w:trHeight w:val="284"/>
        </w:trPr>
        <w:tc>
          <w:tcPr>
            <w:tcW w:w="3366" w:type="pct"/>
            <w:tcBorders>
              <w:left w:val="nil"/>
              <w:right w:val="nil"/>
            </w:tcBorders>
            <w:shd w:val="clear" w:color="auto" w:fill="auto"/>
            <w:vAlign w:val="center"/>
          </w:tcPr>
          <w:p w:rsidR="001C3E00" w:rsidRPr="00AC5F28" w:rsidRDefault="001C3E00" w:rsidP="0036015E">
            <w:pPr>
              <w:pStyle w:val="cuatexto"/>
              <w:jc w:val="left"/>
              <w:rPr>
                <w:szCs w:val="20"/>
              </w:rPr>
            </w:pPr>
            <w:r>
              <w:t>(+) Diru-sarrerak: Itxitako ekitaldiak</w:t>
            </w:r>
          </w:p>
        </w:tc>
        <w:tc>
          <w:tcPr>
            <w:tcW w:w="817" w:type="pct"/>
            <w:tcBorders>
              <w:left w:val="nil"/>
              <w:right w:val="nil"/>
            </w:tcBorders>
            <w:vAlign w:val="center"/>
          </w:tcPr>
          <w:p w:rsidR="001C3E00" w:rsidRPr="00AC5F28" w:rsidRDefault="001C3E00" w:rsidP="0036015E">
            <w:pPr>
              <w:pStyle w:val="cuatexto"/>
              <w:jc w:val="right"/>
              <w:rPr>
                <w:szCs w:val="20"/>
              </w:rPr>
            </w:pPr>
            <w:r>
              <w:t>0</w:t>
            </w:r>
          </w:p>
        </w:tc>
        <w:tc>
          <w:tcPr>
            <w:tcW w:w="817" w:type="pct"/>
            <w:tcBorders>
              <w:left w:val="nil"/>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AC5F28" w:rsidTr="002F2B6D">
        <w:trPr>
          <w:trHeight w:val="284"/>
        </w:trPr>
        <w:tc>
          <w:tcPr>
            <w:tcW w:w="3366" w:type="pct"/>
            <w:tcBorders>
              <w:left w:val="nil"/>
              <w:right w:val="nil"/>
            </w:tcBorders>
            <w:shd w:val="clear" w:color="auto" w:fill="auto"/>
            <w:vAlign w:val="center"/>
          </w:tcPr>
          <w:p w:rsidR="001C3E00" w:rsidRPr="00AC5F28" w:rsidRDefault="001C3E00" w:rsidP="0036015E">
            <w:pPr>
              <w:pStyle w:val="cuatexto"/>
              <w:jc w:val="left"/>
              <w:rPr>
                <w:szCs w:val="20"/>
              </w:rPr>
            </w:pPr>
            <w:r>
              <w:t>(+) Aurrekontuz kanpoko diru-sarrerak</w:t>
            </w:r>
          </w:p>
        </w:tc>
        <w:tc>
          <w:tcPr>
            <w:tcW w:w="817" w:type="pct"/>
            <w:tcBorders>
              <w:left w:val="nil"/>
              <w:right w:val="nil"/>
            </w:tcBorders>
            <w:vAlign w:val="center"/>
          </w:tcPr>
          <w:p w:rsidR="001C3E00" w:rsidRPr="00AC5F28" w:rsidRDefault="001C3E00" w:rsidP="0036015E">
            <w:pPr>
              <w:pStyle w:val="cuatexto"/>
              <w:jc w:val="right"/>
              <w:rPr>
                <w:szCs w:val="20"/>
              </w:rPr>
            </w:pPr>
            <w:r>
              <w:t>0</w:t>
            </w:r>
          </w:p>
        </w:tc>
        <w:tc>
          <w:tcPr>
            <w:tcW w:w="817" w:type="pct"/>
            <w:tcBorders>
              <w:left w:val="nil"/>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AC5F28" w:rsidTr="002F2B6D">
        <w:trPr>
          <w:trHeight w:val="284"/>
        </w:trPr>
        <w:tc>
          <w:tcPr>
            <w:tcW w:w="3366" w:type="pct"/>
            <w:tcBorders>
              <w:left w:val="nil"/>
              <w:right w:val="nil"/>
            </w:tcBorders>
            <w:shd w:val="clear" w:color="auto" w:fill="auto"/>
            <w:vAlign w:val="center"/>
          </w:tcPr>
          <w:p w:rsidR="001C3E00" w:rsidRPr="00AC5F28" w:rsidRDefault="001C3E00" w:rsidP="0036015E">
            <w:pPr>
              <w:pStyle w:val="cuatexto"/>
              <w:jc w:val="left"/>
              <w:rPr>
                <w:szCs w:val="20"/>
              </w:rPr>
            </w:pPr>
            <w:r>
              <w:t>(-) Bilketa zaileko eskubideak</w:t>
            </w:r>
          </w:p>
        </w:tc>
        <w:tc>
          <w:tcPr>
            <w:tcW w:w="817" w:type="pct"/>
            <w:tcBorders>
              <w:left w:val="nil"/>
              <w:right w:val="nil"/>
            </w:tcBorders>
            <w:vAlign w:val="center"/>
          </w:tcPr>
          <w:p w:rsidR="001C3E00" w:rsidRPr="00AC5F28" w:rsidRDefault="001C3E00" w:rsidP="0036015E">
            <w:pPr>
              <w:pStyle w:val="cuatexto"/>
              <w:jc w:val="right"/>
              <w:rPr>
                <w:szCs w:val="20"/>
              </w:rPr>
            </w:pPr>
            <w:r>
              <w:t>0</w:t>
            </w:r>
          </w:p>
        </w:tc>
        <w:tc>
          <w:tcPr>
            <w:tcW w:w="817" w:type="pct"/>
            <w:tcBorders>
              <w:left w:val="nil"/>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AC5F28" w:rsidTr="002F2B6D">
        <w:trPr>
          <w:trHeight w:val="284"/>
        </w:trPr>
        <w:tc>
          <w:tcPr>
            <w:tcW w:w="3366"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r>
              <w:t>(-) Ordaintzeko dauden betebeharrak</w:t>
            </w:r>
          </w:p>
        </w:tc>
        <w:tc>
          <w:tcPr>
            <w:tcW w:w="817" w:type="pct"/>
            <w:tcBorders>
              <w:top w:val="single" w:sz="2" w:space="0" w:color="auto"/>
              <w:left w:val="nil"/>
              <w:bottom w:val="single" w:sz="2" w:space="0" w:color="auto"/>
              <w:right w:val="nil"/>
            </w:tcBorders>
            <w:vAlign w:val="center"/>
          </w:tcPr>
          <w:p w:rsidR="001C3E00" w:rsidRPr="00AC5F28" w:rsidRDefault="001C3E00" w:rsidP="0036015E">
            <w:pPr>
              <w:pStyle w:val="cuatexto"/>
              <w:jc w:val="right"/>
              <w:rPr>
                <w:szCs w:val="20"/>
              </w:rPr>
            </w:pPr>
            <w:r>
              <w:t>1.492</w:t>
            </w:r>
          </w:p>
        </w:tc>
        <w:tc>
          <w:tcPr>
            <w:tcW w:w="817"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right"/>
              <w:rPr>
                <w:szCs w:val="20"/>
              </w:rPr>
            </w:pPr>
            <w:r>
              <w:t>1.100</w:t>
            </w:r>
          </w:p>
        </w:tc>
      </w:tr>
      <w:tr w:rsidR="001C3E00" w:rsidRPr="00AC5F28" w:rsidTr="002F2B6D">
        <w:trPr>
          <w:trHeight w:val="284"/>
        </w:trPr>
        <w:tc>
          <w:tcPr>
            <w:tcW w:w="3366" w:type="pct"/>
            <w:tcBorders>
              <w:top w:val="single" w:sz="2" w:space="0" w:color="auto"/>
              <w:left w:val="nil"/>
              <w:right w:val="nil"/>
            </w:tcBorders>
            <w:shd w:val="clear" w:color="auto" w:fill="auto"/>
            <w:vAlign w:val="center"/>
          </w:tcPr>
          <w:p w:rsidR="001C3E00" w:rsidRPr="00AC5F28" w:rsidRDefault="001C3E00" w:rsidP="0036015E">
            <w:pPr>
              <w:pStyle w:val="cuatexto"/>
              <w:jc w:val="left"/>
              <w:rPr>
                <w:szCs w:val="20"/>
              </w:rPr>
            </w:pPr>
            <w:r>
              <w:t>(+) Gastuen aurrekontua: Aurtengo ekitaldia</w:t>
            </w:r>
          </w:p>
        </w:tc>
        <w:tc>
          <w:tcPr>
            <w:tcW w:w="817" w:type="pct"/>
            <w:tcBorders>
              <w:top w:val="single" w:sz="2" w:space="0" w:color="auto"/>
              <w:left w:val="nil"/>
              <w:right w:val="nil"/>
            </w:tcBorders>
            <w:vAlign w:val="center"/>
          </w:tcPr>
          <w:p w:rsidR="001C3E00" w:rsidRPr="00AC5F28" w:rsidRDefault="001C3E00" w:rsidP="0036015E">
            <w:pPr>
              <w:pStyle w:val="cuatexto"/>
              <w:jc w:val="right"/>
              <w:rPr>
                <w:szCs w:val="20"/>
              </w:rPr>
            </w:pPr>
            <w:r>
              <w:t>624</w:t>
            </w:r>
          </w:p>
        </w:tc>
        <w:tc>
          <w:tcPr>
            <w:tcW w:w="817" w:type="pct"/>
            <w:tcBorders>
              <w:top w:val="single" w:sz="2" w:space="0" w:color="auto"/>
              <w:left w:val="nil"/>
              <w:right w:val="nil"/>
            </w:tcBorders>
            <w:shd w:val="clear" w:color="auto" w:fill="auto"/>
            <w:vAlign w:val="center"/>
          </w:tcPr>
          <w:p w:rsidR="001C3E00" w:rsidRPr="00AC5F28" w:rsidRDefault="001C3E00" w:rsidP="0036015E">
            <w:pPr>
              <w:pStyle w:val="cuatexto"/>
              <w:jc w:val="right"/>
              <w:rPr>
                <w:szCs w:val="20"/>
              </w:rPr>
            </w:pPr>
            <w:r>
              <w:t>987</w:t>
            </w:r>
          </w:p>
        </w:tc>
      </w:tr>
      <w:tr w:rsidR="001C3E00" w:rsidRPr="00AC5F28" w:rsidTr="002F2B6D">
        <w:trPr>
          <w:trHeight w:val="284"/>
        </w:trPr>
        <w:tc>
          <w:tcPr>
            <w:tcW w:w="3366" w:type="pct"/>
            <w:tcBorders>
              <w:left w:val="nil"/>
              <w:right w:val="nil"/>
            </w:tcBorders>
            <w:shd w:val="clear" w:color="auto" w:fill="auto"/>
            <w:vAlign w:val="center"/>
          </w:tcPr>
          <w:p w:rsidR="001C3E00" w:rsidRPr="00AC5F28" w:rsidRDefault="001C3E00" w:rsidP="0036015E">
            <w:pPr>
              <w:pStyle w:val="cuatexto"/>
              <w:jc w:val="left"/>
              <w:rPr>
                <w:szCs w:val="20"/>
              </w:rPr>
            </w:pPr>
            <w:r>
              <w:t>(+) Gastuen aurrekontua: itxitako ekitaldiak</w:t>
            </w:r>
          </w:p>
        </w:tc>
        <w:tc>
          <w:tcPr>
            <w:tcW w:w="817" w:type="pct"/>
            <w:tcBorders>
              <w:left w:val="nil"/>
              <w:right w:val="nil"/>
            </w:tcBorders>
            <w:vAlign w:val="center"/>
          </w:tcPr>
          <w:p w:rsidR="001C3E00" w:rsidRPr="00AC5F28" w:rsidRDefault="001C3E00" w:rsidP="0036015E">
            <w:pPr>
              <w:pStyle w:val="cuatexto"/>
              <w:jc w:val="right"/>
              <w:rPr>
                <w:szCs w:val="20"/>
              </w:rPr>
            </w:pPr>
            <w:r>
              <w:t>0</w:t>
            </w:r>
          </w:p>
        </w:tc>
        <w:tc>
          <w:tcPr>
            <w:tcW w:w="817" w:type="pct"/>
            <w:tcBorders>
              <w:left w:val="nil"/>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AC5F28" w:rsidTr="002F2B6D">
        <w:trPr>
          <w:trHeight w:val="284"/>
        </w:trPr>
        <w:tc>
          <w:tcPr>
            <w:tcW w:w="3366" w:type="pct"/>
            <w:tcBorders>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r>
              <w:t>(+) Aurrekontuz kanpoko gastuak</w:t>
            </w:r>
          </w:p>
        </w:tc>
        <w:tc>
          <w:tcPr>
            <w:tcW w:w="817" w:type="pct"/>
            <w:tcBorders>
              <w:left w:val="nil"/>
              <w:bottom w:val="single" w:sz="2" w:space="0" w:color="auto"/>
              <w:right w:val="nil"/>
            </w:tcBorders>
            <w:vAlign w:val="center"/>
          </w:tcPr>
          <w:p w:rsidR="001C3E00" w:rsidRPr="00AC5F28" w:rsidRDefault="001C3E00" w:rsidP="0036015E">
            <w:pPr>
              <w:pStyle w:val="cuatexto"/>
              <w:jc w:val="right"/>
              <w:rPr>
                <w:szCs w:val="20"/>
              </w:rPr>
            </w:pPr>
            <w:r>
              <w:t>868</w:t>
            </w:r>
          </w:p>
        </w:tc>
        <w:tc>
          <w:tcPr>
            <w:tcW w:w="817" w:type="pct"/>
            <w:tcBorders>
              <w:left w:val="nil"/>
              <w:bottom w:val="single" w:sz="2" w:space="0" w:color="auto"/>
              <w:right w:val="nil"/>
            </w:tcBorders>
            <w:shd w:val="clear" w:color="auto" w:fill="auto"/>
            <w:vAlign w:val="center"/>
          </w:tcPr>
          <w:p w:rsidR="001C3E00" w:rsidRPr="00AC5F28" w:rsidRDefault="001C3E00" w:rsidP="0036015E">
            <w:pPr>
              <w:pStyle w:val="cuatexto"/>
              <w:jc w:val="right"/>
              <w:rPr>
                <w:szCs w:val="20"/>
              </w:rPr>
            </w:pPr>
            <w:r>
              <w:t>113</w:t>
            </w:r>
          </w:p>
        </w:tc>
      </w:tr>
      <w:tr w:rsidR="001C3E00" w:rsidRPr="00AC5F28" w:rsidTr="002F2B6D">
        <w:trPr>
          <w:trHeight w:val="284"/>
        </w:trPr>
        <w:tc>
          <w:tcPr>
            <w:tcW w:w="3366"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r>
              <w:t>(+) Diruzaintzako funts likidoak</w:t>
            </w:r>
          </w:p>
        </w:tc>
        <w:tc>
          <w:tcPr>
            <w:tcW w:w="817" w:type="pct"/>
            <w:tcBorders>
              <w:top w:val="single" w:sz="2" w:space="0" w:color="auto"/>
              <w:left w:val="nil"/>
              <w:bottom w:val="single" w:sz="2" w:space="0" w:color="auto"/>
              <w:right w:val="nil"/>
            </w:tcBorders>
            <w:vAlign w:val="center"/>
          </w:tcPr>
          <w:p w:rsidR="001C3E00" w:rsidRPr="00AC5F28" w:rsidRDefault="001C3E00" w:rsidP="0036015E">
            <w:pPr>
              <w:pStyle w:val="cuatexto"/>
              <w:jc w:val="right"/>
              <w:rPr>
                <w:szCs w:val="20"/>
              </w:rPr>
            </w:pPr>
            <w:r>
              <w:t>48.778</w:t>
            </w:r>
          </w:p>
        </w:tc>
        <w:tc>
          <w:tcPr>
            <w:tcW w:w="817"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right"/>
              <w:rPr>
                <w:szCs w:val="20"/>
              </w:rPr>
            </w:pPr>
            <w:r>
              <w:t>133.737</w:t>
            </w:r>
          </w:p>
        </w:tc>
      </w:tr>
      <w:tr w:rsidR="001C3E00" w:rsidRPr="00AC5F28" w:rsidTr="002F2B6D">
        <w:trPr>
          <w:trHeight w:val="284"/>
        </w:trPr>
        <w:tc>
          <w:tcPr>
            <w:tcW w:w="3366"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r>
              <w:t>(+) Finantzaketaren desbideratze metatu negatiboak</w:t>
            </w:r>
          </w:p>
        </w:tc>
        <w:tc>
          <w:tcPr>
            <w:tcW w:w="817" w:type="pct"/>
            <w:tcBorders>
              <w:top w:val="single" w:sz="2" w:space="0" w:color="auto"/>
              <w:left w:val="nil"/>
              <w:bottom w:val="single" w:sz="2" w:space="0" w:color="auto"/>
              <w:right w:val="nil"/>
            </w:tcBorders>
            <w:vAlign w:val="center"/>
          </w:tcPr>
          <w:p w:rsidR="001C3E00" w:rsidRPr="00AC5F28" w:rsidRDefault="001C3E00" w:rsidP="0036015E">
            <w:pPr>
              <w:pStyle w:val="cuatexto"/>
              <w:jc w:val="right"/>
              <w:rPr>
                <w:szCs w:val="20"/>
              </w:rPr>
            </w:pPr>
            <w:r>
              <w:t>0</w:t>
            </w:r>
          </w:p>
        </w:tc>
        <w:tc>
          <w:tcPr>
            <w:tcW w:w="817"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right"/>
              <w:rPr>
                <w:szCs w:val="20"/>
              </w:rPr>
            </w:pPr>
            <w:r>
              <w:t>0</w:t>
            </w:r>
          </w:p>
        </w:tc>
      </w:tr>
      <w:tr w:rsidR="001C3E00" w:rsidRPr="002F2B6D" w:rsidTr="002F2B6D">
        <w:trPr>
          <w:trHeight w:val="284"/>
        </w:trPr>
        <w:tc>
          <w:tcPr>
            <w:tcW w:w="3366" w:type="pct"/>
            <w:tcBorders>
              <w:top w:val="single" w:sz="2" w:space="0" w:color="auto"/>
              <w:left w:val="nil"/>
              <w:bottom w:val="single" w:sz="2" w:space="0" w:color="auto"/>
              <w:right w:val="nil"/>
            </w:tcBorders>
            <w:shd w:val="clear" w:color="auto" w:fill="FABF8F" w:themeFill="accent6" w:themeFillTint="99"/>
            <w:vAlign w:val="center"/>
          </w:tcPr>
          <w:p w:rsidR="001C3E00" w:rsidRPr="002F2B6D" w:rsidRDefault="001C3E00" w:rsidP="0036015E">
            <w:pPr>
              <w:pStyle w:val="cuatexto"/>
              <w:jc w:val="left"/>
              <w:rPr>
                <w:rFonts w:ascii="Arial" w:hAnsi="Arial" w:cs="Arial"/>
                <w:sz w:val="18"/>
                <w:szCs w:val="18"/>
              </w:rPr>
            </w:pPr>
            <w:proofErr w:type="spellStart"/>
            <w:r>
              <w:rPr>
                <w:rFonts w:ascii="Arial" w:hAnsi="Arial"/>
                <w:sz w:val="18"/>
                <w:szCs w:val="18"/>
              </w:rPr>
              <w:t>Diruzaintza-gerakina</w:t>
            </w:r>
            <w:proofErr w:type="spellEnd"/>
            <w:r>
              <w:rPr>
                <w:rFonts w:ascii="Arial" w:hAnsi="Arial"/>
                <w:sz w:val="18"/>
                <w:szCs w:val="18"/>
              </w:rPr>
              <w:t>, guztira</w:t>
            </w:r>
          </w:p>
        </w:tc>
        <w:tc>
          <w:tcPr>
            <w:tcW w:w="817" w:type="pct"/>
            <w:tcBorders>
              <w:top w:val="single" w:sz="2" w:space="0" w:color="auto"/>
              <w:left w:val="nil"/>
              <w:bottom w:val="single" w:sz="2" w:space="0" w:color="auto"/>
              <w:right w:val="nil"/>
            </w:tcBorders>
            <w:shd w:val="clear" w:color="auto" w:fill="FABF8F" w:themeFill="accent6" w:themeFillTint="99"/>
            <w:vAlign w:val="center"/>
          </w:tcPr>
          <w:p w:rsidR="001C3E00" w:rsidRPr="002F2B6D" w:rsidRDefault="001C3E00" w:rsidP="0036015E">
            <w:pPr>
              <w:pStyle w:val="cuatexto"/>
              <w:jc w:val="right"/>
              <w:rPr>
                <w:rFonts w:ascii="Arial" w:hAnsi="Arial" w:cs="Arial"/>
                <w:sz w:val="18"/>
                <w:szCs w:val="18"/>
              </w:rPr>
            </w:pPr>
            <w:r>
              <w:rPr>
                <w:rFonts w:ascii="Arial" w:hAnsi="Arial"/>
                <w:sz w:val="18"/>
                <w:szCs w:val="18"/>
              </w:rPr>
              <w:t>47.287</w:t>
            </w:r>
          </w:p>
        </w:tc>
        <w:tc>
          <w:tcPr>
            <w:tcW w:w="817" w:type="pct"/>
            <w:tcBorders>
              <w:top w:val="single" w:sz="2" w:space="0" w:color="auto"/>
              <w:left w:val="nil"/>
              <w:bottom w:val="single" w:sz="2" w:space="0" w:color="auto"/>
              <w:right w:val="nil"/>
            </w:tcBorders>
            <w:shd w:val="clear" w:color="auto" w:fill="FABF8F" w:themeFill="accent6" w:themeFillTint="99"/>
            <w:vAlign w:val="center"/>
          </w:tcPr>
          <w:p w:rsidR="001C3E00" w:rsidRPr="002F2B6D" w:rsidRDefault="001C3E00" w:rsidP="0036015E">
            <w:pPr>
              <w:pStyle w:val="cuatexto"/>
              <w:jc w:val="right"/>
              <w:rPr>
                <w:rFonts w:ascii="Arial" w:hAnsi="Arial" w:cs="Arial"/>
                <w:sz w:val="18"/>
                <w:szCs w:val="18"/>
              </w:rPr>
            </w:pPr>
            <w:r>
              <w:rPr>
                <w:rFonts w:ascii="Arial" w:hAnsi="Arial"/>
                <w:sz w:val="18"/>
                <w:szCs w:val="18"/>
              </w:rPr>
              <w:t>132.637</w:t>
            </w:r>
          </w:p>
        </w:tc>
      </w:tr>
      <w:tr w:rsidR="001C3E00" w:rsidRPr="00AC5F28" w:rsidTr="002F2B6D">
        <w:trPr>
          <w:trHeight w:val="284"/>
        </w:trPr>
        <w:tc>
          <w:tcPr>
            <w:tcW w:w="3366"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proofErr w:type="spellStart"/>
            <w:r>
              <w:t>Diruzaintza-gerakina</w:t>
            </w:r>
            <w:proofErr w:type="spellEnd"/>
            <w:r>
              <w:t>, finantzaketa atxikia duten gastuak direla-eta</w:t>
            </w:r>
          </w:p>
        </w:tc>
        <w:tc>
          <w:tcPr>
            <w:tcW w:w="817" w:type="pct"/>
            <w:tcBorders>
              <w:top w:val="single" w:sz="2" w:space="0" w:color="auto"/>
              <w:left w:val="nil"/>
              <w:bottom w:val="single" w:sz="2" w:space="0" w:color="auto"/>
              <w:right w:val="nil"/>
            </w:tcBorders>
            <w:vAlign w:val="center"/>
          </w:tcPr>
          <w:p w:rsidR="001C3E00" w:rsidRPr="00AC5F28" w:rsidRDefault="00E61AD9" w:rsidP="0036015E">
            <w:pPr>
              <w:pStyle w:val="cuatexto"/>
              <w:jc w:val="right"/>
              <w:rPr>
                <w:szCs w:val="20"/>
              </w:rPr>
            </w:pPr>
            <w:r>
              <w:t>0</w:t>
            </w:r>
          </w:p>
        </w:tc>
        <w:tc>
          <w:tcPr>
            <w:tcW w:w="817" w:type="pct"/>
            <w:tcBorders>
              <w:top w:val="single" w:sz="2" w:space="0" w:color="auto"/>
              <w:left w:val="nil"/>
              <w:bottom w:val="single" w:sz="2" w:space="0" w:color="auto"/>
              <w:right w:val="nil"/>
            </w:tcBorders>
            <w:shd w:val="clear" w:color="auto" w:fill="auto"/>
            <w:vAlign w:val="center"/>
          </w:tcPr>
          <w:p w:rsidR="001C3E00" w:rsidRPr="00AC5F28" w:rsidRDefault="00E61AD9" w:rsidP="0036015E">
            <w:pPr>
              <w:pStyle w:val="cuatexto"/>
              <w:jc w:val="right"/>
              <w:rPr>
                <w:szCs w:val="20"/>
              </w:rPr>
            </w:pPr>
            <w:r>
              <w:t>0</w:t>
            </w:r>
          </w:p>
        </w:tc>
      </w:tr>
      <w:tr w:rsidR="001C3E00" w:rsidRPr="00AC5F28" w:rsidTr="002F2B6D">
        <w:trPr>
          <w:trHeight w:val="284"/>
        </w:trPr>
        <w:tc>
          <w:tcPr>
            <w:tcW w:w="3366" w:type="pct"/>
            <w:tcBorders>
              <w:top w:val="single" w:sz="2" w:space="0" w:color="auto"/>
              <w:left w:val="nil"/>
              <w:bottom w:val="single" w:sz="2" w:space="0" w:color="auto"/>
              <w:right w:val="nil"/>
            </w:tcBorders>
            <w:shd w:val="clear" w:color="auto" w:fill="auto"/>
            <w:vAlign w:val="center"/>
          </w:tcPr>
          <w:p w:rsidR="001C3E00" w:rsidRPr="00AC5F28" w:rsidRDefault="001C3E00" w:rsidP="0036015E">
            <w:pPr>
              <w:pStyle w:val="cuatexto"/>
              <w:jc w:val="left"/>
              <w:rPr>
                <w:szCs w:val="20"/>
              </w:rPr>
            </w:pPr>
            <w:r>
              <w:t xml:space="preserve">Baliabide atxikien </w:t>
            </w:r>
            <w:proofErr w:type="spellStart"/>
            <w:r>
              <w:t>diruzaintza-gerakina</w:t>
            </w:r>
            <w:proofErr w:type="spellEnd"/>
          </w:p>
        </w:tc>
        <w:tc>
          <w:tcPr>
            <w:tcW w:w="817" w:type="pct"/>
            <w:tcBorders>
              <w:top w:val="single" w:sz="2" w:space="0" w:color="auto"/>
              <w:left w:val="nil"/>
              <w:bottom w:val="single" w:sz="2" w:space="0" w:color="auto"/>
              <w:right w:val="nil"/>
            </w:tcBorders>
            <w:vAlign w:val="center"/>
          </w:tcPr>
          <w:p w:rsidR="001C3E00" w:rsidRPr="00AC5F28" w:rsidRDefault="00E61AD9" w:rsidP="0036015E">
            <w:pPr>
              <w:pStyle w:val="cuatexto"/>
              <w:jc w:val="right"/>
              <w:rPr>
                <w:szCs w:val="20"/>
              </w:rPr>
            </w:pPr>
            <w:r>
              <w:t>0</w:t>
            </w:r>
          </w:p>
        </w:tc>
        <w:tc>
          <w:tcPr>
            <w:tcW w:w="817" w:type="pct"/>
            <w:tcBorders>
              <w:top w:val="single" w:sz="2" w:space="0" w:color="auto"/>
              <w:left w:val="nil"/>
              <w:bottom w:val="single" w:sz="2" w:space="0" w:color="auto"/>
              <w:right w:val="nil"/>
            </w:tcBorders>
            <w:shd w:val="clear" w:color="auto" w:fill="auto"/>
            <w:vAlign w:val="center"/>
          </w:tcPr>
          <w:p w:rsidR="001C3E00" w:rsidRPr="00AC5F28" w:rsidRDefault="00E61AD9" w:rsidP="0036015E">
            <w:pPr>
              <w:pStyle w:val="cuatexto"/>
              <w:jc w:val="right"/>
              <w:rPr>
                <w:szCs w:val="20"/>
              </w:rPr>
            </w:pPr>
            <w:r>
              <w:t>0</w:t>
            </w:r>
          </w:p>
        </w:tc>
      </w:tr>
      <w:tr w:rsidR="001C3E00" w:rsidRPr="00AC5F28" w:rsidTr="002F2B6D">
        <w:trPr>
          <w:trHeight w:val="284"/>
        </w:trPr>
        <w:tc>
          <w:tcPr>
            <w:tcW w:w="3366" w:type="pct"/>
            <w:tcBorders>
              <w:top w:val="single" w:sz="2" w:space="0" w:color="auto"/>
              <w:left w:val="nil"/>
              <w:bottom w:val="single" w:sz="4" w:space="0" w:color="auto"/>
              <w:right w:val="nil"/>
            </w:tcBorders>
            <w:shd w:val="clear" w:color="auto" w:fill="FFFFFF"/>
            <w:vAlign w:val="center"/>
          </w:tcPr>
          <w:p w:rsidR="001C3E00" w:rsidRPr="001C3E00" w:rsidRDefault="001C3E00" w:rsidP="0036015E">
            <w:pPr>
              <w:pStyle w:val="cuatexto"/>
              <w:jc w:val="left"/>
              <w:rPr>
                <w:rFonts w:cs="Arial"/>
                <w:b/>
                <w:szCs w:val="20"/>
              </w:rPr>
            </w:pPr>
            <w:r>
              <w:rPr>
                <w:b/>
                <w:szCs w:val="20"/>
              </w:rPr>
              <w:t xml:space="preserve">Gastu orokorretarako </w:t>
            </w:r>
            <w:proofErr w:type="spellStart"/>
            <w:r>
              <w:rPr>
                <w:b/>
                <w:szCs w:val="20"/>
              </w:rPr>
              <w:t>diruzaintza-gerakina</w:t>
            </w:r>
            <w:proofErr w:type="spellEnd"/>
          </w:p>
        </w:tc>
        <w:tc>
          <w:tcPr>
            <w:tcW w:w="817" w:type="pct"/>
            <w:tcBorders>
              <w:top w:val="single" w:sz="2" w:space="0" w:color="auto"/>
              <w:left w:val="nil"/>
              <w:bottom w:val="single" w:sz="4" w:space="0" w:color="auto"/>
              <w:right w:val="nil"/>
            </w:tcBorders>
            <w:shd w:val="clear" w:color="auto" w:fill="FFFFFF"/>
            <w:vAlign w:val="center"/>
          </w:tcPr>
          <w:p w:rsidR="001C3E00" w:rsidRPr="001C3E00" w:rsidRDefault="001C3E00" w:rsidP="0036015E">
            <w:pPr>
              <w:pStyle w:val="cuatexto"/>
              <w:jc w:val="right"/>
              <w:rPr>
                <w:rFonts w:cs="Arial"/>
                <w:b/>
                <w:szCs w:val="20"/>
              </w:rPr>
            </w:pPr>
            <w:r>
              <w:rPr>
                <w:b/>
                <w:szCs w:val="20"/>
              </w:rPr>
              <w:t>47.287</w:t>
            </w:r>
          </w:p>
        </w:tc>
        <w:tc>
          <w:tcPr>
            <w:tcW w:w="817" w:type="pct"/>
            <w:tcBorders>
              <w:top w:val="single" w:sz="2" w:space="0" w:color="auto"/>
              <w:left w:val="nil"/>
              <w:bottom w:val="single" w:sz="4" w:space="0" w:color="auto"/>
              <w:right w:val="nil"/>
            </w:tcBorders>
            <w:shd w:val="clear" w:color="auto" w:fill="FFFFFF"/>
            <w:vAlign w:val="center"/>
          </w:tcPr>
          <w:p w:rsidR="001C3E00" w:rsidRPr="001C3E00" w:rsidRDefault="001C3E00" w:rsidP="0036015E">
            <w:pPr>
              <w:pStyle w:val="cuatexto"/>
              <w:jc w:val="right"/>
              <w:rPr>
                <w:rFonts w:cs="Arial"/>
                <w:b/>
                <w:szCs w:val="20"/>
              </w:rPr>
            </w:pPr>
            <w:r>
              <w:rPr>
                <w:b/>
                <w:szCs w:val="20"/>
              </w:rPr>
              <w:t>132.637</w:t>
            </w:r>
          </w:p>
        </w:tc>
      </w:tr>
    </w:tbl>
    <w:p w:rsidR="001C3E00" w:rsidRDefault="001C3E00" w:rsidP="001C3E00">
      <w:pPr>
        <w:pStyle w:val="texto"/>
        <w:ind w:firstLine="0"/>
        <w:rPr>
          <w:rFonts w:ascii="Arial" w:hAnsi="Arial" w:cs="Arial"/>
        </w:rPr>
      </w:pPr>
    </w:p>
    <w:p w:rsidR="001C3E00" w:rsidRPr="004D5125" w:rsidRDefault="001C3E00" w:rsidP="001C3E00">
      <w:pPr>
        <w:pStyle w:val="atitulo2"/>
      </w:pPr>
      <w:r>
        <w:br w:type="page"/>
      </w:r>
      <w:bookmarkStart w:id="30" w:name="_Toc339016612"/>
      <w:bookmarkStart w:id="31" w:name="_Toc442251803"/>
      <w:bookmarkStart w:id="32" w:name="_Toc466629722"/>
      <w:bookmarkStart w:id="33" w:name="_Toc476722772"/>
      <w:r>
        <w:lastRenderedPageBreak/>
        <w:t xml:space="preserve">III.4. </w:t>
      </w:r>
      <w:bookmarkStart w:id="34" w:name="_Toc309383723"/>
      <w:r>
        <w:t xml:space="preserve">2015eko abenduaren </w:t>
      </w:r>
      <w:bookmarkEnd w:id="34"/>
      <w:r>
        <w:t>31ko egoeraren balantze</w:t>
      </w:r>
      <w:bookmarkEnd w:id="30"/>
      <w:bookmarkEnd w:id="31"/>
      <w:r>
        <w:t>a</w:t>
      </w:r>
      <w:bookmarkEnd w:id="32"/>
      <w:bookmarkEnd w:id="33"/>
    </w:p>
    <w:p w:rsidR="001C3E00" w:rsidRDefault="001C3E00" w:rsidP="001C3E00">
      <w:pPr>
        <w:pStyle w:val="CuadroTtulo"/>
        <w:jc w:val="center"/>
      </w:pPr>
      <w:r>
        <w:t>Aktiboa</w:t>
      </w:r>
    </w:p>
    <w:p w:rsidR="001C3E00" w:rsidRPr="00043A0C" w:rsidRDefault="001C3E00" w:rsidP="001C3E00">
      <w:pPr>
        <w:pStyle w:val="CuadroTtulo"/>
        <w:jc w:val="center"/>
      </w:pPr>
    </w:p>
    <w:tbl>
      <w:tblPr>
        <w:tblW w:w="8859" w:type="dxa"/>
        <w:tblInd w:w="70" w:type="dxa"/>
        <w:tblCellMar>
          <w:left w:w="70" w:type="dxa"/>
          <w:right w:w="70" w:type="dxa"/>
        </w:tblCellMar>
        <w:tblLook w:val="04A0" w:firstRow="1" w:lastRow="0" w:firstColumn="1" w:lastColumn="0" w:noHBand="0" w:noVBand="1"/>
      </w:tblPr>
      <w:tblGrid>
        <w:gridCol w:w="360"/>
        <w:gridCol w:w="5739"/>
        <w:gridCol w:w="1440"/>
        <w:gridCol w:w="1320"/>
      </w:tblGrid>
      <w:tr w:rsidR="001C3E00" w:rsidRPr="006F0623" w:rsidTr="002F2B6D">
        <w:trPr>
          <w:cantSplit/>
          <w:trHeight w:val="284"/>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1C3E00" w:rsidRPr="006F0623" w:rsidRDefault="001C3E00" w:rsidP="0036015E">
            <w:pPr>
              <w:pStyle w:val="cuatexto"/>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1C3E00" w:rsidRPr="006F0623" w:rsidRDefault="001C3E00" w:rsidP="0036015E">
            <w:pPr>
              <w:pStyle w:val="cuatexto"/>
              <w:jc w:val="right"/>
              <w:rPr>
                <w:rFonts w:ascii="Arial" w:hAnsi="Arial" w:cs="Arial"/>
                <w:sz w:val="18"/>
                <w:szCs w:val="18"/>
              </w:rPr>
            </w:pPr>
            <w:r>
              <w:rPr>
                <w:rFonts w:ascii="Arial" w:hAnsi="Arial"/>
                <w:sz w:val="18"/>
                <w:szCs w:val="18"/>
              </w:rPr>
              <w:t>2014</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1C3E00" w:rsidRPr="006F0623" w:rsidRDefault="001C3E00" w:rsidP="0036015E">
            <w:pPr>
              <w:pStyle w:val="cuatexto"/>
              <w:jc w:val="right"/>
              <w:rPr>
                <w:rFonts w:ascii="Arial" w:hAnsi="Arial" w:cs="Arial"/>
                <w:sz w:val="18"/>
                <w:szCs w:val="18"/>
              </w:rPr>
            </w:pPr>
            <w:r>
              <w:rPr>
                <w:rFonts w:ascii="Arial" w:hAnsi="Arial"/>
                <w:sz w:val="18"/>
                <w:szCs w:val="18"/>
              </w:rPr>
              <w:t>2015</w:t>
            </w:r>
          </w:p>
        </w:tc>
      </w:tr>
      <w:tr w:rsidR="001C3E00" w:rsidRPr="006F0623" w:rsidTr="002F2B6D">
        <w:trPr>
          <w:cantSplit/>
          <w:trHeight w:val="284"/>
        </w:trPr>
        <w:tc>
          <w:tcPr>
            <w:tcW w:w="360" w:type="dxa"/>
            <w:tcBorders>
              <w:top w:val="single" w:sz="4" w:space="0" w:color="auto"/>
              <w:left w:val="nil"/>
              <w:bottom w:val="single" w:sz="2" w:space="0" w:color="auto"/>
              <w:right w:val="nil"/>
            </w:tcBorders>
            <w:shd w:val="clear" w:color="auto" w:fill="auto"/>
            <w:vAlign w:val="center"/>
          </w:tcPr>
          <w:p w:rsidR="001C3E00" w:rsidRPr="006F0623" w:rsidRDefault="001C3E00" w:rsidP="0036015E">
            <w:pPr>
              <w:pStyle w:val="cuatexto"/>
              <w:jc w:val="left"/>
              <w:rPr>
                <w:rFonts w:cs="Arial"/>
                <w:szCs w:val="20"/>
              </w:rPr>
            </w:pPr>
            <w:r>
              <w:t>A</w:t>
            </w:r>
          </w:p>
        </w:tc>
        <w:tc>
          <w:tcPr>
            <w:tcW w:w="5739" w:type="dxa"/>
            <w:tcBorders>
              <w:top w:val="single" w:sz="4" w:space="0" w:color="auto"/>
              <w:left w:val="nil"/>
              <w:bottom w:val="single" w:sz="2" w:space="0" w:color="auto"/>
              <w:right w:val="nil"/>
            </w:tcBorders>
            <w:shd w:val="clear" w:color="auto" w:fill="auto"/>
            <w:vAlign w:val="center"/>
          </w:tcPr>
          <w:p w:rsidR="001C3E00" w:rsidRPr="006F0623" w:rsidRDefault="001C3E00" w:rsidP="0036015E">
            <w:pPr>
              <w:pStyle w:val="cuatexto"/>
              <w:jc w:val="left"/>
              <w:rPr>
                <w:rFonts w:cs="Arial"/>
                <w:szCs w:val="20"/>
              </w:rPr>
            </w:pPr>
            <w:r>
              <w:t>Ibilgetua</w:t>
            </w:r>
          </w:p>
        </w:tc>
        <w:tc>
          <w:tcPr>
            <w:tcW w:w="1440" w:type="dxa"/>
            <w:tcBorders>
              <w:top w:val="single" w:sz="4" w:space="0" w:color="auto"/>
              <w:left w:val="nil"/>
              <w:bottom w:val="single" w:sz="2" w:space="0" w:color="auto"/>
              <w:right w:val="nil"/>
            </w:tcBorders>
            <w:shd w:val="clear" w:color="auto" w:fill="auto"/>
            <w:noWrap/>
            <w:vAlign w:val="center"/>
          </w:tcPr>
          <w:p w:rsidR="001C3E00" w:rsidRPr="006F0623" w:rsidRDefault="001C3E00" w:rsidP="0036015E">
            <w:pPr>
              <w:pStyle w:val="cuatexto"/>
              <w:jc w:val="right"/>
              <w:rPr>
                <w:rFonts w:cs="Arial"/>
                <w:szCs w:val="20"/>
              </w:rPr>
            </w:pPr>
            <w:r>
              <w:t>1.877.782</w:t>
            </w:r>
          </w:p>
        </w:tc>
        <w:tc>
          <w:tcPr>
            <w:tcW w:w="1320" w:type="dxa"/>
            <w:tcBorders>
              <w:top w:val="single" w:sz="4" w:space="0" w:color="auto"/>
              <w:left w:val="nil"/>
              <w:bottom w:val="single" w:sz="2" w:space="0" w:color="auto"/>
              <w:right w:val="nil"/>
            </w:tcBorders>
            <w:shd w:val="clear" w:color="auto" w:fill="auto"/>
            <w:noWrap/>
            <w:vAlign w:val="center"/>
          </w:tcPr>
          <w:p w:rsidR="001C3E00" w:rsidRPr="006F0623" w:rsidRDefault="001C3E00" w:rsidP="0036015E">
            <w:pPr>
              <w:pStyle w:val="cuatexto"/>
              <w:jc w:val="right"/>
              <w:rPr>
                <w:rFonts w:cs="Arial"/>
                <w:szCs w:val="20"/>
              </w:rPr>
            </w:pPr>
            <w:r>
              <w:t>1.911.796</w:t>
            </w:r>
          </w:p>
        </w:tc>
      </w:tr>
      <w:tr w:rsidR="001C3E00" w:rsidRPr="006F0623" w:rsidTr="002F2B6D">
        <w:trPr>
          <w:cantSplit/>
          <w:trHeight w:val="284"/>
        </w:trPr>
        <w:tc>
          <w:tcPr>
            <w:tcW w:w="360" w:type="dxa"/>
            <w:tcBorders>
              <w:top w:val="single" w:sz="2" w:space="0" w:color="auto"/>
              <w:left w:val="nil"/>
              <w:right w:val="nil"/>
            </w:tcBorders>
            <w:shd w:val="clear" w:color="auto" w:fill="auto"/>
            <w:vAlign w:val="center"/>
          </w:tcPr>
          <w:p w:rsidR="001C3E00" w:rsidRPr="006F0623" w:rsidRDefault="001C3E00" w:rsidP="0036015E">
            <w:pPr>
              <w:pStyle w:val="cuatexto"/>
              <w:jc w:val="left"/>
              <w:rPr>
                <w:szCs w:val="20"/>
              </w:rPr>
            </w:pPr>
            <w:r>
              <w:t>1</w:t>
            </w:r>
          </w:p>
        </w:tc>
        <w:tc>
          <w:tcPr>
            <w:tcW w:w="5739" w:type="dxa"/>
            <w:tcBorders>
              <w:top w:val="single" w:sz="2" w:space="0" w:color="auto"/>
              <w:left w:val="nil"/>
              <w:right w:val="nil"/>
            </w:tcBorders>
            <w:shd w:val="clear" w:color="auto" w:fill="auto"/>
            <w:vAlign w:val="center"/>
          </w:tcPr>
          <w:p w:rsidR="001C3E00" w:rsidRPr="006F0623" w:rsidRDefault="001C3E00" w:rsidP="0036015E">
            <w:pPr>
              <w:pStyle w:val="cuatexto"/>
              <w:jc w:val="left"/>
              <w:rPr>
                <w:szCs w:val="20"/>
              </w:rPr>
            </w:pPr>
            <w:r>
              <w:t>Ibilgetu materiala</w:t>
            </w:r>
          </w:p>
        </w:tc>
        <w:tc>
          <w:tcPr>
            <w:tcW w:w="1440" w:type="dxa"/>
            <w:tcBorders>
              <w:top w:val="single" w:sz="2" w:space="0" w:color="auto"/>
              <w:left w:val="nil"/>
              <w:right w:val="nil"/>
            </w:tcBorders>
            <w:shd w:val="clear" w:color="auto" w:fill="auto"/>
            <w:vAlign w:val="center"/>
          </w:tcPr>
          <w:p w:rsidR="001C3E00" w:rsidRPr="006F0623" w:rsidRDefault="001C3E00" w:rsidP="0036015E">
            <w:pPr>
              <w:pStyle w:val="cuatexto"/>
              <w:jc w:val="right"/>
              <w:rPr>
                <w:rFonts w:cs="Arial"/>
                <w:szCs w:val="20"/>
              </w:rPr>
            </w:pPr>
            <w:r>
              <w:t>249.844</w:t>
            </w:r>
          </w:p>
        </w:tc>
        <w:tc>
          <w:tcPr>
            <w:tcW w:w="1320" w:type="dxa"/>
            <w:tcBorders>
              <w:top w:val="single" w:sz="2" w:space="0" w:color="auto"/>
              <w:left w:val="nil"/>
              <w:right w:val="nil"/>
            </w:tcBorders>
            <w:shd w:val="clear" w:color="auto" w:fill="auto"/>
            <w:vAlign w:val="center"/>
          </w:tcPr>
          <w:p w:rsidR="001C3E00" w:rsidRPr="006F0623" w:rsidRDefault="001C3E00" w:rsidP="0036015E">
            <w:pPr>
              <w:pStyle w:val="cuatexto"/>
              <w:jc w:val="right"/>
              <w:rPr>
                <w:rFonts w:cs="Arial"/>
                <w:szCs w:val="20"/>
              </w:rPr>
            </w:pPr>
            <w:r>
              <w:t>252.606</w:t>
            </w:r>
          </w:p>
        </w:tc>
      </w:tr>
      <w:tr w:rsidR="001C3E00" w:rsidRPr="006F0623" w:rsidTr="002F2B6D">
        <w:trPr>
          <w:cantSplit/>
          <w:trHeight w:val="284"/>
        </w:trPr>
        <w:tc>
          <w:tcPr>
            <w:tcW w:w="360" w:type="dxa"/>
            <w:tcBorders>
              <w:left w:val="nil"/>
              <w:right w:val="nil"/>
            </w:tcBorders>
            <w:shd w:val="clear" w:color="auto" w:fill="auto"/>
            <w:vAlign w:val="center"/>
          </w:tcPr>
          <w:p w:rsidR="001C3E00" w:rsidRPr="006F0623" w:rsidRDefault="001C3E00" w:rsidP="0036015E">
            <w:pPr>
              <w:pStyle w:val="cuatexto"/>
              <w:jc w:val="left"/>
              <w:rPr>
                <w:szCs w:val="20"/>
              </w:rPr>
            </w:pPr>
            <w:r>
              <w:t>2</w:t>
            </w:r>
          </w:p>
        </w:tc>
        <w:tc>
          <w:tcPr>
            <w:tcW w:w="5739" w:type="dxa"/>
            <w:tcBorders>
              <w:left w:val="nil"/>
              <w:right w:val="nil"/>
            </w:tcBorders>
            <w:shd w:val="clear" w:color="auto" w:fill="auto"/>
            <w:vAlign w:val="center"/>
          </w:tcPr>
          <w:p w:rsidR="001C3E00" w:rsidRPr="006F0623" w:rsidRDefault="001C3E00" w:rsidP="0036015E">
            <w:pPr>
              <w:pStyle w:val="cuatexto"/>
              <w:jc w:val="left"/>
              <w:rPr>
                <w:szCs w:val="20"/>
              </w:rPr>
            </w:pPr>
            <w:r>
              <w:t>Ibilgetu ez-materiala</w:t>
            </w:r>
          </w:p>
        </w:tc>
        <w:tc>
          <w:tcPr>
            <w:tcW w:w="1440" w:type="dxa"/>
            <w:tcBorders>
              <w:left w:val="nil"/>
              <w:right w:val="nil"/>
            </w:tcBorders>
            <w:shd w:val="clear" w:color="auto" w:fill="auto"/>
            <w:vAlign w:val="center"/>
          </w:tcPr>
          <w:p w:rsidR="001C3E00" w:rsidRPr="006F0623" w:rsidRDefault="001C3E00" w:rsidP="0036015E">
            <w:pPr>
              <w:pStyle w:val="cuatexto"/>
              <w:jc w:val="right"/>
              <w:rPr>
                <w:rFonts w:cs="Arial"/>
                <w:szCs w:val="20"/>
              </w:rPr>
            </w:pPr>
            <w:r>
              <w:t>3.739</w:t>
            </w:r>
          </w:p>
        </w:tc>
        <w:tc>
          <w:tcPr>
            <w:tcW w:w="1320" w:type="dxa"/>
            <w:tcBorders>
              <w:left w:val="nil"/>
              <w:right w:val="nil"/>
            </w:tcBorders>
            <w:shd w:val="clear" w:color="auto" w:fill="auto"/>
            <w:vAlign w:val="center"/>
          </w:tcPr>
          <w:p w:rsidR="001C3E00" w:rsidRPr="006F0623" w:rsidRDefault="001C3E00" w:rsidP="0036015E">
            <w:pPr>
              <w:pStyle w:val="cuatexto"/>
              <w:jc w:val="right"/>
              <w:rPr>
                <w:rFonts w:cs="Arial"/>
                <w:szCs w:val="20"/>
              </w:rPr>
            </w:pPr>
            <w:r>
              <w:t>7.127</w:t>
            </w:r>
          </w:p>
        </w:tc>
      </w:tr>
      <w:tr w:rsidR="001C3E00" w:rsidRPr="006F0623" w:rsidTr="002F2B6D">
        <w:trPr>
          <w:cantSplit/>
          <w:trHeight w:val="284"/>
        </w:trPr>
        <w:tc>
          <w:tcPr>
            <w:tcW w:w="360" w:type="dxa"/>
            <w:tcBorders>
              <w:left w:val="nil"/>
              <w:right w:val="nil"/>
            </w:tcBorders>
            <w:shd w:val="clear" w:color="auto" w:fill="auto"/>
            <w:vAlign w:val="center"/>
          </w:tcPr>
          <w:p w:rsidR="001C3E00" w:rsidRPr="006F0623" w:rsidRDefault="001C3E00" w:rsidP="0036015E">
            <w:pPr>
              <w:pStyle w:val="cuatexto"/>
              <w:jc w:val="left"/>
              <w:rPr>
                <w:szCs w:val="20"/>
              </w:rPr>
            </w:pPr>
            <w:r>
              <w:t>3</w:t>
            </w:r>
          </w:p>
        </w:tc>
        <w:tc>
          <w:tcPr>
            <w:tcW w:w="5739" w:type="dxa"/>
            <w:tcBorders>
              <w:left w:val="nil"/>
              <w:right w:val="nil"/>
            </w:tcBorders>
            <w:shd w:val="clear" w:color="auto" w:fill="auto"/>
            <w:vAlign w:val="center"/>
          </w:tcPr>
          <w:p w:rsidR="001C3E00" w:rsidRPr="006F0623" w:rsidRDefault="001C3E00" w:rsidP="0036015E">
            <w:pPr>
              <w:pStyle w:val="cuatexto"/>
              <w:jc w:val="left"/>
              <w:rPr>
                <w:szCs w:val="20"/>
              </w:rPr>
            </w:pPr>
            <w:r>
              <w:t>Erabilera orokorrerako azpiegiturak eta ondasunak</w:t>
            </w:r>
          </w:p>
        </w:tc>
        <w:tc>
          <w:tcPr>
            <w:tcW w:w="1440" w:type="dxa"/>
            <w:tcBorders>
              <w:left w:val="nil"/>
              <w:right w:val="nil"/>
            </w:tcBorders>
            <w:shd w:val="clear" w:color="auto" w:fill="auto"/>
            <w:vAlign w:val="center"/>
          </w:tcPr>
          <w:p w:rsidR="001C3E00" w:rsidRPr="006F0623" w:rsidRDefault="001C3E00" w:rsidP="0036015E">
            <w:pPr>
              <w:pStyle w:val="cuatexto"/>
              <w:jc w:val="right"/>
              <w:rPr>
                <w:rFonts w:cs="Arial"/>
                <w:szCs w:val="20"/>
              </w:rPr>
            </w:pPr>
            <w:r>
              <w:t>1.411.169</w:t>
            </w:r>
          </w:p>
        </w:tc>
        <w:tc>
          <w:tcPr>
            <w:tcW w:w="1320" w:type="dxa"/>
            <w:tcBorders>
              <w:left w:val="nil"/>
              <w:right w:val="nil"/>
            </w:tcBorders>
            <w:shd w:val="clear" w:color="auto" w:fill="auto"/>
            <w:vAlign w:val="center"/>
          </w:tcPr>
          <w:p w:rsidR="001C3E00" w:rsidRPr="006F0623" w:rsidRDefault="001C3E00" w:rsidP="0036015E">
            <w:pPr>
              <w:pStyle w:val="cuatexto"/>
              <w:jc w:val="right"/>
              <w:rPr>
                <w:rFonts w:cs="Arial"/>
                <w:szCs w:val="20"/>
              </w:rPr>
            </w:pPr>
            <w:r>
              <w:t>1.436.575</w:t>
            </w:r>
          </w:p>
        </w:tc>
      </w:tr>
      <w:tr w:rsidR="001C3E00" w:rsidRPr="006F0623" w:rsidTr="002F2B6D">
        <w:trPr>
          <w:cantSplit/>
          <w:trHeight w:val="284"/>
        </w:trPr>
        <w:tc>
          <w:tcPr>
            <w:tcW w:w="360" w:type="dxa"/>
            <w:tcBorders>
              <w:left w:val="nil"/>
              <w:right w:val="nil"/>
            </w:tcBorders>
            <w:shd w:val="clear" w:color="auto" w:fill="auto"/>
            <w:vAlign w:val="center"/>
          </w:tcPr>
          <w:p w:rsidR="001C3E00" w:rsidRPr="006F0623" w:rsidRDefault="001C3E00" w:rsidP="0036015E">
            <w:pPr>
              <w:pStyle w:val="cuatexto"/>
              <w:jc w:val="left"/>
              <w:rPr>
                <w:szCs w:val="20"/>
              </w:rPr>
            </w:pPr>
            <w:r>
              <w:t>4</w:t>
            </w:r>
          </w:p>
        </w:tc>
        <w:tc>
          <w:tcPr>
            <w:tcW w:w="5739" w:type="dxa"/>
            <w:tcBorders>
              <w:left w:val="nil"/>
              <w:right w:val="nil"/>
            </w:tcBorders>
            <w:shd w:val="clear" w:color="auto" w:fill="auto"/>
            <w:vAlign w:val="center"/>
          </w:tcPr>
          <w:p w:rsidR="001C3E00" w:rsidRPr="006F0623" w:rsidRDefault="001C3E00" w:rsidP="0036015E">
            <w:pPr>
              <w:pStyle w:val="cuatexto"/>
              <w:jc w:val="left"/>
              <w:rPr>
                <w:szCs w:val="20"/>
              </w:rPr>
            </w:pPr>
            <w:r>
              <w:t>Herri-ondasunak</w:t>
            </w:r>
          </w:p>
        </w:tc>
        <w:tc>
          <w:tcPr>
            <w:tcW w:w="1440" w:type="dxa"/>
            <w:tcBorders>
              <w:left w:val="nil"/>
              <w:right w:val="nil"/>
            </w:tcBorders>
            <w:shd w:val="clear" w:color="auto" w:fill="auto"/>
            <w:vAlign w:val="center"/>
          </w:tcPr>
          <w:p w:rsidR="001C3E00" w:rsidRPr="006F0623" w:rsidRDefault="001C3E00" w:rsidP="0036015E">
            <w:pPr>
              <w:pStyle w:val="cuatexto"/>
              <w:jc w:val="right"/>
              <w:rPr>
                <w:rFonts w:cs="Arial"/>
                <w:szCs w:val="20"/>
              </w:rPr>
            </w:pPr>
            <w:r>
              <w:t>213.029</w:t>
            </w:r>
          </w:p>
        </w:tc>
        <w:tc>
          <w:tcPr>
            <w:tcW w:w="1320" w:type="dxa"/>
            <w:tcBorders>
              <w:left w:val="nil"/>
              <w:right w:val="nil"/>
            </w:tcBorders>
            <w:shd w:val="clear" w:color="auto" w:fill="auto"/>
            <w:vAlign w:val="center"/>
          </w:tcPr>
          <w:p w:rsidR="001C3E00" w:rsidRPr="006F0623" w:rsidRDefault="001C3E00" w:rsidP="0036015E">
            <w:pPr>
              <w:pStyle w:val="cuatexto"/>
              <w:jc w:val="right"/>
              <w:rPr>
                <w:rFonts w:cs="Arial"/>
                <w:szCs w:val="20"/>
              </w:rPr>
            </w:pPr>
            <w:r>
              <w:t>215.487</w:t>
            </w:r>
          </w:p>
        </w:tc>
      </w:tr>
      <w:tr w:rsidR="001C3E00" w:rsidRPr="006F0623" w:rsidTr="002F2B6D">
        <w:trPr>
          <w:cantSplit/>
          <w:trHeight w:val="284"/>
        </w:trPr>
        <w:tc>
          <w:tcPr>
            <w:tcW w:w="360" w:type="dxa"/>
            <w:tcBorders>
              <w:top w:val="single" w:sz="2" w:space="0" w:color="auto"/>
              <w:left w:val="nil"/>
              <w:bottom w:val="single" w:sz="2" w:space="0" w:color="auto"/>
              <w:right w:val="nil"/>
            </w:tcBorders>
            <w:shd w:val="clear" w:color="auto" w:fill="auto"/>
            <w:vAlign w:val="center"/>
          </w:tcPr>
          <w:p w:rsidR="001C3E00" w:rsidRPr="006F0623" w:rsidRDefault="001C3E00" w:rsidP="0036015E">
            <w:pPr>
              <w:pStyle w:val="cuatexto"/>
              <w:jc w:val="left"/>
              <w:rPr>
                <w:rFonts w:cs="Arial"/>
                <w:szCs w:val="20"/>
              </w:rPr>
            </w:pPr>
            <w:r>
              <w:t>C</w:t>
            </w:r>
          </w:p>
        </w:tc>
        <w:tc>
          <w:tcPr>
            <w:tcW w:w="5739" w:type="dxa"/>
            <w:tcBorders>
              <w:top w:val="single" w:sz="2" w:space="0" w:color="auto"/>
              <w:left w:val="nil"/>
              <w:bottom w:val="single" w:sz="2" w:space="0" w:color="auto"/>
              <w:right w:val="nil"/>
            </w:tcBorders>
            <w:shd w:val="clear" w:color="auto" w:fill="auto"/>
            <w:vAlign w:val="center"/>
          </w:tcPr>
          <w:p w:rsidR="001C3E00" w:rsidRPr="006F0623" w:rsidRDefault="001C3E00" w:rsidP="0036015E">
            <w:pPr>
              <w:pStyle w:val="cuatexto"/>
              <w:jc w:val="left"/>
              <w:rPr>
                <w:rFonts w:cs="Arial"/>
                <w:szCs w:val="20"/>
              </w:rPr>
            </w:pPr>
            <w:proofErr w:type="spellStart"/>
            <w:r>
              <w:t>Zirkulatzailea</w:t>
            </w:r>
            <w:proofErr w:type="spellEnd"/>
          </w:p>
        </w:tc>
        <w:tc>
          <w:tcPr>
            <w:tcW w:w="1440" w:type="dxa"/>
            <w:tcBorders>
              <w:top w:val="single" w:sz="2" w:space="0" w:color="auto"/>
              <w:left w:val="nil"/>
              <w:bottom w:val="single" w:sz="2" w:space="0" w:color="auto"/>
              <w:right w:val="nil"/>
            </w:tcBorders>
            <w:shd w:val="clear" w:color="auto" w:fill="auto"/>
            <w:vAlign w:val="center"/>
          </w:tcPr>
          <w:p w:rsidR="001C3E00" w:rsidRPr="006F0623" w:rsidRDefault="001C3E00" w:rsidP="0036015E">
            <w:pPr>
              <w:pStyle w:val="cuatexto"/>
              <w:jc w:val="right"/>
              <w:rPr>
                <w:rFonts w:cs="Arial"/>
                <w:szCs w:val="20"/>
              </w:rPr>
            </w:pPr>
            <w:r>
              <w:t>48.778</w:t>
            </w:r>
          </w:p>
        </w:tc>
        <w:tc>
          <w:tcPr>
            <w:tcW w:w="1320" w:type="dxa"/>
            <w:tcBorders>
              <w:top w:val="single" w:sz="2" w:space="0" w:color="auto"/>
              <w:left w:val="nil"/>
              <w:bottom w:val="single" w:sz="2" w:space="0" w:color="auto"/>
              <w:right w:val="nil"/>
            </w:tcBorders>
            <w:shd w:val="clear" w:color="auto" w:fill="auto"/>
            <w:vAlign w:val="center"/>
          </w:tcPr>
          <w:p w:rsidR="001C3E00" w:rsidRPr="006F0623" w:rsidRDefault="001C3E00" w:rsidP="0036015E">
            <w:pPr>
              <w:pStyle w:val="cuatexto"/>
              <w:jc w:val="right"/>
              <w:rPr>
                <w:rFonts w:cs="Arial"/>
                <w:szCs w:val="20"/>
              </w:rPr>
            </w:pPr>
            <w:r>
              <w:t>133.737</w:t>
            </w:r>
          </w:p>
        </w:tc>
      </w:tr>
      <w:tr w:rsidR="001C3E00" w:rsidRPr="006F0623" w:rsidTr="002F2B6D">
        <w:trPr>
          <w:cantSplit/>
          <w:trHeight w:val="284"/>
        </w:trPr>
        <w:tc>
          <w:tcPr>
            <w:tcW w:w="360" w:type="dxa"/>
            <w:tcBorders>
              <w:top w:val="single" w:sz="2" w:space="0" w:color="auto"/>
              <w:left w:val="nil"/>
              <w:right w:val="nil"/>
            </w:tcBorders>
            <w:shd w:val="clear" w:color="auto" w:fill="auto"/>
            <w:vAlign w:val="center"/>
          </w:tcPr>
          <w:p w:rsidR="001C3E00" w:rsidRPr="006F0623" w:rsidRDefault="001C3E00" w:rsidP="0036015E">
            <w:pPr>
              <w:pStyle w:val="cuatexto"/>
              <w:jc w:val="left"/>
              <w:rPr>
                <w:szCs w:val="20"/>
              </w:rPr>
            </w:pPr>
            <w:r>
              <w:t>8</w:t>
            </w:r>
          </w:p>
        </w:tc>
        <w:tc>
          <w:tcPr>
            <w:tcW w:w="5739" w:type="dxa"/>
            <w:tcBorders>
              <w:top w:val="single" w:sz="2" w:space="0" w:color="auto"/>
              <w:left w:val="nil"/>
              <w:right w:val="nil"/>
            </w:tcBorders>
            <w:shd w:val="clear" w:color="auto" w:fill="auto"/>
            <w:vAlign w:val="center"/>
          </w:tcPr>
          <w:p w:rsidR="001C3E00" w:rsidRPr="006F0623" w:rsidRDefault="001C3E00" w:rsidP="0036015E">
            <w:pPr>
              <w:pStyle w:val="cuatexto"/>
              <w:jc w:val="left"/>
              <w:rPr>
                <w:szCs w:val="20"/>
              </w:rPr>
            </w:pPr>
            <w:r>
              <w:t>Zordunak</w:t>
            </w:r>
          </w:p>
        </w:tc>
        <w:tc>
          <w:tcPr>
            <w:tcW w:w="1440" w:type="dxa"/>
            <w:tcBorders>
              <w:top w:val="single" w:sz="2" w:space="0" w:color="auto"/>
              <w:left w:val="nil"/>
              <w:right w:val="nil"/>
            </w:tcBorders>
            <w:shd w:val="clear" w:color="auto" w:fill="auto"/>
            <w:vAlign w:val="center"/>
          </w:tcPr>
          <w:p w:rsidR="001C3E00" w:rsidRPr="006F0623" w:rsidRDefault="001C3E00" w:rsidP="0036015E">
            <w:pPr>
              <w:pStyle w:val="cuatexto"/>
              <w:jc w:val="right"/>
              <w:rPr>
                <w:rFonts w:cs="Arial"/>
                <w:szCs w:val="20"/>
              </w:rPr>
            </w:pPr>
            <w:r>
              <w:t>0</w:t>
            </w:r>
          </w:p>
        </w:tc>
        <w:tc>
          <w:tcPr>
            <w:tcW w:w="1320" w:type="dxa"/>
            <w:tcBorders>
              <w:top w:val="single" w:sz="2" w:space="0" w:color="auto"/>
              <w:left w:val="nil"/>
              <w:right w:val="nil"/>
            </w:tcBorders>
            <w:shd w:val="clear" w:color="auto" w:fill="auto"/>
            <w:vAlign w:val="center"/>
          </w:tcPr>
          <w:p w:rsidR="001C3E00" w:rsidRPr="006F0623" w:rsidRDefault="001C3E00" w:rsidP="0036015E">
            <w:pPr>
              <w:pStyle w:val="cuatexto"/>
              <w:jc w:val="right"/>
              <w:rPr>
                <w:szCs w:val="20"/>
              </w:rPr>
            </w:pPr>
            <w:r>
              <w:t>0</w:t>
            </w:r>
          </w:p>
        </w:tc>
      </w:tr>
      <w:tr w:rsidR="001C3E00" w:rsidRPr="006F0623" w:rsidTr="002F2B6D">
        <w:trPr>
          <w:cantSplit/>
          <w:trHeight w:val="284"/>
        </w:trPr>
        <w:tc>
          <w:tcPr>
            <w:tcW w:w="360" w:type="dxa"/>
            <w:tcBorders>
              <w:left w:val="nil"/>
              <w:bottom w:val="single" w:sz="2" w:space="0" w:color="auto"/>
              <w:right w:val="nil"/>
            </w:tcBorders>
            <w:shd w:val="clear" w:color="auto" w:fill="auto"/>
            <w:vAlign w:val="center"/>
          </w:tcPr>
          <w:p w:rsidR="001C3E00" w:rsidRPr="006F0623" w:rsidRDefault="001C3E00" w:rsidP="0036015E">
            <w:pPr>
              <w:pStyle w:val="cuatexto"/>
              <w:jc w:val="left"/>
              <w:rPr>
                <w:szCs w:val="20"/>
              </w:rPr>
            </w:pPr>
            <w:r>
              <w:t>9</w:t>
            </w:r>
          </w:p>
        </w:tc>
        <w:tc>
          <w:tcPr>
            <w:tcW w:w="5739" w:type="dxa"/>
            <w:tcBorders>
              <w:left w:val="nil"/>
              <w:bottom w:val="single" w:sz="2" w:space="0" w:color="auto"/>
              <w:right w:val="nil"/>
            </w:tcBorders>
            <w:shd w:val="clear" w:color="auto" w:fill="auto"/>
            <w:vAlign w:val="center"/>
          </w:tcPr>
          <w:p w:rsidR="001C3E00" w:rsidRPr="006F0623" w:rsidRDefault="001C3E00" w:rsidP="0036015E">
            <w:pPr>
              <w:pStyle w:val="cuatexto"/>
              <w:jc w:val="left"/>
              <w:rPr>
                <w:szCs w:val="20"/>
              </w:rPr>
            </w:pPr>
            <w:r>
              <w:t>Finantza-kontuak</w:t>
            </w:r>
          </w:p>
        </w:tc>
        <w:tc>
          <w:tcPr>
            <w:tcW w:w="1440" w:type="dxa"/>
            <w:tcBorders>
              <w:left w:val="nil"/>
              <w:bottom w:val="single" w:sz="2" w:space="0" w:color="auto"/>
              <w:right w:val="nil"/>
            </w:tcBorders>
            <w:shd w:val="clear" w:color="auto" w:fill="auto"/>
            <w:vAlign w:val="center"/>
          </w:tcPr>
          <w:p w:rsidR="001C3E00" w:rsidRPr="006F0623" w:rsidRDefault="001C3E00" w:rsidP="0036015E">
            <w:pPr>
              <w:pStyle w:val="cuatexto"/>
              <w:jc w:val="right"/>
              <w:rPr>
                <w:rFonts w:cs="Arial"/>
                <w:szCs w:val="20"/>
              </w:rPr>
            </w:pPr>
            <w:r>
              <w:t>48.778</w:t>
            </w:r>
          </w:p>
        </w:tc>
        <w:tc>
          <w:tcPr>
            <w:tcW w:w="1320" w:type="dxa"/>
            <w:tcBorders>
              <w:left w:val="nil"/>
              <w:bottom w:val="single" w:sz="2" w:space="0" w:color="auto"/>
              <w:right w:val="nil"/>
            </w:tcBorders>
            <w:shd w:val="clear" w:color="auto" w:fill="auto"/>
            <w:vAlign w:val="center"/>
          </w:tcPr>
          <w:p w:rsidR="001C3E00" w:rsidRPr="006F0623" w:rsidRDefault="001C3E00" w:rsidP="0036015E">
            <w:pPr>
              <w:pStyle w:val="cuatexto"/>
              <w:jc w:val="right"/>
              <w:rPr>
                <w:szCs w:val="20"/>
              </w:rPr>
            </w:pPr>
            <w:r>
              <w:t>133.737</w:t>
            </w:r>
          </w:p>
        </w:tc>
      </w:tr>
      <w:tr w:rsidR="001C3E00" w:rsidRPr="008931DD" w:rsidTr="002F2B6D">
        <w:trPr>
          <w:cantSplit/>
          <w:trHeight w:val="284"/>
        </w:trPr>
        <w:tc>
          <w:tcPr>
            <w:tcW w:w="6099" w:type="dxa"/>
            <w:gridSpan w:val="2"/>
            <w:tcBorders>
              <w:top w:val="single" w:sz="4" w:space="0" w:color="auto"/>
              <w:left w:val="nil"/>
              <w:bottom w:val="single" w:sz="4" w:space="0" w:color="auto"/>
              <w:right w:val="nil"/>
            </w:tcBorders>
            <w:shd w:val="clear" w:color="auto" w:fill="FABF8F" w:themeFill="accent6" w:themeFillTint="99"/>
            <w:vAlign w:val="center"/>
          </w:tcPr>
          <w:p w:rsidR="001C3E00" w:rsidRPr="008931DD" w:rsidRDefault="001C3E00" w:rsidP="0036015E">
            <w:pPr>
              <w:pStyle w:val="cuatexto"/>
              <w:jc w:val="left"/>
              <w:rPr>
                <w:rFonts w:ascii="Arial" w:hAnsi="Arial" w:cs="Arial"/>
                <w:sz w:val="18"/>
                <w:szCs w:val="18"/>
              </w:rPr>
            </w:pPr>
            <w:r>
              <w:rPr>
                <w:rFonts w:ascii="Arial" w:hAnsi="Arial"/>
                <w:sz w:val="18"/>
                <w:szCs w:val="18"/>
              </w:rPr>
              <w:t>Aktiboa,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1C3E00" w:rsidRPr="008931DD" w:rsidRDefault="001C3E00" w:rsidP="0036015E">
            <w:pPr>
              <w:pStyle w:val="cuatexto"/>
              <w:jc w:val="right"/>
              <w:rPr>
                <w:rFonts w:ascii="Arial" w:hAnsi="Arial" w:cs="Arial"/>
                <w:sz w:val="18"/>
                <w:szCs w:val="18"/>
              </w:rPr>
            </w:pPr>
            <w:r>
              <w:rPr>
                <w:rFonts w:ascii="Arial" w:hAnsi="Arial"/>
                <w:sz w:val="18"/>
                <w:szCs w:val="18"/>
              </w:rPr>
              <w:t>1.926.560</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1C3E00" w:rsidRPr="008931DD" w:rsidRDefault="001C3E00" w:rsidP="0036015E">
            <w:pPr>
              <w:pStyle w:val="cuatexto"/>
              <w:jc w:val="right"/>
              <w:rPr>
                <w:rFonts w:ascii="Arial" w:hAnsi="Arial" w:cs="Arial"/>
                <w:sz w:val="18"/>
                <w:szCs w:val="18"/>
              </w:rPr>
            </w:pPr>
            <w:r>
              <w:rPr>
                <w:rFonts w:ascii="Arial" w:hAnsi="Arial"/>
                <w:sz w:val="18"/>
                <w:szCs w:val="18"/>
              </w:rPr>
              <w:t>2.045.532</w:t>
            </w:r>
          </w:p>
        </w:tc>
      </w:tr>
    </w:tbl>
    <w:p w:rsidR="001C3E00" w:rsidRDefault="001C3E00" w:rsidP="001C3E00"/>
    <w:p w:rsidR="001C3E00" w:rsidRDefault="001C3E00" w:rsidP="001C3E00">
      <w:pPr>
        <w:pStyle w:val="CuadroTtulo"/>
        <w:jc w:val="center"/>
      </w:pPr>
    </w:p>
    <w:p w:rsidR="001C3E00" w:rsidRDefault="0036015E" w:rsidP="001C3E00">
      <w:pPr>
        <w:pStyle w:val="CuadroTtulo"/>
        <w:jc w:val="center"/>
      </w:pPr>
      <w:r>
        <w:t>Garbia eta pasiboa</w:t>
      </w:r>
    </w:p>
    <w:p w:rsidR="001C3E00" w:rsidRPr="00043A0C" w:rsidRDefault="001C3E00" w:rsidP="001C3E00">
      <w:pPr>
        <w:pStyle w:val="CuadroTtulo"/>
        <w:jc w:val="center"/>
      </w:pPr>
    </w:p>
    <w:tbl>
      <w:tblPr>
        <w:tblW w:w="8880" w:type="dxa"/>
        <w:tblInd w:w="70" w:type="dxa"/>
        <w:tblCellMar>
          <w:left w:w="70" w:type="dxa"/>
          <w:right w:w="70" w:type="dxa"/>
        </w:tblCellMar>
        <w:tblLook w:val="04A0" w:firstRow="1" w:lastRow="0" w:firstColumn="1" w:lastColumn="0" w:noHBand="0" w:noVBand="1"/>
      </w:tblPr>
      <w:tblGrid>
        <w:gridCol w:w="360"/>
        <w:gridCol w:w="5760"/>
        <w:gridCol w:w="1440"/>
        <w:gridCol w:w="1320"/>
      </w:tblGrid>
      <w:tr w:rsidR="001C3E00" w:rsidRPr="00AE5CF6" w:rsidTr="002F2B6D">
        <w:trPr>
          <w:trHeight w:val="284"/>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1C3E00" w:rsidRPr="00AE5CF6" w:rsidRDefault="001C3E00" w:rsidP="0036015E">
            <w:pPr>
              <w:pStyle w:val="cuatexto"/>
              <w:jc w:val="left"/>
              <w:rPr>
                <w:rFonts w:ascii="Arial" w:hAnsi="Arial" w:cs="Arial"/>
                <w:sz w:val="18"/>
                <w:szCs w:val="18"/>
              </w:rPr>
            </w:pPr>
            <w:r>
              <w:rPr>
                <w:rFonts w:ascii="Arial" w:hAnsi="Arial"/>
                <w:sz w:val="18"/>
                <w:szCs w:val="18"/>
              </w:rPr>
              <w:t>Deskribapena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1C3E00" w:rsidRPr="00AE5CF6" w:rsidRDefault="001C3E00" w:rsidP="0036015E">
            <w:pPr>
              <w:pStyle w:val="cuatexto"/>
              <w:jc w:val="right"/>
              <w:rPr>
                <w:rFonts w:ascii="Arial" w:hAnsi="Arial" w:cs="Arial"/>
                <w:sz w:val="18"/>
                <w:szCs w:val="18"/>
              </w:rPr>
            </w:pPr>
            <w:r>
              <w:rPr>
                <w:rFonts w:ascii="Arial" w:hAnsi="Arial"/>
                <w:sz w:val="18"/>
                <w:szCs w:val="18"/>
              </w:rPr>
              <w:t>2014</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1C3E00" w:rsidRPr="00AE5CF6" w:rsidRDefault="001C3E00" w:rsidP="0036015E">
            <w:pPr>
              <w:pStyle w:val="cuatexto"/>
              <w:jc w:val="right"/>
              <w:rPr>
                <w:rFonts w:ascii="Arial" w:hAnsi="Arial" w:cs="Arial"/>
                <w:sz w:val="18"/>
                <w:szCs w:val="18"/>
              </w:rPr>
            </w:pPr>
            <w:r>
              <w:rPr>
                <w:rFonts w:ascii="Arial" w:hAnsi="Arial"/>
                <w:sz w:val="18"/>
                <w:szCs w:val="18"/>
              </w:rPr>
              <w:t>2015</w:t>
            </w:r>
          </w:p>
        </w:tc>
      </w:tr>
      <w:tr w:rsidR="001C3E00" w:rsidRPr="006F0623" w:rsidTr="002F2B6D">
        <w:trPr>
          <w:trHeight w:val="284"/>
        </w:trPr>
        <w:tc>
          <w:tcPr>
            <w:tcW w:w="36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rFonts w:cs="Arial"/>
                <w:szCs w:val="20"/>
              </w:rPr>
            </w:pPr>
            <w:r>
              <w:t>A</w:t>
            </w:r>
          </w:p>
        </w:tc>
        <w:tc>
          <w:tcPr>
            <w:tcW w:w="576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rFonts w:cs="Arial"/>
                <w:szCs w:val="20"/>
              </w:rPr>
            </w:pPr>
            <w:r>
              <w:t>Funts berekiak</w:t>
            </w:r>
          </w:p>
        </w:tc>
        <w:tc>
          <w:tcPr>
            <w:tcW w:w="1440" w:type="dxa"/>
            <w:tcBorders>
              <w:top w:val="single" w:sz="4" w:space="0" w:color="auto"/>
              <w:left w:val="nil"/>
              <w:bottom w:val="single" w:sz="4" w:space="0" w:color="auto"/>
              <w:right w:val="nil"/>
            </w:tcBorders>
            <w:shd w:val="clear" w:color="auto" w:fill="auto"/>
            <w:noWrap/>
            <w:vAlign w:val="center"/>
          </w:tcPr>
          <w:p w:rsidR="001C3E00" w:rsidRPr="006F0623" w:rsidRDefault="001C3E00" w:rsidP="0036015E">
            <w:pPr>
              <w:pStyle w:val="cuatexto"/>
              <w:jc w:val="right"/>
              <w:rPr>
                <w:rFonts w:cs="Arial"/>
                <w:szCs w:val="20"/>
              </w:rPr>
            </w:pPr>
            <w:r>
              <w:t>1.925.069</w:t>
            </w:r>
          </w:p>
        </w:tc>
        <w:tc>
          <w:tcPr>
            <w:tcW w:w="1320" w:type="dxa"/>
            <w:tcBorders>
              <w:top w:val="single" w:sz="4" w:space="0" w:color="auto"/>
              <w:left w:val="nil"/>
              <w:bottom w:val="single" w:sz="4" w:space="0" w:color="auto"/>
              <w:right w:val="nil"/>
            </w:tcBorders>
            <w:shd w:val="clear" w:color="auto" w:fill="auto"/>
            <w:noWrap/>
            <w:vAlign w:val="center"/>
          </w:tcPr>
          <w:p w:rsidR="001C3E00" w:rsidRPr="006F0623" w:rsidRDefault="001C3E00" w:rsidP="0036015E">
            <w:pPr>
              <w:pStyle w:val="cuatexto"/>
              <w:jc w:val="right"/>
              <w:rPr>
                <w:rFonts w:cs="Arial"/>
                <w:szCs w:val="20"/>
              </w:rPr>
            </w:pPr>
            <w:r>
              <w:t>2.044.433</w:t>
            </w:r>
          </w:p>
        </w:tc>
      </w:tr>
      <w:tr w:rsidR="001C3E00" w:rsidRPr="006F0623" w:rsidTr="002F2B6D">
        <w:trPr>
          <w:trHeight w:val="284"/>
        </w:trPr>
        <w:tc>
          <w:tcPr>
            <w:tcW w:w="360" w:type="dxa"/>
            <w:tcBorders>
              <w:top w:val="single" w:sz="4" w:space="0" w:color="auto"/>
              <w:left w:val="nil"/>
              <w:right w:val="nil"/>
            </w:tcBorders>
            <w:shd w:val="clear" w:color="auto" w:fill="auto"/>
            <w:vAlign w:val="center"/>
          </w:tcPr>
          <w:p w:rsidR="001C3E00" w:rsidRPr="006F0623" w:rsidRDefault="001C3E00" w:rsidP="0036015E">
            <w:pPr>
              <w:pStyle w:val="cuatexto"/>
              <w:jc w:val="left"/>
              <w:rPr>
                <w:szCs w:val="20"/>
              </w:rPr>
            </w:pPr>
            <w:r>
              <w:t>1</w:t>
            </w:r>
          </w:p>
        </w:tc>
        <w:tc>
          <w:tcPr>
            <w:tcW w:w="5760" w:type="dxa"/>
            <w:tcBorders>
              <w:top w:val="single" w:sz="4" w:space="0" w:color="auto"/>
              <w:left w:val="nil"/>
              <w:right w:val="nil"/>
            </w:tcBorders>
            <w:shd w:val="clear" w:color="auto" w:fill="auto"/>
            <w:vAlign w:val="center"/>
          </w:tcPr>
          <w:p w:rsidR="001C3E00" w:rsidRPr="006F0623" w:rsidRDefault="001C3E00" w:rsidP="0036015E">
            <w:pPr>
              <w:pStyle w:val="cuatexto"/>
              <w:jc w:val="left"/>
              <w:rPr>
                <w:szCs w:val="20"/>
              </w:rPr>
            </w:pPr>
            <w:r>
              <w:t>Ondarea eta erreserbak</w:t>
            </w:r>
          </w:p>
        </w:tc>
        <w:tc>
          <w:tcPr>
            <w:tcW w:w="1440" w:type="dxa"/>
            <w:tcBorders>
              <w:top w:val="single" w:sz="4" w:space="0" w:color="auto"/>
              <w:left w:val="nil"/>
              <w:right w:val="nil"/>
            </w:tcBorders>
            <w:shd w:val="clear" w:color="auto" w:fill="auto"/>
            <w:vAlign w:val="center"/>
          </w:tcPr>
          <w:p w:rsidR="001C3E00" w:rsidRPr="002C41AC" w:rsidRDefault="001C3E00" w:rsidP="0036015E">
            <w:pPr>
              <w:pStyle w:val="cuatexto"/>
              <w:jc w:val="right"/>
              <w:rPr>
                <w:rFonts w:cs="Arial"/>
                <w:szCs w:val="20"/>
              </w:rPr>
            </w:pPr>
            <w:r>
              <w:t>1.914.334</w:t>
            </w:r>
          </w:p>
        </w:tc>
        <w:tc>
          <w:tcPr>
            <w:tcW w:w="1320" w:type="dxa"/>
            <w:tcBorders>
              <w:top w:val="single" w:sz="4" w:space="0" w:color="auto"/>
              <w:left w:val="nil"/>
              <w:right w:val="nil"/>
            </w:tcBorders>
            <w:shd w:val="clear" w:color="auto" w:fill="auto"/>
            <w:vAlign w:val="center"/>
          </w:tcPr>
          <w:p w:rsidR="001C3E00" w:rsidRPr="002C41AC" w:rsidRDefault="001C3E00" w:rsidP="0036015E">
            <w:pPr>
              <w:pStyle w:val="cuatexto"/>
              <w:jc w:val="right"/>
              <w:rPr>
                <w:szCs w:val="20"/>
              </w:rPr>
            </w:pPr>
            <w:r>
              <w:t>1.910.460</w:t>
            </w:r>
          </w:p>
        </w:tc>
      </w:tr>
      <w:tr w:rsidR="001C3E00" w:rsidRPr="006F0623" w:rsidTr="002F2B6D">
        <w:trPr>
          <w:trHeight w:val="284"/>
        </w:trPr>
        <w:tc>
          <w:tcPr>
            <w:tcW w:w="360" w:type="dxa"/>
            <w:tcBorders>
              <w:left w:val="nil"/>
              <w:bottom w:val="single" w:sz="2" w:space="0" w:color="auto"/>
              <w:right w:val="nil"/>
            </w:tcBorders>
            <w:shd w:val="clear" w:color="auto" w:fill="auto"/>
            <w:vAlign w:val="center"/>
          </w:tcPr>
          <w:p w:rsidR="001C3E00" w:rsidRPr="007C4C95" w:rsidRDefault="001C3E00" w:rsidP="0036015E">
            <w:pPr>
              <w:pStyle w:val="cuatexto"/>
              <w:jc w:val="left"/>
              <w:rPr>
                <w:szCs w:val="20"/>
              </w:rPr>
            </w:pPr>
            <w:r>
              <w:t>2</w:t>
            </w:r>
          </w:p>
        </w:tc>
        <w:tc>
          <w:tcPr>
            <w:tcW w:w="5760" w:type="dxa"/>
            <w:tcBorders>
              <w:left w:val="nil"/>
              <w:bottom w:val="single" w:sz="2" w:space="0" w:color="auto"/>
              <w:right w:val="nil"/>
            </w:tcBorders>
            <w:shd w:val="clear" w:color="auto" w:fill="auto"/>
            <w:vAlign w:val="center"/>
          </w:tcPr>
          <w:p w:rsidR="001C3E00" w:rsidRPr="007C4C95" w:rsidRDefault="001C3E00" w:rsidP="0036015E">
            <w:pPr>
              <w:pStyle w:val="cuatexto"/>
              <w:jc w:val="left"/>
              <w:rPr>
                <w:szCs w:val="20"/>
              </w:rPr>
            </w:pPr>
            <w:r>
              <w:t>Ekitaldiko emaitza ekonomikoa (etekina)</w:t>
            </w:r>
          </w:p>
        </w:tc>
        <w:tc>
          <w:tcPr>
            <w:tcW w:w="1440" w:type="dxa"/>
            <w:tcBorders>
              <w:left w:val="nil"/>
              <w:bottom w:val="single" w:sz="2" w:space="0" w:color="auto"/>
              <w:right w:val="nil"/>
            </w:tcBorders>
            <w:shd w:val="clear" w:color="auto" w:fill="auto"/>
            <w:vAlign w:val="center"/>
          </w:tcPr>
          <w:p w:rsidR="001C3E00" w:rsidRPr="002C41AC" w:rsidRDefault="001C3E00" w:rsidP="0036015E">
            <w:pPr>
              <w:pStyle w:val="cuatexto"/>
              <w:jc w:val="right"/>
              <w:rPr>
                <w:rFonts w:cs="Arial"/>
                <w:szCs w:val="20"/>
              </w:rPr>
            </w:pPr>
            <w:r>
              <w:t>10.734</w:t>
            </w:r>
          </w:p>
        </w:tc>
        <w:tc>
          <w:tcPr>
            <w:tcW w:w="1320" w:type="dxa"/>
            <w:tcBorders>
              <w:left w:val="nil"/>
              <w:bottom w:val="single" w:sz="2" w:space="0" w:color="auto"/>
              <w:right w:val="nil"/>
            </w:tcBorders>
            <w:shd w:val="clear" w:color="auto" w:fill="auto"/>
            <w:vAlign w:val="center"/>
          </w:tcPr>
          <w:p w:rsidR="001C3E00" w:rsidRPr="002C41AC" w:rsidRDefault="001C3E00" w:rsidP="0036015E">
            <w:pPr>
              <w:pStyle w:val="cuatexto"/>
              <w:jc w:val="right"/>
              <w:rPr>
                <w:szCs w:val="20"/>
              </w:rPr>
            </w:pPr>
            <w:r>
              <w:t>133.972</w:t>
            </w:r>
          </w:p>
        </w:tc>
      </w:tr>
      <w:tr w:rsidR="001C3E00" w:rsidRPr="006F0623" w:rsidTr="002F2B6D">
        <w:trPr>
          <w:trHeight w:val="284"/>
        </w:trPr>
        <w:tc>
          <w:tcPr>
            <w:tcW w:w="360" w:type="dxa"/>
            <w:tcBorders>
              <w:top w:val="single" w:sz="2"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szCs w:val="20"/>
              </w:rPr>
            </w:pPr>
            <w:r>
              <w:t>C</w:t>
            </w:r>
          </w:p>
        </w:tc>
        <w:tc>
          <w:tcPr>
            <w:tcW w:w="5760" w:type="dxa"/>
            <w:tcBorders>
              <w:top w:val="single" w:sz="2"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szCs w:val="20"/>
              </w:rPr>
            </w:pPr>
            <w:r>
              <w:t>Epe luzeko zorrak</w:t>
            </w:r>
          </w:p>
        </w:tc>
        <w:tc>
          <w:tcPr>
            <w:tcW w:w="1440" w:type="dxa"/>
            <w:tcBorders>
              <w:top w:val="single" w:sz="2" w:space="0" w:color="auto"/>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0</w:t>
            </w:r>
          </w:p>
        </w:tc>
        <w:tc>
          <w:tcPr>
            <w:tcW w:w="1320" w:type="dxa"/>
            <w:tcBorders>
              <w:top w:val="single" w:sz="2" w:space="0" w:color="auto"/>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0</w:t>
            </w:r>
          </w:p>
        </w:tc>
      </w:tr>
      <w:tr w:rsidR="001C3E00" w:rsidRPr="006F0623" w:rsidTr="002F2B6D">
        <w:trPr>
          <w:trHeight w:val="284"/>
        </w:trPr>
        <w:tc>
          <w:tcPr>
            <w:tcW w:w="36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szCs w:val="20"/>
              </w:rPr>
            </w:pPr>
            <w:r>
              <w:t>4</w:t>
            </w:r>
          </w:p>
        </w:tc>
        <w:tc>
          <w:tcPr>
            <w:tcW w:w="576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szCs w:val="20"/>
              </w:rPr>
            </w:pPr>
            <w:r>
              <w:t>Jesapenak, maileguak eta fidantzak, jasotako gordailua</w:t>
            </w:r>
          </w:p>
        </w:tc>
        <w:tc>
          <w:tcPr>
            <w:tcW w:w="144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0</w:t>
            </w:r>
          </w:p>
        </w:tc>
        <w:tc>
          <w:tcPr>
            <w:tcW w:w="132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0</w:t>
            </w:r>
          </w:p>
        </w:tc>
      </w:tr>
      <w:tr w:rsidR="001C3E00" w:rsidRPr="006F0623" w:rsidTr="002F2B6D">
        <w:trPr>
          <w:trHeight w:val="284"/>
        </w:trPr>
        <w:tc>
          <w:tcPr>
            <w:tcW w:w="360" w:type="dxa"/>
            <w:tcBorders>
              <w:top w:val="single" w:sz="4" w:space="0" w:color="auto"/>
              <w:left w:val="nil"/>
              <w:bottom w:val="single" w:sz="4" w:space="0" w:color="auto"/>
              <w:right w:val="nil"/>
            </w:tcBorders>
            <w:shd w:val="clear" w:color="auto" w:fill="auto"/>
            <w:vAlign w:val="center"/>
          </w:tcPr>
          <w:p w:rsidR="001C3E00" w:rsidRPr="006F0623" w:rsidRDefault="0036015E" w:rsidP="0036015E">
            <w:pPr>
              <w:pStyle w:val="cuatexto"/>
              <w:jc w:val="left"/>
              <w:rPr>
                <w:szCs w:val="20"/>
              </w:rPr>
            </w:pPr>
            <w:r>
              <w:t>D</w:t>
            </w:r>
          </w:p>
        </w:tc>
        <w:tc>
          <w:tcPr>
            <w:tcW w:w="576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left"/>
              <w:rPr>
                <w:szCs w:val="20"/>
              </w:rPr>
            </w:pPr>
            <w:r>
              <w:t>Epe laburreko zorrak</w:t>
            </w:r>
          </w:p>
        </w:tc>
        <w:tc>
          <w:tcPr>
            <w:tcW w:w="144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1.492</w:t>
            </w:r>
          </w:p>
        </w:tc>
        <w:tc>
          <w:tcPr>
            <w:tcW w:w="1320" w:type="dxa"/>
            <w:tcBorders>
              <w:top w:val="single" w:sz="4" w:space="0" w:color="auto"/>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1.100</w:t>
            </w:r>
          </w:p>
        </w:tc>
      </w:tr>
      <w:tr w:rsidR="001C3E00" w:rsidRPr="006F0623" w:rsidTr="002F2B6D">
        <w:trPr>
          <w:trHeight w:val="284"/>
        </w:trPr>
        <w:tc>
          <w:tcPr>
            <w:tcW w:w="360" w:type="dxa"/>
            <w:tcBorders>
              <w:top w:val="single" w:sz="4" w:space="0" w:color="auto"/>
              <w:left w:val="nil"/>
              <w:right w:val="nil"/>
            </w:tcBorders>
            <w:shd w:val="clear" w:color="auto" w:fill="auto"/>
            <w:vAlign w:val="center"/>
          </w:tcPr>
          <w:p w:rsidR="001C3E00" w:rsidRPr="006F0623" w:rsidRDefault="001C3E00" w:rsidP="0036015E">
            <w:pPr>
              <w:pStyle w:val="cuatexto"/>
              <w:jc w:val="left"/>
              <w:rPr>
                <w:szCs w:val="20"/>
              </w:rPr>
            </w:pPr>
            <w:r>
              <w:t>5</w:t>
            </w:r>
          </w:p>
        </w:tc>
        <w:tc>
          <w:tcPr>
            <w:tcW w:w="5760" w:type="dxa"/>
            <w:tcBorders>
              <w:top w:val="single" w:sz="4" w:space="0" w:color="auto"/>
              <w:left w:val="nil"/>
              <w:right w:val="nil"/>
            </w:tcBorders>
            <w:shd w:val="clear" w:color="auto" w:fill="auto"/>
            <w:vAlign w:val="center"/>
          </w:tcPr>
          <w:p w:rsidR="001C3E00" w:rsidRPr="006F0623" w:rsidRDefault="001C3E00" w:rsidP="0036015E">
            <w:pPr>
              <w:pStyle w:val="cuatexto"/>
              <w:jc w:val="left"/>
              <w:rPr>
                <w:szCs w:val="20"/>
              </w:rPr>
            </w:pPr>
            <w:r>
              <w:t>Itxitako aurrekontuetako hartzekodunak eta aurrekontuez kanpokoak</w:t>
            </w:r>
          </w:p>
        </w:tc>
        <w:tc>
          <w:tcPr>
            <w:tcW w:w="1440" w:type="dxa"/>
            <w:tcBorders>
              <w:top w:val="single" w:sz="4" w:space="0" w:color="auto"/>
              <w:left w:val="nil"/>
              <w:right w:val="nil"/>
            </w:tcBorders>
            <w:shd w:val="clear" w:color="auto" w:fill="auto"/>
            <w:vAlign w:val="center"/>
          </w:tcPr>
          <w:p w:rsidR="001C3E00" w:rsidRPr="006F0623" w:rsidRDefault="001C3E00" w:rsidP="0036015E">
            <w:pPr>
              <w:pStyle w:val="cuatexto"/>
              <w:jc w:val="right"/>
              <w:rPr>
                <w:szCs w:val="20"/>
              </w:rPr>
            </w:pPr>
            <w:r>
              <w:t>867</w:t>
            </w:r>
          </w:p>
        </w:tc>
        <w:tc>
          <w:tcPr>
            <w:tcW w:w="1320" w:type="dxa"/>
            <w:tcBorders>
              <w:top w:val="single" w:sz="4" w:space="0" w:color="auto"/>
              <w:left w:val="nil"/>
              <w:right w:val="nil"/>
            </w:tcBorders>
            <w:shd w:val="clear" w:color="auto" w:fill="auto"/>
            <w:vAlign w:val="center"/>
          </w:tcPr>
          <w:p w:rsidR="001C3E00" w:rsidRPr="006F0623" w:rsidRDefault="001C3E00" w:rsidP="0036015E">
            <w:pPr>
              <w:pStyle w:val="cuatexto"/>
              <w:jc w:val="right"/>
              <w:rPr>
                <w:szCs w:val="20"/>
              </w:rPr>
            </w:pPr>
            <w:r>
              <w:t>113</w:t>
            </w:r>
          </w:p>
        </w:tc>
      </w:tr>
      <w:tr w:rsidR="001C3E00" w:rsidRPr="006F0623" w:rsidTr="002F2B6D">
        <w:trPr>
          <w:trHeight w:val="284"/>
        </w:trPr>
        <w:tc>
          <w:tcPr>
            <w:tcW w:w="360" w:type="dxa"/>
            <w:tcBorders>
              <w:left w:val="nil"/>
              <w:bottom w:val="single" w:sz="4" w:space="0" w:color="auto"/>
              <w:right w:val="nil"/>
            </w:tcBorders>
            <w:shd w:val="clear" w:color="auto" w:fill="auto"/>
            <w:vAlign w:val="center"/>
          </w:tcPr>
          <w:p w:rsidR="001C3E00" w:rsidRPr="006F0623" w:rsidRDefault="0036015E" w:rsidP="0036015E">
            <w:pPr>
              <w:pStyle w:val="cuatexto"/>
              <w:jc w:val="left"/>
              <w:rPr>
                <w:szCs w:val="20"/>
              </w:rPr>
            </w:pPr>
            <w:r>
              <w:t>6</w:t>
            </w:r>
          </w:p>
        </w:tc>
        <w:tc>
          <w:tcPr>
            <w:tcW w:w="5760" w:type="dxa"/>
            <w:tcBorders>
              <w:left w:val="nil"/>
              <w:bottom w:val="single" w:sz="4" w:space="0" w:color="auto"/>
              <w:right w:val="nil"/>
            </w:tcBorders>
            <w:shd w:val="clear" w:color="auto" w:fill="auto"/>
            <w:vAlign w:val="center"/>
          </w:tcPr>
          <w:p w:rsidR="001C3E00" w:rsidRPr="006F0623" w:rsidRDefault="001C3E00" w:rsidP="0036015E">
            <w:pPr>
              <w:pStyle w:val="cuatexto"/>
              <w:jc w:val="left"/>
              <w:rPr>
                <w:szCs w:val="20"/>
              </w:rPr>
            </w:pPr>
            <w:r>
              <w:t>Aurrekontuko hartzekodunak</w:t>
            </w:r>
          </w:p>
        </w:tc>
        <w:tc>
          <w:tcPr>
            <w:tcW w:w="1440" w:type="dxa"/>
            <w:tcBorders>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624</w:t>
            </w:r>
          </w:p>
        </w:tc>
        <w:tc>
          <w:tcPr>
            <w:tcW w:w="1320" w:type="dxa"/>
            <w:tcBorders>
              <w:left w:val="nil"/>
              <w:bottom w:val="single" w:sz="4" w:space="0" w:color="auto"/>
              <w:right w:val="nil"/>
            </w:tcBorders>
            <w:shd w:val="clear" w:color="auto" w:fill="auto"/>
            <w:vAlign w:val="center"/>
          </w:tcPr>
          <w:p w:rsidR="001C3E00" w:rsidRPr="006F0623" w:rsidRDefault="001C3E00" w:rsidP="0036015E">
            <w:pPr>
              <w:pStyle w:val="cuatexto"/>
              <w:jc w:val="right"/>
              <w:rPr>
                <w:szCs w:val="20"/>
              </w:rPr>
            </w:pPr>
            <w:r>
              <w:t>987</w:t>
            </w:r>
          </w:p>
        </w:tc>
      </w:tr>
      <w:tr w:rsidR="001C3E00" w:rsidRPr="003F4EC2" w:rsidTr="002F2B6D">
        <w:trPr>
          <w:trHeight w:val="284"/>
        </w:trPr>
        <w:tc>
          <w:tcPr>
            <w:tcW w:w="6120" w:type="dxa"/>
            <w:gridSpan w:val="2"/>
            <w:tcBorders>
              <w:top w:val="single" w:sz="4" w:space="0" w:color="auto"/>
              <w:left w:val="nil"/>
              <w:bottom w:val="single" w:sz="4" w:space="0" w:color="auto"/>
              <w:right w:val="nil"/>
            </w:tcBorders>
            <w:shd w:val="clear" w:color="auto" w:fill="FABF8F" w:themeFill="accent6" w:themeFillTint="99"/>
            <w:vAlign w:val="center"/>
          </w:tcPr>
          <w:p w:rsidR="001C3E00" w:rsidRPr="003F4EC2" w:rsidRDefault="001C3E00" w:rsidP="002F2B6D">
            <w:pPr>
              <w:pStyle w:val="cuatexto"/>
              <w:jc w:val="left"/>
              <w:rPr>
                <w:rFonts w:ascii="Arial" w:hAnsi="Arial" w:cs="Arial"/>
                <w:sz w:val="18"/>
                <w:szCs w:val="18"/>
              </w:rPr>
            </w:pPr>
            <w:r>
              <w:rPr>
                <w:rFonts w:ascii="Arial" w:hAnsi="Arial"/>
                <w:sz w:val="18"/>
                <w:szCs w:val="18"/>
              </w:rPr>
              <w:t>Garbia eta pasiboa, guztira</w:t>
            </w:r>
          </w:p>
        </w:tc>
        <w:tc>
          <w:tcPr>
            <w:tcW w:w="1440" w:type="dxa"/>
            <w:tcBorders>
              <w:top w:val="single" w:sz="4" w:space="0" w:color="auto"/>
              <w:left w:val="nil"/>
              <w:bottom w:val="single" w:sz="4" w:space="0" w:color="auto"/>
              <w:right w:val="nil"/>
            </w:tcBorders>
            <w:shd w:val="clear" w:color="auto" w:fill="FABF8F" w:themeFill="accent6" w:themeFillTint="99"/>
            <w:vAlign w:val="center"/>
          </w:tcPr>
          <w:p w:rsidR="001C3E00" w:rsidRPr="003F4EC2" w:rsidRDefault="001C3E00" w:rsidP="0036015E">
            <w:pPr>
              <w:pStyle w:val="cuatexto"/>
              <w:jc w:val="right"/>
              <w:rPr>
                <w:rFonts w:ascii="Arial" w:hAnsi="Arial" w:cs="Arial"/>
                <w:sz w:val="18"/>
                <w:szCs w:val="18"/>
              </w:rPr>
            </w:pPr>
            <w:r>
              <w:rPr>
                <w:rFonts w:ascii="Arial" w:hAnsi="Arial"/>
                <w:sz w:val="18"/>
                <w:szCs w:val="18"/>
              </w:rPr>
              <w:t>1.926.560</w:t>
            </w:r>
          </w:p>
        </w:tc>
        <w:tc>
          <w:tcPr>
            <w:tcW w:w="1320" w:type="dxa"/>
            <w:tcBorders>
              <w:top w:val="single" w:sz="4" w:space="0" w:color="auto"/>
              <w:left w:val="nil"/>
              <w:bottom w:val="single" w:sz="4" w:space="0" w:color="auto"/>
              <w:right w:val="nil"/>
            </w:tcBorders>
            <w:shd w:val="clear" w:color="auto" w:fill="FABF8F" w:themeFill="accent6" w:themeFillTint="99"/>
            <w:vAlign w:val="center"/>
          </w:tcPr>
          <w:p w:rsidR="001C3E00" w:rsidRPr="003F4EC2" w:rsidRDefault="001C3E00" w:rsidP="0036015E">
            <w:pPr>
              <w:pStyle w:val="cuatexto"/>
              <w:jc w:val="right"/>
              <w:rPr>
                <w:rFonts w:ascii="Arial" w:hAnsi="Arial" w:cs="Arial"/>
                <w:sz w:val="18"/>
                <w:szCs w:val="18"/>
              </w:rPr>
            </w:pPr>
            <w:r>
              <w:rPr>
                <w:rFonts w:ascii="Arial" w:hAnsi="Arial"/>
                <w:sz w:val="18"/>
                <w:szCs w:val="18"/>
              </w:rPr>
              <w:t>2.045.532</w:t>
            </w:r>
          </w:p>
        </w:tc>
      </w:tr>
    </w:tbl>
    <w:p w:rsidR="001C3E00" w:rsidRDefault="001C3E00" w:rsidP="001C3E00">
      <w:pPr>
        <w:tabs>
          <w:tab w:val="left" w:pos="5544"/>
          <w:tab w:val="left" w:pos="6784"/>
        </w:tabs>
        <w:ind w:left="-588"/>
        <w:rPr>
          <w:rFonts w:ascii="Arial" w:hAnsi="Arial" w:cs="Arial"/>
          <w:sz w:val="16"/>
        </w:rPr>
      </w:pPr>
    </w:p>
    <w:p w:rsidR="001C3E00" w:rsidRPr="002A3629" w:rsidRDefault="001C3E00" w:rsidP="001C3E00">
      <w:pPr>
        <w:pStyle w:val="texto"/>
        <w:rPr>
          <w:rFonts w:ascii="GillSans Light" w:hAnsi="GillSans Light" w:cs="Arial"/>
        </w:rPr>
      </w:pPr>
    </w:p>
    <w:p w:rsidR="001C3E00" w:rsidRPr="00EC4DDF" w:rsidRDefault="001C3E00" w:rsidP="001C3E00">
      <w:pPr>
        <w:pStyle w:val="texto"/>
        <w:rPr>
          <w:rFonts w:ascii="Arial" w:hAnsi="Arial" w:cs="Arial"/>
        </w:rPr>
      </w:pPr>
    </w:p>
    <w:p w:rsidR="001C3E00" w:rsidRPr="004D5125" w:rsidRDefault="001C3E00" w:rsidP="001C3E00">
      <w:pPr>
        <w:pStyle w:val="atitulo2"/>
      </w:pPr>
      <w:r>
        <w:br w:type="page"/>
      </w:r>
      <w:bookmarkStart w:id="35" w:name="_Toc442251804"/>
      <w:bookmarkStart w:id="36" w:name="_Toc466629723"/>
      <w:bookmarkStart w:id="37" w:name="_Toc476722773"/>
      <w:r>
        <w:lastRenderedPageBreak/>
        <w:t xml:space="preserve">III.5. </w:t>
      </w:r>
      <w:bookmarkStart w:id="38" w:name="_Toc339016613"/>
      <w:r>
        <w:t>2015eko emaitza ekonomikoaren kontu</w:t>
      </w:r>
      <w:bookmarkEnd w:id="38"/>
      <w:bookmarkEnd w:id="35"/>
      <w:r>
        <w:t>a</w:t>
      </w:r>
      <w:bookmarkEnd w:id="36"/>
      <w:bookmarkEnd w:id="37"/>
    </w:p>
    <w:p w:rsidR="001C3E00" w:rsidRPr="00043A0C" w:rsidRDefault="001C3E00" w:rsidP="001C3E00">
      <w:pPr>
        <w:pStyle w:val="CuadroTtulo"/>
        <w:jc w:val="center"/>
      </w:pPr>
    </w:p>
    <w:tbl>
      <w:tblPr>
        <w:tblW w:w="5304" w:type="pct"/>
        <w:jc w:val="center"/>
        <w:tblLayout w:type="fixed"/>
        <w:tblCellMar>
          <w:left w:w="70" w:type="dxa"/>
          <w:right w:w="70" w:type="dxa"/>
        </w:tblCellMar>
        <w:tblLook w:val="04A0" w:firstRow="1" w:lastRow="0" w:firstColumn="1" w:lastColumn="0" w:noHBand="0" w:noVBand="1"/>
      </w:tblPr>
      <w:tblGrid>
        <w:gridCol w:w="474"/>
        <w:gridCol w:w="2694"/>
        <w:gridCol w:w="705"/>
        <w:gridCol w:w="811"/>
        <w:gridCol w:w="349"/>
        <w:gridCol w:w="53"/>
        <w:gridCol w:w="2764"/>
        <w:gridCol w:w="637"/>
        <w:gridCol w:w="985"/>
      </w:tblGrid>
      <w:tr w:rsidR="001C3E00" w:rsidRPr="00AE0CEF" w:rsidTr="001B17A5">
        <w:trPr>
          <w:trHeight w:val="340"/>
          <w:jc w:val="center"/>
        </w:trPr>
        <w:tc>
          <w:tcPr>
            <w:tcW w:w="2473" w:type="pct"/>
            <w:gridSpan w:val="4"/>
            <w:tcBorders>
              <w:top w:val="single" w:sz="4" w:space="0" w:color="auto"/>
              <w:left w:val="nil"/>
              <w:bottom w:val="single" w:sz="4" w:space="0" w:color="auto"/>
              <w:right w:val="single" w:sz="4" w:space="0" w:color="auto"/>
            </w:tcBorders>
            <w:shd w:val="clear" w:color="auto" w:fill="FABF8F" w:themeFill="accent6" w:themeFillTint="99"/>
            <w:noWrap/>
            <w:vAlign w:val="center"/>
          </w:tcPr>
          <w:p w:rsidR="001C3E00" w:rsidRPr="00AE0CEF" w:rsidRDefault="001C3E00" w:rsidP="00422376">
            <w:pPr>
              <w:pStyle w:val="cuatexto"/>
              <w:tabs>
                <w:tab w:val="clear" w:pos="2835"/>
                <w:tab w:val="clear" w:pos="3969"/>
                <w:tab w:val="clear" w:pos="6237"/>
                <w:tab w:val="clear" w:pos="7371"/>
              </w:tabs>
              <w:jc w:val="right"/>
              <w:rPr>
                <w:rFonts w:ascii="Arial" w:hAnsi="Arial" w:cs="Arial"/>
                <w:sz w:val="17"/>
                <w:szCs w:val="17"/>
              </w:rPr>
            </w:pPr>
            <w:r>
              <w:rPr>
                <w:rFonts w:ascii="Arial" w:hAnsi="Arial"/>
                <w:sz w:val="17"/>
                <w:szCs w:val="17"/>
              </w:rPr>
              <w:t>Zor                                               2014          2015</w:t>
            </w:r>
          </w:p>
        </w:tc>
        <w:tc>
          <w:tcPr>
            <w:tcW w:w="2527" w:type="pct"/>
            <w:gridSpan w:val="5"/>
            <w:tcBorders>
              <w:top w:val="single" w:sz="4" w:space="0" w:color="auto"/>
              <w:left w:val="single" w:sz="4" w:space="0" w:color="auto"/>
              <w:bottom w:val="single" w:sz="4" w:space="0" w:color="auto"/>
              <w:right w:val="nil"/>
            </w:tcBorders>
            <w:shd w:val="clear" w:color="auto" w:fill="FABF8F" w:themeFill="accent6" w:themeFillTint="99"/>
            <w:noWrap/>
            <w:vAlign w:val="center"/>
          </w:tcPr>
          <w:p w:rsidR="001C3E00" w:rsidRPr="00AE0CEF" w:rsidRDefault="001C3E00" w:rsidP="00422376">
            <w:pPr>
              <w:pStyle w:val="cuatexto"/>
              <w:tabs>
                <w:tab w:val="clear" w:pos="7371"/>
              </w:tabs>
              <w:jc w:val="right"/>
              <w:rPr>
                <w:rFonts w:ascii="Arial" w:hAnsi="Arial" w:cs="Arial"/>
                <w:sz w:val="17"/>
                <w:szCs w:val="17"/>
              </w:rPr>
            </w:pPr>
            <w:r>
              <w:rPr>
                <w:rFonts w:ascii="Arial" w:hAnsi="Arial"/>
                <w:sz w:val="17"/>
                <w:szCs w:val="17"/>
              </w:rPr>
              <w:t>Hartzeko                                       2014          2015</w:t>
            </w:r>
          </w:p>
        </w:tc>
      </w:tr>
      <w:tr w:rsidR="00D06870" w:rsidRPr="00AE0CEF" w:rsidTr="001B17A5">
        <w:trPr>
          <w:trHeight w:val="255"/>
          <w:jc w:val="center"/>
        </w:trPr>
        <w:tc>
          <w:tcPr>
            <w:tcW w:w="251" w:type="pct"/>
            <w:tcBorders>
              <w:top w:val="single" w:sz="4" w:space="0" w:color="auto"/>
              <w:left w:val="nil"/>
              <w:bottom w:val="single" w:sz="2" w:space="0" w:color="auto"/>
              <w:right w:val="nil"/>
            </w:tcBorders>
            <w:shd w:val="clear" w:color="auto" w:fill="FFFFFF"/>
            <w:noWrap/>
            <w:vAlign w:val="center"/>
          </w:tcPr>
          <w:p w:rsidR="001C3E00" w:rsidRPr="00AE0CEF" w:rsidRDefault="001C3E00" w:rsidP="00D06870">
            <w:pPr>
              <w:pStyle w:val="cuatexto"/>
              <w:tabs>
                <w:tab w:val="clear" w:pos="2835"/>
              </w:tabs>
              <w:jc w:val="right"/>
              <w:rPr>
                <w:sz w:val="16"/>
                <w:szCs w:val="16"/>
                <w:lang w:val="es-ES" w:eastAsia="es-ES"/>
              </w:rPr>
            </w:pPr>
          </w:p>
        </w:tc>
        <w:tc>
          <w:tcPr>
            <w:tcW w:w="1422" w:type="pct"/>
            <w:tcBorders>
              <w:top w:val="single" w:sz="4" w:space="0" w:color="auto"/>
              <w:left w:val="nil"/>
              <w:bottom w:val="single" w:sz="2" w:space="0" w:color="auto"/>
              <w:right w:val="nil"/>
            </w:tcBorders>
            <w:shd w:val="clear" w:color="auto" w:fill="FFFFFF"/>
            <w:vAlign w:val="center"/>
          </w:tcPr>
          <w:p w:rsidR="001C3E00" w:rsidRPr="001A7F27" w:rsidRDefault="001C3E00" w:rsidP="00D06870">
            <w:pPr>
              <w:pStyle w:val="cuatexto"/>
              <w:tabs>
                <w:tab w:val="clear" w:pos="2835"/>
              </w:tabs>
              <w:rPr>
                <w:sz w:val="16"/>
                <w:szCs w:val="16"/>
              </w:rPr>
            </w:pPr>
            <w:r>
              <w:rPr>
                <w:sz w:val="16"/>
                <w:szCs w:val="16"/>
              </w:rPr>
              <w:t>Deskribapena</w:t>
            </w:r>
          </w:p>
        </w:tc>
        <w:tc>
          <w:tcPr>
            <w:tcW w:w="372" w:type="pct"/>
            <w:tcBorders>
              <w:top w:val="single" w:sz="4" w:space="0" w:color="auto"/>
              <w:left w:val="nil"/>
              <w:bottom w:val="single" w:sz="2" w:space="0" w:color="auto"/>
              <w:right w:val="nil"/>
            </w:tcBorders>
            <w:shd w:val="clear" w:color="auto" w:fill="FFFFFF"/>
            <w:noWrap/>
            <w:vAlign w:val="center"/>
          </w:tcPr>
          <w:p w:rsidR="001C3E00" w:rsidRPr="00562C02" w:rsidRDefault="001C3E00" w:rsidP="00D06870">
            <w:pPr>
              <w:pStyle w:val="cuatexto"/>
              <w:tabs>
                <w:tab w:val="clear" w:pos="2835"/>
                <w:tab w:val="clear" w:pos="3969"/>
                <w:tab w:val="clear" w:pos="6237"/>
                <w:tab w:val="clear" w:pos="7371"/>
              </w:tabs>
              <w:jc w:val="right"/>
              <w:rPr>
                <w:szCs w:val="20"/>
                <w:lang w:val="es-ES" w:eastAsia="es-ES"/>
              </w:rPr>
            </w:pPr>
          </w:p>
        </w:tc>
        <w:tc>
          <w:tcPr>
            <w:tcW w:w="427" w:type="pct"/>
            <w:tcBorders>
              <w:top w:val="single" w:sz="4" w:space="0" w:color="auto"/>
              <w:left w:val="nil"/>
              <w:bottom w:val="single" w:sz="2" w:space="0" w:color="auto"/>
              <w:right w:val="single" w:sz="4" w:space="0" w:color="auto"/>
            </w:tcBorders>
            <w:shd w:val="clear" w:color="auto" w:fill="FFFFFF"/>
            <w:noWrap/>
            <w:vAlign w:val="center"/>
          </w:tcPr>
          <w:p w:rsidR="001C3E00" w:rsidRPr="00562C02" w:rsidRDefault="001C3E00" w:rsidP="00D06870">
            <w:pPr>
              <w:pStyle w:val="cuatexto"/>
              <w:tabs>
                <w:tab w:val="clear" w:pos="2835"/>
                <w:tab w:val="clear" w:pos="3969"/>
                <w:tab w:val="clear" w:pos="6237"/>
                <w:tab w:val="clear" w:pos="7371"/>
              </w:tabs>
              <w:jc w:val="right"/>
              <w:rPr>
                <w:szCs w:val="20"/>
                <w:lang w:val="es-ES" w:eastAsia="es-ES"/>
              </w:rPr>
            </w:pPr>
          </w:p>
        </w:tc>
        <w:tc>
          <w:tcPr>
            <w:tcW w:w="184" w:type="pct"/>
            <w:tcBorders>
              <w:top w:val="single" w:sz="4" w:space="0" w:color="auto"/>
              <w:left w:val="nil"/>
              <w:bottom w:val="single" w:sz="2" w:space="0" w:color="auto"/>
              <w:right w:val="nil"/>
            </w:tcBorders>
            <w:shd w:val="clear" w:color="auto" w:fill="FFFFFF"/>
            <w:noWrap/>
            <w:vAlign w:val="center"/>
          </w:tcPr>
          <w:p w:rsidR="001C3E00" w:rsidRPr="00AE0CEF" w:rsidRDefault="001C3E00" w:rsidP="00D06870">
            <w:pPr>
              <w:pStyle w:val="cuatexto"/>
              <w:tabs>
                <w:tab w:val="clear" w:pos="7371"/>
              </w:tabs>
              <w:jc w:val="left"/>
              <w:rPr>
                <w:sz w:val="16"/>
                <w:szCs w:val="16"/>
                <w:highlight w:val="yellow"/>
                <w:lang w:val="es-ES" w:eastAsia="es-ES"/>
              </w:rPr>
            </w:pPr>
          </w:p>
        </w:tc>
        <w:tc>
          <w:tcPr>
            <w:tcW w:w="1487" w:type="pct"/>
            <w:gridSpan w:val="2"/>
            <w:tcBorders>
              <w:top w:val="single" w:sz="4" w:space="0" w:color="auto"/>
              <w:left w:val="nil"/>
              <w:bottom w:val="single" w:sz="2" w:space="0" w:color="auto"/>
              <w:right w:val="nil"/>
            </w:tcBorders>
            <w:shd w:val="clear" w:color="auto" w:fill="FFFFFF"/>
            <w:vAlign w:val="center"/>
          </w:tcPr>
          <w:p w:rsidR="001C3E00" w:rsidRPr="00AE0CEF" w:rsidRDefault="001C3E00" w:rsidP="00D06870">
            <w:pPr>
              <w:pStyle w:val="cuatexto"/>
              <w:tabs>
                <w:tab w:val="clear" w:pos="7371"/>
              </w:tabs>
              <w:jc w:val="left"/>
              <w:rPr>
                <w:sz w:val="16"/>
                <w:szCs w:val="16"/>
              </w:rPr>
            </w:pPr>
            <w:r>
              <w:rPr>
                <w:sz w:val="16"/>
                <w:szCs w:val="16"/>
              </w:rPr>
              <w:t xml:space="preserve"> Deskribapena</w:t>
            </w:r>
          </w:p>
        </w:tc>
        <w:tc>
          <w:tcPr>
            <w:tcW w:w="336" w:type="pct"/>
            <w:tcBorders>
              <w:top w:val="single" w:sz="4" w:space="0" w:color="auto"/>
              <w:left w:val="nil"/>
              <w:bottom w:val="single" w:sz="2" w:space="0" w:color="auto"/>
              <w:right w:val="nil"/>
            </w:tcBorders>
            <w:shd w:val="clear" w:color="auto" w:fill="FFFFFF"/>
            <w:noWrap/>
            <w:vAlign w:val="center"/>
          </w:tcPr>
          <w:p w:rsidR="001C3E00" w:rsidRPr="00AE0CEF" w:rsidRDefault="001C3E00" w:rsidP="00D06870">
            <w:pPr>
              <w:pStyle w:val="cuatexto"/>
              <w:tabs>
                <w:tab w:val="clear" w:pos="7371"/>
              </w:tabs>
              <w:jc w:val="right"/>
              <w:rPr>
                <w:sz w:val="16"/>
                <w:szCs w:val="16"/>
                <w:lang w:val="es-ES" w:eastAsia="es-ES"/>
              </w:rPr>
            </w:pPr>
          </w:p>
        </w:tc>
        <w:tc>
          <w:tcPr>
            <w:tcW w:w="520" w:type="pct"/>
            <w:tcBorders>
              <w:top w:val="single" w:sz="4" w:space="0" w:color="auto"/>
              <w:left w:val="nil"/>
              <w:bottom w:val="single" w:sz="2" w:space="0" w:color="auto"/>
              <w:right w:val="nil"/>
            </w:tcBorders>
            <w:shd w:val="clear" w:color="auto" w:fill="FFFFFF"/>
            <w:noWrap/>
            <w:vAlign w:val="center"/>
          </w:tcPr>
          <w:p w:rsidR="001C3E00" w:rsidRPr="00AE0CEF" w:rsidRDefault="001C3E00" w:rsidP="00D06870">
            <w:pPr>
              <w:pStyle w:val="cuatexto"/>
              <w:tabs>
                <w:tab w:val="clear" w:pos="7371"/>
              </w:tabs>
              <w:jc w:val="right"/>
              <w:rPr>
                <w:sz w:val="16"/>
                <w:szCs w:val="16"/>
                <w:lang w:val="es-ES" w:eastAsia="es-ES"/>
              </w:rPr>
            </w:pPr>
          </w:p>
        </w:tc>
      </w:tr>
      <w:tr w:rsidR="001C3E00"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2835"/>
              </w:tabs>
              <w:jc w:val="right"/>
              <w:rPr>
                <w:sz w:val="16"/>
                <w:szCs w:val="16"/>
              </w:rPr>
            </w:pPr>
            <w:r>
              <w:rPr>
                <w:sz w:val="16"/>
                <w:szCs w:val="16"/>
              </w:rPr>
              <w:t>61</w:t>
            </w:r>
          </w:p>
        </w:tc>
        <w:tc>
          <w:tcPr>
            <w:tcW w:w="142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rPr>
                <w:sz w:val="16"/>
                <w:szCs w:val="16"/>
              </w:rPr>
            </w:pPr>
            <w:r>
              <w:rPr>
                <w:sz w:val="16"/>
                <w:szCs w:val="16"/>
              </w:rPr>
              <w:t>Langile-gastuak</w:t>
            </w:r>
          </w:p>
        </w:tc>
        <w:tc>
          <w:tcPr>
            <w:tcW w:w="37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16.488</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16.647</w:t>
            </w:r>
          </w:p>
        </w:tc>
        <w:tc>
          <w:tcPr>
            <w:tcW w:w="212" w:type="pct"/>
            <w:gridSpan w:val="2"/>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center"/>
              <w:rPr>
                <w:sz w:val="16"/>
                <w:szCs w:val="16"/>
              </w:rPr>
            </w:pPr>
            <w:r>
              <w:rPr>
                <w:sz w:val="16"/>
                <w:szCs w:val="16"/>
              </w:rPr>
              <w:t>70</w:t>
            </w:r>
          </w:p>
        </w:tc>
        <w:tc>
          <w:tcPr>
            <w:tcW w:w="1459"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rPr>
                <w:sz w:val="16"/>
                <w:szCs w:val="16"/>
              </w:rPr>
            </w:pPr>
            <w:r>
              <w:rPr>
                <w:sz w:val="16"/>
                <w:szCs w:val="16"/>
              </w:rPr>
              <w:t>Salmentak</w:t>
            </w:r>
          </w:p>
        </w:tc>
        <w:tc>
          <w:tcPr>
            <w:tcW w:w="336"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133.245</w:t>
            </w:r>
          </w:p>
        </w:tc>
        <w:tc>
          <w:tcPr>
            <w:tcW w:w="520"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182.479</w:t>
            </w:r>
          </w:p>
        </w:tc>
      </w:tr>
      <w:tr w:rsidR="001C3E00"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2835"/>
              </w:tabs>
              <w:jc w:val="right"/>
              <w:rPr>
                <w:sz w:val="16"/>
                <w:szCs w:val="16"/>
              </w:rPr>
            </w:pPr>
            <w:r>
              <w:rPr>
                <w:sz w:val="16"/>
                <w:szCs w:val="16"/>
              </w:rPr>
              <w:t>62</w:t>
            </w:r>
          </w:p>
        </w:tc>
        <w:tc>
          <w:tcPr>
            <w:tcW w:w="142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rPr>
                <w:sz w:val="16"/>
                <w:szCs w:val="16"/>
              </w:rPr>
            </w:pPr>
            <w:r>
              <w:rPr>
                <w:sz w:val="16"/>
                <w:szCs w:val="16"/>
              </w:rPr>
              <w:t>Finantza-gastuak</w:t>
            </w:r>
          </w:p>
        </w:tc>
        <w:tc>
          <w:tcPr>
            <w:tcW w:w="37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center"/>
              <w:rPr>
                <w:sz w:val="16"/>
                <w:szCs w:val="16"/>
              </w:rPr>
            </w:pPr>
            <w:r>
              <w:rPr>
                <w:sz w:val="16"/>
                <w:szCs w:val="16"/>
              </w:rPr>
              <w:t>71</w:t>
            </w:r>
          </w:p>
        </w:tc>
        <w:tc>
          <w:tcPr>
            <w:tcW w:w="1459"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rPr>
                <w:sz w:val="16"/>
                <w:szCs w:val="16"/>
              </w:rPr>
            </w:pPr>
            <w:r>
              <w:rPr>
                <w:sz w:val="16"/>
                <w:szCs w:val="16"/>
              </w:rPr>
              <w:t>Ondasunaren eta enpresaren errenta</w:t>
            </w:r>
          </w:p>
        </w:tc>
        <w:tc>
          <w:tcPr>
            <w:tcW w:w="336"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4.621</w:t>
            </w:r>
          </w:p>
        </w:tc>
        <w:tc>
          <w:tcPr>
            <w:tcW w:w="520"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41.924</w:t>
            </w:r>
          </w:p>
        </w:tc>
      </w:tr>
      <w:tr w:rsidR="001C3E00"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2835"/>
              </w:tabs>
              <w:jc w:val="right"/>
              <w:rPr>
                <w:sz w:val="16"/>
                <w:szCs w:val="16"/>
              </w:rPr>
            </w:pPr>
            <w:r>
              <w:rPr>
                <w:sz w:val="16"/>
                <w:szCs w:val="16"/>
              </w:rPr>
              <w:t>64</w:t>
            </w:r>
          </w:p>
        </w:tc>
        <w:tc>
          <w:tcPr>
            <w:tcW w:w="142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rPr>
                <w:sz w:val="16"/>
                <w:szCs w:val="16"/>
              </w:rPr>
            </w:pPr>
            <w:r>
              <w:rPr>
                <w:sz w:val="16"/>
                <w:szCs w:val="16"/>
              </w:rPr>
              <w:t>Lanak, zuzkidurak eta kanpoko zerb</w:t>
            </w:r>
            <w:r>
              <w:rPr>
                <w:sz w:val="16"/>
                <w:szCs w:val="16"/>
              </w:rPr>
              <w:t>i</w:t>
            </w:r>
            <w:r>
              <w:rPr>
                <w:sz w:val="16"/>
                <w:szCs w:val="16"/>
              </w:rPr>
              <w:t>tzuak</w:t>
            </w:r>
          </w:p>
        </w:tc>
        <w:tc>
          <w:tcPr>
            <w:tcW w:w="37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176.800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130.349</w:t>
            </w:r>
          </w:p>
        </w:tc>
        <w:tc>
          <w:tcPr>
            <w:tcW w:w="212" w:type="pct"/>
            <w:gridSpan w:val="2"/>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center"/>
              <w:rPr>
                <w:sz w:val="16"/>
                <w:szCs w:val="16"/>
              </w:rPr>
            </w:pPr>
            <w:r>
              <w:rPr>
                <w:sz w:val="16"/>
                <w:szCs w:val="16"/>
              </w:rPr>
              <w:t>72</w:t>
            </w:r>
          </w:p>
        </w:tc>
        <w:tc>
          <w:tcPr>
            <w:tcW w:w="1459"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rPr>
                <w:sz w:val="16"/>
                <w:szCs w:val="16"/>
              </w:rPr>
            </w:pPr>
            <w:r>
              <w:rPr>
                <w:sz w:val="16"/>
                <w:szCs w:val="16"/>
              </w:rPr>
              <w:t>Produkzioari eta inportazioari lotutako tributuak</w:t>
            </w:r>
          </w:p>
        </w:tc>
        <w:tc>
          <w:tcPr>
            <w:tcW w:w="336"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0</w:t>
            </w:r>
          </w:p>
        </w:tc>
        <w:tc>
          <w:tcPr>
            <w:tcW w:w="520"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0</w:t>
            </w:r>
          </w:p>
        </w:tc>
      </w:tr>
      <w:tr w:rsidR="001C3E00"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67</w:t>
            </w:r>
          </w:p>
        </w:tc>
        <w:tc>
          <w:tcPr>
            <w:tcW w:w="142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rPr>
                <w:sz w:val="16"/>
                <w:szCs w:val="16"/>
              </w:rPr>
            </w:pPr>
            <w:r>
              <w:rPr>
                <w:sz w:val="16"/>
                <w:szCs w:val="16"/>
              </w:rPr>
              <w:t>Transferentzia arruntak</w:t>
            </w:r>
          </w:p>
        </w:tc>
        <w:tc>
          <w:tcPr>
            <w:tcW w:w="37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1.666</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4.088</w:t>
            </w:r>
          </w:p>
        </w:tc>
        <w:tc>
          <w:tcPr>
            <w:tcW w:w="212" w:type="pct"/>
            <w:gridSpan w:val="2"/>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center"/>
              <w:rPr>
                <w:sz w:val="16"/>
                <w:szCs w:val="16"/>
              </w:rPr>
            </w:pPr>
            <w:r>
              <w:rPr>
                <w:sz w:val="16"/>
                <w:szCs w:val="16"/>
              </w:rPr>
              <w:t>73</w:t>
            </w:r>
          </w:p>
        </w:tc>
        <w:tc>
          <w:tcPr>
            <w:tcW w:w="1459"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rPr>
                <w:sz w:val="16"/>
                <w:szCs w:val="16"/>
              </w:rPr>
            </w:pPr>
            <w:r>
              <w:rPr>
                <w:sz w:val="16"/>
                <w:szCs w:val="16"/>
              </w:rPr>
              <w:t>Ohiko zergak</w:t>
            </w:r>
          </w:p>
        </w:tc>
        <w:tc>
          <w:tcPr>
            <w:tcW w:w="336"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0</w:t>
            </w:r>
          </w:p>
        </w:tc>
        <w:tc>
          <w:tcPr>
            <w:tcW w:w="520"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0</w:t>
            </w:r>
          </w:p>
        </w:tc>
      </w:tr>
      <w:tr w:rsidR="001C3E00"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2835"/>
              </w:tabs>
              <w:jc w:val="right"/>
              <w:rPr>
                <w:sz w:val="16"/>
                <w:szCs w:val="16"/>
              </w:rPr>
            </w:pPr>
            <w:r>
              <w:rPr>
                <w:sz w:val="16"/>
                <w:szCs w:val="16"/>
              </w:rPr>
              <w:t>68</w:t>
            </w:r>
          </w:p>
        </w:tc>
        <w:tc>
          <w:tcPr>
            <w:tcW w:w="142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rPr>
                <w:sz w:val="16"/>
                <w:szCs w:val="16"/>
              </w:rPr>
            </w:pPr>
            <w:r>
              <w:rPr>
                <w:sz w:val="16"/>
                <w:szCs w:val="16"/>
              </w:rPr>
              <w:t>Kapital-transferentziak</w:t>
            </w:r>
          </w:p>
        </w:tc>
        <w:tc>
          <w:tcPr>
            <w:tcW w:w="37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center"/>
              <w:rPr>
                <w:sz w:val="16"/>
                <w:szCs w:val="16"/>
              </w:rPr>
            </w:pPr>
            <w:r>
              <w:rPr>
                <w:sz w:val="16"/>
                <w:szCs w:val="16"/>
              </w:rPr>
              <w:t>76</w:t>
            </w:r>
          </w:p>
        </w:tc>
        <w:tc>
          <w:tcPr>
            <w:tcW w:w="1459"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rPr>
                <w:sz w:val="16"/>
                <w:szCs w:val="16"/>
              </w:rPr>
            </w:pPr>
            <w:r>
              <w:rPr>
                <w:sz w:val="16"/>
                <w:szCs w:val="16"/>
              </w:rPr>
              <w:t>Transferentzia arruntak</w:t>
            </w:r>
          </w:p>
        </w:tc>
        <w:tc>
          <w:tcPr>
            <w:tcW w:w="336"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67.823</w:t>
            </w:r>
          </w:p>
        </w:tc>
        <w:tc>
          <w:tcPr>
            <w:tcW w:w="520"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60.652</w:t>
            </w:r>
          </w:p>
        </w:tc>
      </w:tr>
      <w:tr w:rsidR="001C3E00"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2835"/>
              </w:tabs>
              <w:jc w:val="right"/>
              <w:rPr>
                <w:sz w:val="16"/>
                <w:szCs w:val="16"/>
              </w:rPr>
            </w:pPr>
            <w:r>
              <w:rPr>
                <w:sz w:val="16"/>
                <w:szCs w:val="16"/>
              </w:rPr>
              <w:t>69</w:t>
            </w:r>
          </w:p>
        </w:tc>
        <w:tc>
          <w:tcPr>
            <w:tcW w:w="142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rPr>
                <w:sz w:val="16"/>
                <w:szCs w:val="16"/>
              </w:rPr>
            </w:pPr>
            <w:r>
              <w:rPr>
                <w:sz w:val="16"/>
                <w:szCs w:val="16"/>
              </w:rPr>
              <w:t>Kalkulatutako gastuak</w:t>
            </w:r>
          </w:p>
        </w:tc>
        <w:tc>
          <w:tcPr>
            <w:tcW w:w="372" w:type="pct"/>
            <w:tcBorders>
              <w:top w:val="single" w:sz="2" w:space="0" w:color="auto"/>
              <w:left w:val="nil"/>
              <w:bottom w:val="single" w:sz="2" w:space="0" w:color="auto"/>
              <w:right w:val="nil"/>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C3E00" w:rsidRPr="001A7F27" w:rsidRDefault="001C3E00"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center"/>
              <w:rPr>
                <w:sz w:val="16"/>
                <w:szCs w:val="16"/>
              </w:rPr>
            </w:pPr>
            <w:r>
              <w:rPr>
                <w:sz w:val="16"/>
                <w:szCs w:val="16"/>
              </w:rPr>
              <w:t>77</w:t>
            </w:r>
          </w:p>
        </w:tc>
        <w:tc>
          <w:tcPr>
            <w:tcW w:w="1459"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rPr>
                <w:sz w:val="16"/>
                <w:szCs w:val="16"/>
              </w:rPr>
            </w:pPr>
            <w:r>
              <w:rPr>
                <w:sz w:val="16"/>
                <w:szCs w:val="16"/>
              </w:rPr>
              <w:t>Kapitalaren gaineko zergak</w:t>
            </w:r>
          </w:p>
        </w:tc>
        <w:tc>
          <w:tcPr>
            <w:tcW w:w="336"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0</w:t>
            </w:r>
          </w:p>
        </w:tc>
        <w:tc>
          <w:tcPr>
            <w:tcW w:w="520" w:type="pct"/>
            <w:tcBorders>
              <w:top w:val="single" w:sz="2" w:space="0" w:color="auto"/>
              <w:left w:val="nil"/>
              <w:bottom w:val="single" w:sz="2" w:space="0" w:color="auto"/>
              <w:right w:val="nil"/>
            </w:tcBorders>
            <w:shd w:val="clear" w:color="auto" w:fill="auto"/>
            <w:noWrap/>
            <w:vAlign w:val="center"/>
          </w:tcPr>
          <w:p w:rsidR="001C3E00" w:rsidRPr="00AE0CEF" w:rsidRDefault="001C3E00" w:rsidP="00D06870">
            <w:pPr>
              <w:pStyle w:val="cuatexto"/>
              <w:tabs>
                <w:tab w:val="clear" w:pos="7371"/>
              </w:tabs>
              <w:jc w:val="right"/>
              <w:rPr>
                <w:sz w:val="16"/>
                <w:szCs w:val="16"/>
              </w:rPr>
            </w:pPr>
            <w:r>
              <w:rPr>
                <w:sz w:val="16"/>
                <w:szCs w:val="16"/>
              </w:rPr>
              <w:t>0</w:t>
            </w:r>
          </w:p>
        </w:tc>
      </w:tr>
      <w:tr w:rsidR="00C47C77"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C47C77" w:rsidRDefault="00C47C77" w:rsidP="00D06870">
            <w:pPr>
              <w:pStyle w:val="cuatexto"/>
              <w:tabs>
                <w:tab w:val="clear" w:pos="2835"/>
              </w:tabs>
              <w:jc w:val="right"/>
              <w:rPr>
                <w:sz w:val="16"/>
                <w:szCs w:val="16"/>
                <w:lang w:val="es-ES" w:eastAsia="es-ES"/>
              </w:rPr>
            </w:pPr>
          </w:p>
        </w:tc>
        <w:tc>
          <w:tcPr>
            <w:tcW w:w="1422" w:type="pct"/>
            <w:tcBorders>
              <w:top w:val="single" w:sz="2" w:space="0" w:color="auto"/>
              <w:left w:val="nil"/>
              <w:bottom w:val="single" w:sz="2" w:space="0" w:color="auto"/>
              <w:right w:val="nil"/>
            </w:tcBorders>
            <w:shd w:val="clear" w:color="auto" w:fill="auto"/>
            <w:noWrap/>
            <w:vAlign w:val="center"/>
          </w:tcPr>
          <w:p w:rsidR="00C47C77" w:rsidRPr="001A7F27" w:rsidRDefault="00C47C77" w:rsidP="00D06870">
            <w:pPr>
              <w:pStyle w:val="cuatexto"/>
              <w:tabs>
                <w:tab w:val="clear" w:pos="2835"/>
              </w:tabs>
              <w:rPr>
                <w:sz w:val="16"/>
                <w:szCs w:val="16"/>
                <w:lang w:val="es-ES" w:eastAsia="es-ES"/>
              </w:rPr>
            </w:pPr>
          </w:p>
        </w:tc>
        <w:tc>
          <w:tcPr>
            <w:tcW w:w="372" w:type="pct"/>
            <w:tcBorders>
              <w:top w:val="single" w:sz="2" w:space="0" w:color="auto"/>
              <w:left w:val="nil"/>
              <w:bottom w:val="single" w:sz="2" w:space="0" w:color="auto"/>
              <w:right w:val="nil"/>
            </w:tcBorders>
            <w:shd w:val="clear" w:color="auto" w:fill="auto"/>
            <w:noWrap/>
            <w:vAlign w:val="center"/>
          </w:tcPr>
          <w:p w:rsidR="00C47C77" w:rsidRPr="001A7F27" w:rsidRDefault="00C47C77" w:rsidP="00D06870">
            <w:pPr>
              <w:pStyle w:val="cuatexto"/>
              <w:tabs>
                <w:tab w:val="clear" w:pos="2835"/>
              </w:tabs>
              <w:jc w:val="right"/>
              <w:rPr>
                <w:sz w:val="16"/>
                <w:szCs w:val="16"/>
                <w:lang w:val="es-ES" w:eastAsia="es-ES"/>
              </w:rPr>
            </w:pP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C47C77" w:rsidRPr="001A7F27" w:rsidRDefault="00C47C77" w:rsidP="00D06870">
            <w:pPr>
              <w:pStyle w:val="cuatexto"/>
              <w:tabs>
                <w:tab w:val="clear" w:pos="2835"/>
              </w:tabs>
              <w:jc w:val="right"/>
              <w:rPr>
                <w:sz w:val="16"/>
                <w:szCs w:val="16"/>
                <w:lang w:val="es-ES" w:eastAsia="es-ES"/>
              </w:rPr>
            </w:pPr>
          </w:p>
        </w:tc>
        <w:tc>
          <w:tcPr>
            <w:tcW w:w="212" w:type="pct"/>
            <w:gridSpan w:val="2"/>
            <w:tcBorders>
              <w:top w:val="single" w:sz="2" w:space="0" w:color="auto"/>
              <w:left w:val="nil"/>
              <w:bottom w:val="single" w:sz="2" w:space="0" w:color="auto"/>
              <w:right w:val="nil"/>
            </w:tcBorders>
            <w:shd w:val="clear" w:color="auto" w:fill="auto"/>
            <w:noWrap/>
            <w:vAlign w:val="center"/>
          </w:tcPr>
          <w:p w:rsidR="00C47C77" w:rsidRDefault="00C47C77" w:rsidP="00D06870">
            <w:pPr>
              <w:pStyle w:val="cuatexto"/>
              <w:tabs>
                <w:tab w:val="clear" w:pos="7371"/>
              </w:tabs>
              <w:jc w:val="center"/>
              <w:rPr>
                <w:sz w:val="16"/>
                <w:szCs w:val="16"/>
                <w:lang w:val="es-ES" w:eastAsia="es-ES"/>
              </w:rPr>
            </w:pPr>
          </w:p>
        </w:tc>
        <w:tc>
          <w:tcPr>
            <w:tcW w:w="1459" w:type="pct"/>
            <w:tcBorders>
              <w:top w:val="single" w:sz="2" w:space="0" w:color="auto"/>
              <w:left w:val="nil"/>
              <w:bottom w:val="single" w:sz="2" w:space="0" w:color="auto"/>
              <w:right w:val="nil"/>
            </w:tcBorders>
            <w:shd w:val="clear" w:color="auto" w:fill="auto"/>
            <w:noWrap/>
            <w:vAlign w:val="center"/>
          </w:tcPr>
          <w:p w:rsidR="00C47C77" w:rsidRDefault="00C47C77" w:rsidP="00D06870">
            <w:pPr>
              <w:pStyle w:val="cuatexto"/>
              <w:tabs>
                <w:tab w:val="clear" w:pos="7371"/>
              </w:tabs>
              <w:rPr>
                <w:sz w:val="16"/>
                <w:szCs w:val="16"/>
                <w:lang w:val="es-ES" w:eastAsia="es-ES"/>
              </w:rPr>
            </w:pPr>
          </w:p>
        </w:tc>
        <w:tc>
          <w:tcPr>
            <w:tcW w:w="336" w:type="pct"/>
            <w:tcBorders>
              <w:top w:val="single" w:sz="2" w:space="0" w:color="auto"/>
              <w:left w:val="nil"/>
              <w:bottom w:val="single" w:sz="2" w:space="0" w:color="auto"/>
              <w:right w:val="nil"/>
            </w:tcBorders>
            <w:shd w:val="clear" w:color="auto" w:fill="auto"/>
            <w:noWrap/>
            <w:vAlign w:val="center"/>
          </w:tcPr>
          <w:p w:rsidR="00C47C77" w:rsidRDefault="00C47C77" w:rsidP="00D06870">
            <w:pPr>
              <w:pStyle w:val="cuatexto"/>
              <w:tabs>
                <w:tab w:val="clear" w:pos="7371"/>
              </w:tabs>
              <w:jc w:val="right"/>
              <w:rPr>
                <w:sz w:val="16"/>
                <w:szCs w:val="16"/>
                <w:lang w:val="es-ES" w:eastAsia="es-ES"/>
              </w:rPr>
            </w:pPr>
          </w:p>
        </w:tc>
        <w:tc>
          <w:tcPr>
            <w:tcW w:w="520" w:type="pct"/>
            <w:tcBorders>
              <w:top w:val="single" w:sz="2" w:space="0" w:color="auto"/>
              <w:left w:val="nil"/>
              <w:bottom w:val="single" w:sz="2" w:space="0" w:color="auto"/>
              <w:right w:val="nil"/>
            </w:tcBorders>
            <w:shd w:val="clear" w:color="auto" w:fill="auto"/>
            <w:noWrap/>
            <w:vAlign w:val="center"/>
          </w:tcPr>
          <w:p w:rsidR="00C47C77" w:rsidRDefault="00C47C77" w:rsidP="00D06870">
            <w:pPr>
              <w:pStyle w:val="cuatexto"/>
              <w:tabs>
                <w:tab w:val="clear" w:pos="7371"/>
              </w:tabs>
              <w:jc w:val="right"/>
              <w:rPr>
                <w:sz w:val="16"/>
                <w:szCs w:val="16"/>
                <w:lang w:val="es-ES" w:eastAsia="es-ES"/>
              </w:rPr>
            </w:pPr>
          </w:p>
        </w:tc>
      </w:tr>
      <w:tr w:rsidR="001A7F27"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2835"/>
              </w:tabs>
              <w:jc w:val="right"/>
              <w:rPr>
                <w:sz w:val="16"/>
                <w:szCs w:val="16"/>
              </w:rPr>
            </w:pPr>
            <w:r>
              <w:rPr>
                <w:sz w:val="16"/>
                <w:szCs w:val="16"/>
              </w:rPr>
              <w:t>D80</w:t>
            </w:r>
          </w:p>
        </w:tc>
        <w:tc>
          <w:tcPr>
            <w:tcW w:w="142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rPr>
                <w:sz w:val="16"/>
                <w:szCs w:val="16"/>
              </w:rPr>
            </w:pPr>
            <w:r>
              <w:rPr>
                <w:sz w:val="16"/>
                <w:szCs w:val="16"/>
              </w:rPr>
              <w:t>Ekitaldiko emaitza negatibo arrunta</w:t>
            </w:r>
          </w:p>
        </w:tc>
        <w:tc>
          <w:tcPr>
            <w:tcW w:w="37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center"/>
              <w:rPr>
                <w:sz w:val="16"/>
                <w:szCs w:val="16"/>
              </w:rPr>
            </w:pPr>
            <w:r>
              <w:rPr>
                <w:sz w:val="16"/>
                <w:szCs w:val="16"/>
              </w:rPr>
              <w:t>H80</w:t>
            </w:r>
          </w:p>
        </w:tc>
        <w:tc>
          <w:tcPr>
            <w:tcW w:w="1459"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rPr>
                <w:sz w:val="16"/>
                <w:szCs w:val="16"/>
              </w:rPr>
            </w:pPr>
            <w:r>
              <w:rPr>
                <w:sz w:val="16"/>
                <w:szCs w:val="16"/>
              </w:rPr>
              <w:t>Ekitaldiko emaitza arrunta.</w:t>
            </w:r>
          </w:p>
        </w:tc>
        <w:tc>
          <w:tcPr>
            <w:tcW w:w="336"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10.734</w:t>
            </w:r>
          </w:p>
        </w:tc>
        <w:tc>
          <w:tcPr>
            <w:tcW w:w="520"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133.972</w:t>
            </w:r>
          </w:p>
        </w:tc>
      </w:tr>
      <w:tr w:rsidR="001A7F27"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2835"/>
              </w:tabs>
              <w:jc w:val="right"/>
              <w:rPr>
                <w:sz w:val="16"/>
                <w:szCs w:val="16"/>
              </w:rPr>
            </w:pPr>
            <w:r>
              <w:rPr>
                <w:sz w:val="16"/>
                <w:szCs w:val="16"/>
              </w:rPr>
              <w:t>D82</w:t>
            </w:r>
          </w:p>
        </w:tc>
        <w:tc>
          <w:tcPr>
            <w:tcW w:w="142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rPr>
                <w:sz w:val="16"/>
                <w:szCs w:val="16"/>
              </w:rPr>
            </w:pPr>
            <w:r>
              <w:rPr>
                <w:sz w:val="16"/>
                <w:szCs w:val="16"/>
              </w:rPr>
              <w:t>Inbertsioen salmentarengatiko galerak eta aparteko bestelako galerak</w:t>
            </w:r>
          </w:p>
        </w:tc>
        <w:tc>
          <w:tcPr>
            <w:tcW w:w="37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A7F27" w:rsidRPr="001A7F27" w:rsidRDefault="00D07440"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center"/>
              <w:rPr>
                <w:sz w:val="16"/>
                <w:szCs w:val="16"/>
              </w:rPr>
            </w:pPr>
            <w:r>
              <w:rPr>
                <w:sz w:val="16"/>
                <w:szCs w:val="16"/>
              </w:rPr>
              <w:t>H82</w:t>
            </w:r>
          </w:p>
        </w:tc>
        <w:tc>
          <w:tcPr>
            <w:tcW w:w="1459"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rPr>
                <w:sz w:val="16"/>
                <w:szCs w:val="16"/>
              </w:rPr>
            </w:pPr>
            <w:r>
              <w:rPr>
                <w:sz w:val="16"/>
                <w:szCs w:val="16"/>
              </w:rPr>
              <w:t>Inbertsioen besterentzearengatiko irab</w:t>
            </w:r>
            <w:r>
              <w:rPr>
                <w:sz w:val="16"/>
                <w:szCs w:val="16"/>
              </w:rPr>
              <w:t>a</w:t>
            </w:r>
            <w:r>
              <w:rPr>
                <w:sz w:val="16"/>
                <w:szCs w:val="16"/>
              </w:rPr>
              <w:t>ziak</w:t>
            </w:r>
          </w:p>
        </w:tc>
        <w:tc>
          <w:tcPr>
            <w:tcW w:w="336"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0</w:t>
            </w:r>
          </w:p>
        </w:tc>
        <w:tc>
          <w:tcPr>
            <w:tcW w:w="520"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0</w:t>
            </w:r>
          </w:p>
        </w:tc>
      </w:tr>
      <w:tr w:rsidR="001A7F27"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D83</w:t>
            </w:r>
          </w:p>
        </w:tc>
        <w:tc>
          <w:tcPr>
            <w:tcW w:w="142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rPr>
                <w:sz w:val="16"/>
                <w:szCs w:val="16"/>
              </w:rPr>
            </w:pPr>
            <w:r>
              <w:rPr>
                <w:sz w:val="16"/>
                <w:szCs w:val="16"/>
              </w:rPr>
              <w:t>Finantza aktiboen salmentaren galerak</w:t>
            </w:r>
          </w:p>
        </w:tc>
        <w:tc>
          <w:tcPr>
            <w:tcW w:w="37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center"/>
              <w:rPr>
                <w:sz w:val="16"/>
                <w:szCs w:val="16"/>
              </w:rPr>
            </w:pPr>
            <w:r>
              <w:rPr>
                <w:sz w:val="16"/>
                <w:szCs w:val="16"/>
              </w:rPr>
              <w:t>H83</w:t>
            </w:r>
          </w:p>
        </w:tc>
        <w:tc>
          <w:tcPr>
            <w:tcW w:w="1459"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rPr>
                <w:sz w:val="16"/>
                <w:szCs w:val="16"/>
              </w:rPr>
            </w:pPr>
            <w:r>
              <w:rPr>
                <w:sz w:val="16"/>
                <w:szCs w:val="16"/>
              </w:rPr>
              <w:t>Finantza aktiboen salmentaren irabaziak</w:t>
            </w:r>
          </w:p>
        </w:tc>
        <w:tc>
          <w:tcPr>
            <w:tcW w:w="336"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0</w:t>
            </w:r>
          </w:p>
        </w:tc>
        <w:tc>
          <w:tcPr>
            <w:tcW w:w="520"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0</w:t>
            </w:r>
          </w:p>
        </w:tc>
      </w:tr>
      <w:tr w:rsidR="001A7F27" w:rsidRPr="00AE0CEF" w:rsidTr="001B17A5">
        <w:trPr>
          <w:trHeight w:val="255"/>
          <w:jc w:val="center"/>
        </w:trPr>
        <w:tc>
          <w:tcPr>
            <w:tcW w:w="251"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2835"/>
              </w:tabs>
              <w:jc w:val="right"/>
              <w:rPr>
                <w:sz w:val="16"/>
                <w:szCs w:val="16"/>
              </w:rPr>
            </w:pPr>
            <w:r>
              <w:rPr>
                <w:sz w:val="16"/>
                <w:szCs w:val="16"/>
              </w:rPr>
              <w:t>D84</w:t>
            </w:r>
          </w:p>
        </w:tc>
        <w:tc>
          <w:tcPr>
            <w:tcW w:w="142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rPr>
                <w:sz w:val="16"/>
                <w:szCs w:val="16"/>
              </w:rPr>
            </w:pPr>
            <w:r>
              <w:rPr>
                <w:sz w:val="16"/>
                <w:szCs w:val="16"/>
              </w:rPr>
              <w:t>Bajak eta itxitako aurrekontuen deuse</w:t>
            </w:r>
            <w:r>
              <w:rPr>
                <w:sz w:val="16"/>
                <w:szCs w:val="16"/>
              </w:rPr>
              <w:t>z</w:t>
            </w:r>
            <w:r>
              <w:rPr>
                <w:sz w:val="16"/>
                <w:szCs w:val="16"/>
              </w:rPr>
              <w:t>tapenak</w:t>
            </w:r>
          </w:p>
        </w:tc>
        <w:tc>
          <w:tcPr>
            <w:tcW w:w="372" w:type="pct"/>
            <w:tcBorders>
              <w:top w:val="single" w:sz="2" w:space="0" w:color="auto"/>
              <w:left w:val="nil"/>
              <w:bottom w:val="single" w:sz="2" w:space="0" w:color="auto"/>
              <w:right w:val="nil"/>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auto"/>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center"/>
              <w:rPr>
                <w:sz w:val="16"/>
                <w:szCs w:val="16"/>
              </w:rPr>
            </w:pPr>
            <w:r>
              <w:rPr>
                <w:sz w:val="16"/>
                <w:szCs w:val="16"/>
              </w:rPr>
              <w:t>H84</w:t>
            </w:r>
          </w:p>
        </w:tc>
        <w:tc>
          <w:tcPr>
            <w:tcW w:w="1459"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rPr>
                <w:sz w:val="16"/>
                <w:szCs w:val="16"/>
              </w:rPr>
            </w:pPr>
            <w:proofErr w:type="spellStart"/>
            <w:r>
              <w:rPr>
                <w:sz w:val="16"/>
                <w:szCs w:val="16"/>
              </w:rPr>
              <w:t>Altak</w:t>
            </w:r>
            <w:proofErr w:type="spellEnd"/>
            <w:r>
              <w:rPr>
                <w:sz w:val="16"/>
                <w:szCs w:val="16"/>
              </w:rPr>
              <w:t xml:space="preserve"> eta preskripzioak, itxitako aurr</w:t>
            </w:r>
            <w:r>
              <w:rPr>
                <w:sz w:val="16"/>
                <w:szCs w:val="16"/>
              </w:rPr>
              <w:t>e</w:t>
            </w:r>
            <w:r>
              <w:rPr>
                <w:sz w:val="16"/>
                <w:szCs w:val="16"/>
              </w:rPr>
              <w:t>kontuak</w:t>
            </w:r>
          </w:p>
        </w:tc>
        <w:tc>
          <w:tcPr>
            <w:tcW w:w="336"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0</w:t>
            </w:r>
          </w:p>
        </w:tc>
        <w:tc>
          <w:tcPr>
            <w:tcW w:w="520" w:type="pct"/>
            <w:tcBorders>
              <w:top w:val="single" w:sz="2" w:space="0" w:color="auto"/>
              <w:left w:val="nil"/>
              <w:bottom w:val="single" w:sz="2" w:space="0" w:color="auto"/>
              <w:right w:val="nil"/>
            </w:tcBorders>
            <w:shd w:val="clear" w:color="auto" w:fill="auto"/>
            <w:noWrap/>
            <w:vAlign w:val="center"/>
          </w:tcPr>
          <w:p w:rsidR="001A7F27" w:rsidRPr="00AE0CEF" w:rsidRDefault="001A7F27" w:rsidP="00D06870">
            <w:pPr>
              <w:pStyle w:val="cuatexto"/>
              <w:tabs>
                <w:tab w:val="clear" w:pos="7371"/>
              </w:tabs>
              <w:jc w:val="right"/>
              <w:rPr>
                <w:sz w:val="16"/>
                <w:szCs w:val="16"/>
              </w:rPr>
            </w:pPr>
            <w:r>
              <w:rPr>
                <w:sz w:val="16"/>
                <w:szCs w:val="16"/>
              </w:rPr>
              <w:t>0</w:t>
            </w:r>
          </w:p>
        </w:tc>
      </w:tr>
      <w:tr w:rsidR="00D06870" w:rsidRPr="00AE0CEF" w:rsidTr="001B17A5">
        <w:trPr>
          <w:trHeight w:val="255"/>
          <w:jc w:val="center"/>
        </w:trPr>
        <w:tc>
          <w:tcPr>
            <w:tcW w:w="251" w:type="pct"/>
            <w:tcBorders>
              <w:top w:val="single" w:sz="2" w:space="0" w:color="auto"/>
              <w:left w:val="nil"/>
              <w:bottom w:val="single" w:sz="2" w:space="0" w:color="auto"/>
              <w:right w:val="nil"/>
            </w:tcBorders>
            <w:shd w:val="clear" w:color="auto" w:fill="FABF8F" w:themeFill="accent6" w:themeFillTint="99"/>
            <w:noWrap/>
            <w:vAlign w:val="center"/>
          </w:tcPr>
          <w:p w:rsidR="001A7F27" w:rsidRPr="00AE0CEF" w:rsidRDefault="001A7F27" w:rsidP="00D06870">
            <w:pPr>
              <w:pStyle w:val="cuatexto"/>
              <w:tabs>
                <w:tab w:val="clear" w:pos="2835"/>
              </w:tabs>
              <w:jc w:val="right"/>
              <w:rPr>
                <w:sz w:val="16"/>
                <w:szCs w:val="16"/>
              </w:rPr>
            </w:pPr>
            <w:r>
              <w:rPr>
                <w:sz w:val="16"/>
                <w:szCs w:val="16"/>
              </w:rPr>
              <w:t>D89</w:t>
            </w:r>
          </w:p>
        </w:tc>
        <w:tc>
          <w:tcPr>
            <w:tcW w:w="1422" w:type="pct"/>
            <w:tcBorders>
              <w:top w:val="single" w:sz="2" w:space="0" w:color="auto"/>
              <w:left w:val="nil"/>
              <w:bottom w:val="single" w:sz="2" w:space="0" w:color="auto"/>
              <w:right w:val="nil"/>
            </w:tcBorders>
            <w:shd w:val="clear" w:color="auto" w:fill="FABF8F" w:themeFill="accent6" w:themeFillTint="99"/>
            <w:noWrap/>
            <w:vAlign w:val="center"/>
          </w:tcPr>
          <w:p w:rsidR="001A7F27" w:rsidRPr="001A7F27" w:rsidRDefault="001A7F27" w:rsidP="00D06870">
            <w:pPr>
              <w:pStyle w:val="cuatexto"/>
              <w:tabs>
                <w:tab w:val="clear" w:pos="2835"/>
              </w:tabs>
              <w:rPr>
                <w:sz w:val="16"/>
                <w:szCs w:val="16"/>
              </w:rPr>
            </w:pPr>
            <w:r>
              <w:rPr>
                <w:sz w:val="16"/>
                <w:szCs w:val="16"/>
              </w:rPr>
              <w:t>Ekitaldiko emaitza ekonomiko negat</w:t>
            </w:r>
            <w:r>
              <w:rPr>
                <w:sz w:val="16"/>
                <w:szCs w:val="16"/>
              </w:rPr>
              <w:t>i</w:t>
            </w:r>
            <w:r>
              <w:rPr>
                <w:sz w:val="16"/>
                <w:szCs w:val="16"/>
              </w:rPr>
              <w:t>boa</w:t>
            </w:r>
          </w:p>
        </w:tc>
        <w:tc>
          <w:tcPr>
            <w:tcW w:w="372" w:type="pct"/>
            <w:tcBorders>
              <w:top w:val="single" w:sz="2" w:space="0" w:color="auto"/>
              <w:left w:val="nil"/>
              <w:bottom w:val="single" w:sz="2" w:space="0" w:color="auto"/>
              <w:right w:val="nil"/>
            </w:tcBorders>
            <w:shd w:val="clear" w:color="auto" w:fill="FABF8F" w:themeFill="accent6" w:themeFillTint="99"/>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427" w:type="pct"/>
            <w:tcBorders>
              <w:top w:val="single" w:sz="2" w:space="0" w:color="auto"/>
              <w:left w:val="nil"/>
              <w:bottom w:val="single" w:sz="2" w:space="0" w:color="auto"/>
              <w:right w:val="single" w:sz="4" w:space="0" w:color="auto"/>
            </w:tcBorders>
            <w:shd w:val="clear" w:color="auto" w:fill="FABF8F" w:themeFill="accent6" w:themeFillTint="99"/>
            <w:noWrap/>
            <w:vAlign w:val="center"/>
          </w:tcPr>
          <w:p w:rsidR="001A7F27" w:rsidRPr="001A7F27" w:rsidRDefault="001A7F27" w:rsidP="00D06870">
            <w:pPr>
              <w:pStyle w:val="cuatexto"/>
              <w:tabs>
                <w:tab w:val="clear" w:pos="2835"/>
              </w:tabs>
              <w:jc w:val="right"/>
              <w:rPr>
                <w:sz w:val="16"/>
                <w:szCs w:val="16"/>
              </w:rPr>
            </w:pPr>
            <w:r>
              <w:rPr>
                <w:sz w:val="16"/>
                <w:szCs w:val="16"/>
              </w:rPr>
              <w:t>0</w:t>
            </w:r>
          </w:p>
        </w:tc>
        <w:tc>
          <w:tcPr>
            <w:tcW w:w="212" w:type="pct"/>
            <w:gridSpan w:val="2"/>
            <w:tcBorders>
              <w:top w:val="single" w:sz="2" w:space="0" w:color="auto"/>
              <w:left w:val="nil"/>
              <w:bottom w:val="single" w:sz="2" w:space="0" w:color="auto"/>
              <w:right w:val="nil"/>
            </w:tcBorders>
            <w:shd w:val="clear" w:color="auto" w:fill="FABF8F" w:themeFill="accent6" w:themeFillTint="99"/>
            <w:noWrap/>
            <w:vAlign w:val="center"/>
          </w:tcPr>
          <w:p w:rsidR="001A7F27" w:rsidRPr="00AE0CEF" w:rsidRDefault="001A7F27" w:rsidP="00D06870">
            <w:pPr>
              <w:pStyle w:val="cuatexto"/>
              <w:tabs>
                <w:tab w:val="clear" w:pos="7371"/>
              </w:tabs>
              <w:jc w:val="center"/>
              <w:rPr>
                <w:sz w:val="16"/>
                <w:szCs w:val="16"/>
              </w:rPr>
            </w:pPr>
            <w:r>
              <w:rPr>
                <w:b/>
                <w:sz w:val="16"/>
                <w:szCs w:val="16"/>
              </w:rPr>
              <w:t>H89</w:t>
            </w:r>
          </w:p>
        </w:tc>
        <w:tc>
          <w:tcPr>
            <w:tcW w:w="1459" w:type="pct"/>
            <w:tcBorders>
              <w:top w:val="single" w:sz="2" w:space="0" w:color="auto"/>
              <w:left w:val="nil"/>
              <w:bottom w:val="single" w:sz="2" w:space="0" w:color="auto"/>
              <w:right w:val="nil"/>
            </w:tcBorders>
            <w:shd w:val="clear" w:color="auto" w:fill="FABF8F" w:themeFill="accent6" w:themeFillTint="99"/>
            <w:noWrap/>
            <w:vAlign w:val="center"/>
          </w:tcPr>
          <w:p w:rsidR="001A7F27" w:rsidRPr="00AE0CEF" w:rsidRDefault="001A7F27" w:rsidP="00D06870">
            <w:pPr>
              <w:pStyle w:val="cuatexto"/>
              <w:tabs>
                <w:tab w:val="clear" w:pos="7371"/>
              </w:tabs>
              <w:rPr>
                <w:sz w:val="16"/>
                <w:szCs w:val="16"/>
              </w:rPr>
            </w:pPr>
            <w:r>
              <w:rPr>
                <w:b/>
                <w:sz w:val="16"/>
                <w:szCs w:val="16"/>
              </w:rPr>
              <w:t>Ekitaldiko emaitza ekonomiko posit</w:t>
            </w:r>
            <w:r>
              <w:rPr>
                <w:b/>
                <w:sz w:val="16"/>
                <w:szCs w:val="16"/>
              </w:rPr>
              <w:t>i</w:t>
            </w:r>
            <w:r>
              <w:rPr>
                <w:b/>
                <w:sz w:val="16"/>
                <w:szCs w:val="16"/>
              </w:rPr>
              <w:t>boa</w:t>
            </w:r>
          </w:p>
        </w:tc>
        <w:tc>
          <w:tcPr>
            <w:tcW w:w="336" w:type="pct"/>
            <w:tcBorders>
              <w:top w:val="single" w:sz="2" w:space="0" w:color="auto"/>
              <w:left w:val="nil"/>
              <w:bottom w:val="single" w:sz="2" w:space="0" w:color="auto"/>
              <w:right w:val="nil"/>
            </w:tcBorders>
            <w:shd w:val="clear" w:color="auto" w:fill="FABF8F" w:themeFill="accent6" w:themeFillTint="99"/>
            <w:noWrap/>
            <w:vAlign w:val="center"/>
          </w:tcPr>
          <w:p w:rsidR="001A7F27" w:rsidRPr="00AE0CEF" w:rsidRDefault="001A7F27" w:rsidP="00D06870">
            <w:pPr>
              <w:pStyle w:val="cuatexto"/>
              <w:tabs>
                <w:tab w:val="clear" w:pos="7371"/>
              </w:tabs>
              <w:jc w:val="right"/>
              <w:rPr>
                <w:sz w:val="16"/>
                <w:szCs w:val="16"/>
              </w:rPr>
            </w:pPr>
            <w:r>
              <w:rPr>
                <w:b/>
                <w:sz w:val="16"/>
                <w:szCs w:val="16"/>
              </w:rPr>
              <w:t>10.734</w:t>
            </w:r>
          </w:p>
        </w:tc>
        <w:tc>
          <w:tcPr>
            <w:tcW w:w="520" w:type="pct"/>
            <w:tcBorders>
              <w:top w:val="single" w:sz="2" w:space="0" w:color="auto"/>
              <w:left w:val="nil"/>
              <w:bottom w:val="single" w:sz="2" w:space="0" w:color="auto"/>
              <w:right w:val="nil"/>
            </w:tcBorders>
            <w:shd w:val="clear" w:color="auto" w:fill="FABF8F" w:themeFill="accent6" w:themeFillTint="99"/>
            <w:noWrap/>
            <w:vAlign w:val="center"/>
          </w:tcPr>
          <w:p w:rsidR="001A7F27" w:rsidRPr="002C41AC" w:rsidRDefault="00D07440" w:rsidP="00D06870">
            <w:pPr>
              <w:pStyle w:val="cuatexto"/>
              <w:tabs>
                <w:tab w:val="clear" w:pos="7371"/>
              </w:tabs>
              <w:jc w:val="right"/>
              <w:rPr>
                <w:b/>
                <w:sz w:val="16"/>
                <w:szCs w:val="16"/>
              </w:rPr>
            </w:pPr>
            <w:r>
              <w:rPr>
                <w:b/>
                <w:sz w:val="16"/>
                <w:szCs w:val="16"/>
              </w:rPr>
              <w:t>133.972</w:t>
            </w:r>
          </w:p>
        </w:tc>
      </w:tr>
    </w:tbl>
    <w:p w:rsidR="001C3E00" w:rsidRDefault="001C3E00" w:rsidP="001C3E00">
      <w:pPr>
        <w:rPr>
          <w:highlight w:val="yellow"/>
        </w:rPr>
      </w:pPr>
    </w:p>
    <w:p w:rsidR="00B25DD8" w:rsidRPr="0057664E" w:rsidRDefault="00B25DD8" w:rsidP="001C3E00">
      <w:pPr>
        <w:rPr>
          <w:highlight w:val="yellow"/>
        </w:rPr>
      </w:pPr>
    </w:p>
    <w:p w:rsidR="001A7F27" w:rsidRPr="001A7F27" w:rsidRDefault="001C3E00" w:rsidP="001A7F27">
      <w:pPr>
        <w:rPr>
          <w:rFonts w:ascii="Arial Narrow" w:hAnsi="Arial Narrow"/>
          <w:b/>
          <w:bCs/>
          <w:color w:val="000000"/>
          <w:sz w:val="16"/>
          <w:szCs w:val="16"/>
        </w:rPr>
      </w:pPr>
      <w:r>
        <w:br w:type="page"/>
      </w:r>
    </w:p>
    <w:p w:rsidR="00AD3EE4" w:rsidRDefault="00AD3EE4" w:rsidP="00D115AC">
      <w:pPr>
        <w:pStyle w:val="atitulo1"/>
      </w:pPr>
      <w:bookmarkStart w:id="39" w:name="_Toc476722774"/>
      <w:r>
        <w:lastRenderedPageBreak/>
        <w:t>IV. Oharpenak, iritzian eraginik ez dutenak, eta gomendioak</w:t>
      </w:r>
      <w:bookmarkEnd w:id="39"/>
    </w:p>
    <w:p w:rsidR="00AD3EE4" w:rsidRDefault="00582C16" w:rsidP="00582C16">
      <w:pPr>
        <w:pStyle w:val="texto"/>
      </w:pPr>
      <w:r>
        <w:t>Egindako fiskalizazioaren atal gisa, ondoren ohar, iruzkin eta gomendio b</w:t>
      </w:r>
      <w:r>
        <w:t>a</w:t>
      </w:r>
      <w:r>
        <w:t>tzuk gehitu ditugu, azaldutako iritzian eraginik ez dutenak, bai eta Ganbera h</w:t>
      </w:r>
      <w:r>
        <w:t>o</w:t>
      </w:r>
      <w:r>
        <w:t>nen ustez txosten honen hartzaile eta erabiltzaileentzat interesgarri gerta dait</w:t>
      </w:r>
      <w:r>
        <w:t>e</w:t>
      </w:r>
      <w:r>
        <w:t>keen informazio gehigarri bat ere.</w:t>
      </w:r>
    </w:p>
    <w:p w:rsidR="00582C16" w:rsidRDefault="00D115AC" w:rsidP="00582C16">
      <w:pPr>
        <w:pStyle w:val="atitulo2"/>
        <w:spacing w:before="240"/>
      </w:pPr>
      <w:bookmarkStart w:id="40" w:name="_Toc476722775"/>
      <w:r>
        <w:t xml:space="preserve">IV.1. Ororbiako Kontzejuaren egoera </w:t>
      </w:r>
      <w:proofErr w:type="spellStart"/>
      <w:r>
        <w:t>ekonomiko-finantzarioa</w:t>
      </w:r>
      <w:proofErr w:type="spellEnd"/>
      <w:r>
        <w:t xml:space="preserve"> 2015eko abenduaren 31n</w:t>
      </w:r>
      <w:bookmarkEnd w:id="40"/>
    </w:p>
    <w:p w:rsidR="00291A4E" w:rsidRDefault="00291A4E" w:rsidP="00291A4E">
      <w:pPr>
        <w:pStyle w:val="texto"/>
      </w:pPr>
      <w:r>
        <w:t>2015erako gastuen eta diru-sarreren hasierako kredituak 253.100 eurokoak dira. Kreditu horietan ez da aurrekontu-aldaketarik izan.</w:t>
      </w:r>
    </w:p>
    <w:p w:rsidR="00291A4E" w:rsidRDefault="00291A4E" w:rsidP="00291A4E">
      <w:pPr>
        <w:pStyle w:val="texto"/>
      </w:pPr>
      <w:r>
        <w:t>Aitortutako betebeharrek 199.705 euro egiten dute, ehuneko 79ko betetze-mailarekin eta ehuneko 99,5eko ordainketa-ehunekoarekin. Gastu horien eh</w:t>
      </w:r>
      <w:r>
        <w:t>u</w:t>
      </w:r>
      <w:r>
        <w:t xml:space="preserve">neko 76 izaera arruntekoak dira. Kapitulu guztiek batez bestekoaren gainetik dagoen betetze-maila dute, ondasun arruntena eta zerbitzuenak izan ezik; izan ere, haren betetzea ehuneko 75ekoa da. </w:t>
      </w:r>
    </w:p>
    <w:p w:rsidR="00E8121F" w:rsidRPr="00E8121F" w:rsidRDefault="00BB490F" w:rsidP="00E8121F">
      <w:pPr>
        <w:pStyle w:val="texto"/>
      </w:pPr>
      <w:r>
        <w:t>Gastu arrunten barruan, nabarmentzekoa da Kontzejuko jaietara bideratutako zenbatekoa, ia 50.000 eurokoa; hau da, guztizko gastuaren ehuneko 25. Hal</w:t>
      </w:r>
      <w:r>
        <w:t>a</w:t>
      </w:r>
      <w:r>
        <w:t xml:space="preserve">ber, argiteria publikoa eta haren mantentzea aipatu behar ditugu, 36.206 euro baitira </w:t>
      </w:r>
      <w:proofErr w:type="spellStart"/>
      <w:r>
        <w:t>—guztizko</w:t>
      </w:r>
      <w:proofErr w:type="spellEnd"/>
      <w:r>
        <w:t xml:space="preserve"> gastuaren ehuneko 18—, eta langile-gastuak, 16.647 eur</w:t>
      </w:r>
      <w:r>
        <w:t>o</w:t>
      </w:r>
      <w:r>
        <w:t xml:space="preserve">koak </w:t>
      </w:r>
      <w:proofErr w:type="spellStart"/>
      <w:r>
        <w:t>—guztizko</w:t>
      </w:r>
      <w:proofErr w:type="spellEnd"/>
      <w:r>
        <w:t xml:space="preserve"> gastuaren ehuneko </w:t>
      </w:r>
      <w:proofErr w:type="spellStart"/>
      <w:r>
        <w:t>zortzi—</w:t>
      </w:r>
      <w:proofErr w:type="spellEnd"/>
      <w:r>
        <w:t>. Inbertsioetan, 48.622 euroko gu</w:t>
      </w:r>
      <w:r>
        <w:t>z</w:t>
      </w:r>
      <w:r>
        <w:t>tizko gastuarekin, nabarmentzekoak dira ureztatzerako ubideko obretarako b</w:t>
      </w:r>
      <w:r>
        <w:t>i</w:t>
      </w:r>
      <w:r>
        <w:t>deratutakoak eta baso-lanetakoak —24.640 eta 15.429 euro egiten dute, hurr</w:t>
      </w:r>
      <w:r>
        <w:t>e</w:t>
      </w:r>
      <w:r>
        <w:t xml:space="preserve">nez </w:t>
      </w:r>
      <w:proofErr w:type="spellStart"/>
      <w:r>
        <w:t>hurren—</w:t>
      </w:r>
      <w:proofErr w:type="spellEnd"/>
      <w:r>
        <w:t>.</w:t>
      </w:r>
    </w:p>
    <w:p w:rsidR="00395354" w:rsidRDefault="00291A4E" w:rsidP="00395354">
      <w:pPr>
        <w:pStyle w:val="texto"/>
      </w:pPr>
      <w:r>
        <w:t>Bestalde, aitortutako eskubideek 285.055 euro egiten dute, ehuneko 113ko betetze-mailarekin eta ehuneko 100eko kobrantza-ehunekoarekin. Horri dag</w:t>
      </w:r>
      <w:r>
        <w:t>o</w:t>
      </w:r>
      <w:r>
        <w:t xml:space="preserve">kionez, zehaztu beharra dago diru-sarrera horiek kontabilizatzerakoan kutxako irizpidea erabiltzen dela. Kapitulu guztiek ehuneko 100etik gorako betetze-maila dute. Nabarmentzekoak dira tasak, prezio publikoak eta bestelako diru-sarrerak, ehuneko 119ko portzentajearekin. </w:t>
      </w:r>
    </w:p>
    <w:p w:rsidR="00BB490F" w:rsidRDefault="00395354" w:rsidP="00395354">
      <w:pPr>
        <w:pStyle w:val="texto"/>
      </w:pPr>
      <w:r>
        <w:t>Beren izaerari erreparatuta, diru-sarrera ia guztiak arruntak dira. Nabarme</w:t>
      </w:r>
      <w:r>
        <w:t>n</w:t>
      </w:r>
      <w:r>
        <w:t xml:space="preserve">tzekoak dira elektrizitate-konpainiek </w:t>
      </w:r>
      <w:proofErr w:type="spellStart"/>
      <w:r>
        <w:t>lurgaina</w:t>
      </w:r>
      <w:proofErr w:type="spellEnd"/>
      <w:r>
        <w:t xml:space="preserve">, zorua eta lurpea okupatzeagatiko tasetatik heldu direnak, zeinek 178.027 euro egin baitute, hau da, ekitaldiko diru-sarrera guztien ehuneko 62; nabarmentzekoak dira, halaber, herri-lurretatik  —16.486 </w:t>
      </w:r>
      <w:proofErr w:type="spellStart"/>
      <w:r>
        <w:t>euro—</w:t>
      </w:r>
      <w:proofErr w:type="spellEnd"/>
      <w:r>
        <w:t xml:space="preserve"> eta zuhaitzen salmentatik —23.633 </w:t>
      </w:r>
      <w:proofErr w:type="spellStart"/>
      <w:r>
        <w:t>euro—</w:t>
      </w:r>
      <w:proofErr w:type="spellEnd"/>
      <w:r>
        <w:t xml:space="preserve"> heldutakoak. Toki Ogasunen Funtsetik 46.456 euro jaso dira guztira, eta Zendeako Udaletik, b</w:t>
      </w:r>
      <w:r>
        <w:t>e</w:t>
      </w:r>
      <w:r>
        <w:t>rriz, 11.543 euro, gastu arrunta finantzatzeko.</w:t>
      </w:r>
    </w:p>
    <w:p w:rsidR="001709A3" w:rsidRDefault="001709A3" w:rsidP="00291A4E">
      <w:pPr>
        <w:pStyle w:val="texto"/>
      </w:pPr>
    </w:p>
    <w:p w:rsidR="001709A3" w:rsidRDefault="001709A3" w:rsidP="00291A4E">
      <w:pPr>
        <w:pStyle w:val="texto"/>
      </w:pPr>
    </w:p>
    <w:p w:rsidR="00920BEF" w:rsidRDefault="00920BEF">
      <w:pPr>
        <w:spacing w:after="0"/>
        <w:ind w:firstLine="0"/>
        <w:jc w:val="left"/>
        <w:rPr>
          <w:spacing w:val="6"/>
          <w:sz w:val="26"/>
          <w:szCs w:val="24"/>
        </w:rPr>
      </w:pPr>
      <w:r>
        <w:br w:type="page"/>
      </w:r>
    </w:p>
    <w:p w:rsidR="00FD5E07" w:rsidRDefault="00291A4E" w:rsidP="001709A3">
      <w:pPr>
        <w:pStyle w:val="texto"/>
        <w:spacing w:after="240"/>
      </w:pPr>
      <w:r>
        <w:lastRenderedPageBreak/>
        <w:t>Laburbilduz, Kontzejuak 2015ean gastatutako 100 euro bakoitza honako hauekin erabili eta finantzatu dira:</w:t>
      </w:r>
    </w:p>
    <w:tbl>
      <w:tblPr>
        <w:tblW w:w="882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93"/>
        <w:gridCol w:w="1328"/>
        <w:gridCol w:w="3172"/>
        <w:gridCol w:w="1328"/>
      </w:tblGrid>
      <w:tr w:rsidR="00291A4E" w:rsidRPr="00B71D4C" w:rsidTr="001709A3">
        <w:trPr>
          <w:trHeight w:val="284"/>
          <w:jc w:val="center"/>
        </w:trPr>
        <w:tc>
          <w:tcPr>
            <w:tcW w:w="284" w:type="dxa"/>
            <w:shd w:val="clear" w:color="auto" w:fill="FABF8F" w:themeFill="accent6" w:themeFillTint="99"/>
            <w:vAlign w:val="center"/>
            <w:hideMark/>
          </w:tcPr>
          <w:p w:rsidR="00291A4E" w:rsidRPr="00B71D4C" w:rsidRDefault="00291A4E" w:rsidP="00291A4E">
            <w:pPr>
              <w:pStyle w:val="cuatexto"/>
              <w:rPr>
                <w:rFonts w:ascii="Arial" w:hAnsi="Arial" w:cs="Arial"/>
                <w:sz w:val="18"/>
                <w:szCs w:val="18"/>
              </w:rPr>
            </w:pPr>
            <w:r>
              <w:rPr>
                <w:rFonts w:ascii="Arial" w:hAnsi="Arial"/>
                <w:sz w:val="18"/>
                <w:szCs w:val="18"/>
              </w:rPr>
              <w:t>Gastuaren izaera</w:t>
            </w:r>
          </w:p>
        </w:tc>
        <w:tc>
          <w:tcPr>
            <w:tcW w:w="284" w:type="dxa"/>
            <w:shd w:val="clear" w:color="auto" w:fill="FABF8F" w:themeFill="accent6" w:themeFillTint="99"/>
            <w:vAlign w:val="center"/>
          </w:tcPr>
          <w:p w:rsidR="00291A4E" w:rsidRPr="00B71D4C" w:rsidRDefault="00291A4E" w:rsidP="001709A3">
            <w:pPr>
              <w:pStyle w:val="cuatexto"/>
              <w:jc w:val="right"/>
              <w:rPr>
                <w:rFonts w:ascii="Arial" w:hAnsi="Arial" w:cs="Arial"/>
                <w:sz w:val="18"/>
                <w:szCs w:val="18"/>
              </w:rPr>
            </w:pPr>
            <w:r>
              <w:rPr>
                <w:rFonts w:ascii="Arial" w:hAnsi="Arial"/>
                <w:sz w:val="18"/>
                <w:szCs w:val="18"/>
              </w:rPr>
              <w:t>2015</w:t>
            </w:r>
          </w:p>
        </w:tc>
        <w:tc>
          <w:tcPr>
            <w:tcW w:w="284" w:type="dxa"/>
            <w:shd w:val="clear" w:color="auto" w:fill="FABF8F" w:themeFill="accent6" w:themeFillTint="99"/>
            <w:vAlign w:val="center"/>
            <w:hideMark/>
          </w:tcPr>
          <w:p w:rsidR="00291A4E" w:rsidRPr="00B71D4C" w:rsidRDefault="00291A4E" w:rsidP="00291A4E">
            <w:pPr>
              <w:pStyle w:val="cuatexto"/>
              <w:jc w:val="left"/>
              <w:rPr>
                <w:rFonts w:ascii="Arial" w:hAnsi="Arial" w:cs="Arial"/>
                <w:sz w:val="18"/>
                <w:szCs w:val="18"/>
              </w:rPr>
            </w:pPr>
            <w:r>
              <w:rPr>
                <w:rFonts w:ascii="Arial" w:hAnsi="Arial"/>
                <w:sz w:val="18"/>
                <w:szCs w:val="18"/>
              </w:rPr>
              <w:t>Finantzabidea</w:t>
            </w:r>
          </w:p>
        </w:tc>
        <w:tc>
          <w:tcPr>
            <w:tcW w:w="284" w:type="dxa"/>
            <w:shd w:val="clear" w:color="auto" w:fill="FABF8F" w:themeFill="accent6" w:themeFillTint="99"/>
            <w:vAlign w:val="center"/>
            <w:hideMark/>
          </w:tcPr>
          <w:p w:rsidR="00291A4E" w:rsidRPr="00B71D4C" w:rsidRDefault="00291A4E" w:rsidP="00FD5E07">
            <w:pPr>
              <w:pStyle w:val="cuatexto"/>
              <w:jc w:val="right"/>
              <w:rPr>
                <w:rFonts w:ascii="Arial" w:hAnsi="Arial" w:cs="Arial"/>
                <w:sz w:val="18"/>
                <w:szCs w:val="18"/>
              </w:rPr>
            </w:pPr>
            <w:r>
              <w:rPr>
                <w:rFonts w:ascii="Arial" w:hAnsi="Arial"/>
                <w:sz w:val="18"/>
                <w:szCs w:val="18"/>
              </w:rPr>
              <w:t>2015</w:t>
            </w:r>
          </w:p>
        </w:tc>
      </w:tr>
      <w:tr w:rsidR="00291A4E" w:rsidRPr="006F2B1B" w:rsidTr="001709A3">
        <w:trPr>
          <w:trHeight w:val="284"/>
          <w:jc w:val="center"/>
        </w:trPr>
        <w:tc>
          <w:tcPr>
            <w:tcW w:w="284" w:type="dxa"/>
            <w:vAlign w:val="center"/>
            <w:hideMark/>
          </w:tcPr>
          <w:p w:rsidR="00291A4E" w:rsidRPr="006F2B1B" w:rsidRDefault="00291A4E" w:rsidP="00291A4E">
            <w:pPr>
              <w:pStyle w:val="cuatexto"/>
            </w:pPr>
            <w:r>
              <w:t>Langileak</w:t>
            </w:r>
          </w:p>
        </w:tc>
        <w:tc>
          <w:tcPr>
            <w:tcW w:w="284" w:type="dxa"/>
            <w:vAlign w:val="center"/>
          </w:tcPr>
          <w:p w:rsidR="00291A4E" w:rsidRPr="00BE19F0" w:rsidRDefault="00291A4E" w:rsidP="00A4284C">
            <w:pPr>
              <w:pStyle w:val="cuatexto"/>
              <w:ind w:right="30"/>
              <w:jc w:val="right"/>
            </w:pPr>
            <w:r>
              <w:t>8</w:t>
            </w:r>
          </w:p>
        </w:tc>
        <w:tc>
          <w:tcPr>
            <w:tcW w:w="284" w:type="dxa"/>
            <w:vAlign w:val="center"/>
            <w:hideMark/>
          </w:tcPr>
          <w:p w:rsidR="00291A4E" w:rsidRPr="006F2B1B" w:rsidRDefault="00A4284C" w:rsidP="00291A4E">
            <w:pPr>
              <w:pStyle w:val="cuatexto"/>
              <w:jc w:val="left"/>
            </w:pPr>
            <w:r>
              <w:t>Tasak, prezioak eta bestelakoak</w:t>
            </w:r>
          </w:p>
        </w:tc>
        <w:tc>
          <w:tcPr>
            <w:tcW w:w="284" w:type="dxa"/>
            <w:vAlign w:val="center"/>
          </w:tcPr>
          <w:p w:rsidR="00291A4E" w:rsidRPr="006F2B1B" w:rsidRDefault="00A4284C" w:rsidP="00291A4E">
            <w:pPr>
              <w:pStyle w:val="cuatexto"/>
              <w:jc w:val="right"/>
            </w:pPr>
            <w:r>
              <w:t>64</w:t>
            </w:r>
          </w:p>
        </w:tc>
      </w:tr>
      <w:tr w:rsidR="00291A4E" w:rsidRPr="006F2B1B" w:rsidTr="001709A3">
        <w:trPr>
          <w:trHeight w:val="284"/>
          <w:jc w:val="center"/>
        </w:trPr>
        <w:tc>
          <w:tcPr>
            <w:tcW w:w="284" w:type="dxa"/>
            <w:vAlign w:val="center"/>
            <w:hideMark/>
          </w:tcPr>
          <w:p w:rsidR="00291A4E" w:rsidRPr="006F2B1B" w:rsidRDefault="00A4284C" w:rsidP="00A4284C">
            <w:pPr>
              <w:pStyle w:val="cuatexto"/>
            </w:pPr>
            <w:r>
              <w:t>Ondasun arruntak eta zerbitzuak</w:t>
            </w:r>
          </w:p>
        </w:tc>
        <w:tc>
          <w:tcPr>
            <w:tcW w:w="284" w:type="dxa"/>
            <w:vAlign w:val="center"/>
          </w:tcPr>
          <w:p w:rsidR="00291A4E" w:rsidRPr="00BE19F0" w:rsidRDefault="00291A4E" w:rsidP="00A4284C">
            <w:pPr>
              <w:pStyle w:val="cuatexto"/>
              <w:ind w:right="30"/>
              <w:jc w:val="right"/>
            </w:pPr>
            <w:r>
              <w:t>66</w:t>
            </w:r>
          </w:p>
        </w:tc>
        <w:tc>
          <w:tcPr>
            <w:tcW w:w="284" w:type="dxa"/>
            <w:vAlign w:val="center"/>
            <w:hideMark/>
          </w:tcPr>
          <w:p w:rsidR="00291A4E" w:rsidRPr="006F2B1B" w:rsidRDefault="00291A4E" w:rsidP="00291A4E">
            <w:pPr>
              <w:pStyle w:val="cuatexto"/>
              <w:jc w:val="left"/>
            </w:pPr>
            <w:r>
              <w:t>Transferentzia arruntak</w:t>
            </w:r>
          </w:p>
        </w:tc>
        <w:tc>
          <w:tcPr>
            <w:tcW w:w="284" w:type="dxa"/>
            <w:vAlign w:val="center"/>
          </w:tcPr>
          <w:p w:rsidR="00291A4E" w:rsidRPr="006F2B1B" w:rsidRDefault="00A4284C" w:rsidP="00291A4E">
            <w:pPr>
              <w:pStyle w:val="cuatexto"/>
              <w:jc w:val="right"/>
            </w:pPr>
            <w:r>
              <w:t>21</w:t>
            </w:r>
          </w:p>
        </w:tc>
      </w:tr>
      <w:tr w:rsidR="00A4284C" w:rsidRPr="006F2B1B" w:rsidTr="001709A3">
        <w:trPr>
          <w:trHeight w:val="284"/>
          <w:jc w:val="center"/>
        </w:trPr>
        <w:tc>
          <w:tcPr>
            <w:tcW w:w="284" w:type="dxa"/>
            <w:vAlign w:val="center"/>
          </w:tcPr>
          <w:p w:rsidR="00A4284C" w:rsidRPr="006F2B1B" w:rsidRDefault="00A4284C" w:rsidP="004E7AEE">
            <w:pPr>
              <w:pStyle w:val="cuatexto"/>
            </w:pPr>
            <w:r>
              <w:t>Transferentzia arruntak</w:t>
            </w:r>
          </w:p>
        </w:tc>
        <w:tc>
          <w:tcPr>
            <w:tcW w:w="284" w:type="dxa"/>
            <w:vAlign w:val="center"/>
          </w:tcPr>
          <w:p w:rsidR="00A4284C" w:rsidRDefault="00A4284C" w:rsidP="00A4284C">
            <w:pPr>
              <w:pStyle w:val="cuatexto"/>
              <w:ind w:right="30"/>
              <w:jc w:val="right"/>
            </w:pPr>
            <w:r>
              <w:t>2</w:t>
            </w:r>
          </w:p>
        </w:tc>
        <w:tc>
          <w:tcPr>
            <w:tcW w:w="284" w:type="dxa"/>
            <w:vAlign w:val="center"/>
          </w:tcPr>
          <w:p w:rsidR="00A4284C" w:rsidRPr="006F2B1B" w:rsidRDefault="00A4284C" w:rsidP="00291A4E">
            <w:pPr>
              <w:pStyle w:val="cuatexto"/>
              <w:jc w:val="left"/>
            </w:pPr>
            <w:r>
              <w:t>Ondare bidezko diru-sarrerak eta beste</w:t>
            </w:r>
          </w:p>
        </w:tc>
        <w:tc>
          <w:tcPr>
            <w:tcW w:w="284" w:type="dxa"/>
            <w:vAlign w:val="center"/>
          </w:tcPr>
          <w:p w:rsidR="00A4284C" w:rsidRPr="006F2B1B" w:rsidRDefault="00A4284C" w:rsidP="00291A4E">
            <w:pPr>
              <w:pStyle w:val="cuatexto"/>
              <w:jc w:val="right"/>
            </w:pPr>
            <w:r>
              <w:t>15</w:t>
            </w:r>
          </w:p>
        </w:tc>
      </w:tr>
      <w:tr w:rsidR="00A4284C" w:rsidRPr="006F2B1B" w:rsidTr="001709A3">
        <w:trPr>
          <w:trHeight w:val="284"/>
          <w:jc w:val="center"/>
        </w:trPr>
        <w:tc>
          <w:tcPr>
            <w:tcW w:w="284" w:type="dxa"/>
            <w:vAlign w:val="center"/>
          </w:tcPr>
          <w:p w:rsidR="00A4284C" w:rsidRPr="006F2B1B" w:rsidRDefault="00A4284C" w:rsidP="004E7AEE">
            <w:pPr>
              <w:pStyle w:val="cuatexto"/>
            </w:pPr>
            <w:r>
              <w:t>Inbertsioak</w:t>
            </w:r>
          </w:p>
        </w:tc>
        <w:tc>
          <w:tcPr>
            <w:tcW w:w="284" w:type="dxa"/>
            <w:vAlign w:val="center"/>
          </w:tcPr>
          <w:p w:rsidR="00A4284C" w:rsidRDefault="00A4284C" w:rsidP="00A4284C">
            <w:pPr>
              <w:pStyle w:val="cuatexto"/>
              <w:ind w:right="30"/>
              <w:jc w:val="right"/>
            </w:pPr>
            <w:r>
              <w:t>24</w:t>
            </w:r>
          </w:p>
        </w:tc>
        <w:tc>
          <w:tcPr>
            <w:tcW w:w="284" w:type="dxa"/>
            <w:vAlign w:val="center"/>
          </w:tcPr>
          <w:p w:rsidR="00A4284C" w:rsidRPr="006F2B1B" w:rsidRDefault="00A4284C" w:rsidP="00291A4E">
            <w:pPr>
              <w:pStyle w:val="cuatexto"/>
              <w:jc w:val="left"/>
            </w:pPr>
            <w:r>
              <w:t>Finantza-pasiboak</w:t>
            </w:r>
          </w:p>
        </w:tc>
        <w:tc>
          <w:tcPr>
            <w:tcW w:w="284" w:type="dxa"/>
            <w:vAlign w:val="center"/>
          </w:tcPr>
          <w:p w:rsidR="00A4284C" w:rsidRPr="006F2B1B" w:rsidRDefault="00A4284C" w:rsidP="00291A4E">
            <w:pPr>
              <w:pStyle w:val="cuatexto"/>
              <w:jc w:val="right"/>
            </w:pPr>
            <w:r>
              <w:t>0</w:t>
            </w:r>
          </w:p>
        </w:tc>
      </w:tr>
      <w:tr w:rsidR="00A4284C" w:rsidRPr="006F2B1B" w:rsidTr="001709A3">
        <w:trPr>
          <w:trHeight w:val="284"/>
          <w:jc w:val="center"/>
        </w:trPr>
        <w:tc>
          <w:tcPr>
            <w:tcW w:w="284" w:type="dxa"/>
            <w:tcBorders>
              <w:bottom w:val="single" w:sz="4" w:space="0" w:color="auto"/>
            </w:tcBorders>
            <w:vAlign w:val="center"/>
          </w:tcPr>
          <w:p w:rsidR="00A4284C" w:rsidRPr="006F2B1B" w:rsidRDefault="00A4284C" w:rsidP="00291A4E">
            <w:pPr>
              <w:pStyle w:val="cuatexto"/>
            </w:pPr>
            <w:r>
              <w:t>Finantza-zama</w:t>
            </w:r>
          </w:p>
        </w:tc>
        <w:tc>
          <w:tcPr>
            <w:tcW w:w="284" w:type="dxa"/>
            <w:tcBorders>
              <w:bottom w:val="single" w:sz="4" w:space="0" w:color="auto"/>
            </w:tcBorders>
            <w:vAlign w:val="center"/>
          </w:tcPr>
          <w:p w:rsidR="00A4284C" w:rsidRPr="00BE19F0" w:rsidRDefault="00A4284C" w:rsidP="00A4284C">
            <w:pPr>
              <w:pStyle w:val="cuatexto"/>
              <w:ind w:right="30"/>
              <w:jc w:val="right"/>
            </w:pPr>
            <w:r>
              <w:t>0</w:t>
            </w:r>
          </w:p>
        </w:tc>
        <w:tc>
          <w:tcPr>
            <w:tcW w:w="284" w:type="dxa"/>
            <w:tcBorders>
              <w:bottom w:val="single" w:sz="4" w:space="0" w:color="auto"/>
            </w:tcBorders>
            <w:vAlign w:val="center"/>
          </w:tcPr>
          <w:p w:rsidR="00A4284C" w:rsidRPr="006F2B1B" w:rsidRDefault="00A4284C" w:rsidP="00291A4E">
            <w:pPr>
              <w:pStyle w:val="cuatexto"/>
              <w:jc w:val="left"/>
            </w:pPr>
          </w:p>
        </w:tc>
        <w:tc>
          <w:tcPr>
            <w:tcW w:w="284" w:type="dxa"/>
            <w:tcBorders>
              <w:bottom w:val="single" w:sz="4" w:space="0" w:color="auto"/>
            </w:tcBorders>
            <w:vAlign w:val="center"/>
          </w:tcPr>
          <w:p w:rsidR="00A4284C" w:rsidRDefault="00A4284C" w:rsidP="00291A4E">
            <w:pPr>
              <w:pStyle w:val="cuatexto"/>
              <w:jc w:val="right"/>
            </w:pPr>
          </w:p>
        </w:tc>
      </w:tr>
      <w:tr w:rsidR="00A4284C" w:rsidRPr="00B71D4C" w:rsidTr="001709A3">
        <w:trPr>
          <w:trHeight w:val="284"/>
          <w:jc w:val="center"/>
        </w:trPr>
        <w:tc>
          <w:tcPr>
            <w:tcW w:w="284" w:type="dxa"/>
            <w:shd w:val="clear" w:color="auto" w:fill="FABF8F" w:themeFill="accent6" w:themeFillTint="99"/>
            <w:vAlign w:val="center"/>
            <w:hideMark/>
          </w:tcPr>
          <w:p w:rsidR="00A4284C" w:rsidRPr="00B71D4C" w:rsidRDefault="00A4284C" w:rsidP="00291A4E">
            <w:pPr>
              <w:spacing w:after="0"/>
              <w:ind w:firstLine="0"/>
              <w:jc w:val="left"/>
              <w:rPr>
                <w:rFonts w:ascii="Arial" w:hAnsi="Arial" w:cs="Arial"/>
                <w:sz w:val="18"/>
                <w:szCs w:val="18"/>
                <w:lang w:val="es-ES" w:eastAsia="es-ES"/>
              </w:rPr>
            </w:pPr>
          </w:p>
        </w:tc>
        <w:tc>
          <w:tcPr>
            <w:tcW w:w="284" w:type="dxa"/>
            <w:shd w:val="clear" w:color="auto" w:fill="FABF8F" w:themeFill="accent6" w:themeFillTint="99"/>
            <w:vAlign w:val="center"/>
          </w:tcPr>
          <w:p w:rsidR="00A4284C" w:rsidRPr="00B71D4C" w:rsidRDefault="00A4284C" w:rsidP="00A4284C">
            <w:pPr>
              <w:pStyle w:val="cuatexto"/>
              <w:ind w:right="30"/>
              <w:jc w:val="right"/>
              <w:rPr>
                <w:rFonts w:ascii="Arial" w:hAnsi="Arial" w:cs="Arial"/>
                <w:sz w:val="18"/>
                <w:szCs w:val="18"/>
              </w:rPr>
            </w:pPr>
            <w:r>
              <w:rPr>
                <w:rFonts w:ascii="Arial" w:hAnsi="Arial"/>
                <w:sz w:val="18"/>
                <w:szCs w:val="18"/>
              </w:rPr>
              <w:t xml:space="preserve">100 </w:t>
            </w:r>
          </w:p>
        </w:tc>
        <w:tc>
          <w:tcPr>
            <w:tcW w:w="284" w:type="dxa"/>
            <w:shd w:val="clear" w:color="auto" w:fill="FABF8F" w:themeFill="accent6" w:themeFillTint="99"/>
            <w:vAlign w:val="center"/>
            <w:hideMark/>
          </w:tcPr>
          <w:p w:rsidR="00A4284C" w:rsidRPr="00B71D4C" w:rsidRDefault="00A4284C" w:rsidP="00291A4E">
            <w:pPr>
              <w:pStyle w:val="cuatexto"/>
              <w:jc w:val="left"/>
              <w:rPr>
                <w:rFonts w:ascii="Arial" w:hAnsi="Arial" w:cs="Arial"/>
                <w:sz w:val="18"/>
                <w:szCs w:val="18"/>
              </w:rPr>
            </w:pPr>
            <w:r>
              <w:rPr>
                <w:rFonts w:ascii="Arial" w:hAnsi="Arial"/>
                <w:sz w:val="18"/>
                <w:szCs w:val="18"/>
              </w:rPr>
              <w:t> </w:t>
            </w:r>
          </w:p>
        </w:tc>
        <w:tc>
          <w:tcPr>
            <w:tcW w:w="284" w:type="dxa"/>
            <w:shd w:val="clear" w:color="auto" w:fill="FABF8F" w:themeFill="accent6" w:themeFillTint="99"/>
            <w:vAlign w:val="center"/>
            <w:hideMark/>
          </w:tcPr>
          <w:p w:rsidR="00A4284C" w:rsidRPr="00B71D4C" w:rsidRDefault="00A4284C" w:rsidP="00291A4E">
            <w:pPr>
              <w:pStyle w:val="cuatexto"/>
              <w:jc w:val="right"/>
              <w:rPr>
                <w:rFonts w:ascii="Arial" w:hAnsi="Arial" w:cs="Arial"/>
                <w:sz w:val="18"/>
                <w:szCs w:val="18"/>
              </w:rPr>
            </w:pPr>
            <w:r>
              <w:rPr>
                <w:rFonts w:ascii="Arial" w:hAnsi="Arial"/>
                <w:sz w:val="18"/>
                <w:szCs w:val="18"/>
              </w:rPr>
              <w:t xml:space="preserve">100 </w:t>
            </w:r>
          </w:p>
        </w:tc>
      </w:tr>
    </w:tbl>
    <w:p w:rsidR="00BD6CE9" w:rsidRPr="00BD6CE9" w:rsidRDefault="00BD6CE9" w:rsidP="001709A3">
      <w:pPr>
        <w:pStyle w:val="texto"/>
        <w:spacing w:before="240" w:after="240"/>
      </w:pPr>
      <w:r>
        <w:t>2015eko ekitaldirako aurrekontuaren betetzeak eta betetze horren aurreko ekitaldikoarekiko alderaketak honako magnitude eta adierazleak ematen d</w:t>
      </w:r>
      <w:r>
        <w:t>i</w:t>
      </w:r>
      <w:r>
        <w:t>tuzte:</w:t>
      </w:r>
    </w:p>
    <w:tbl>
      <w:tblPr>
        <w:tblW w:w="8982" w:type="dxa"/>
        <w:jc w:val="center"/>
        <w:tblCellMar>
          <w:left w:w="70" w:type="dxa"/>
          <w:right w:w="70" w:type="dxa"/>
        </w:tblCellMar>
        <w:tblLook w:val="04A0" w:firstRow="1" w:lastRow="0" w:firstColumn="1" w:lastColumn="0" w:noHBand="0" w:noVBand="1"/>
      </w:tblPr>
      <w:tblGrid>
        <w:gridCol w:w="5455"/>
        <w:gridCol w:w="1127"/>
        <w:gridCol w:w="1200"/>
        <w:gridCol w:w="1200"/>
      </w:tblGrid>
      <w:tr w:rsidR="00BD6CE9" w:rsidRPr="001D4100" w:rsidTr="001709A3">
        <w:trPr>
          <w:trHeight w:val="284"/>
          <w:jc w:val="center"/>
        </w:trPr>
        <w:tc>
          <w:tcPr>
            <w:tcW w:w="5455" w:type="dxa"/>
            <w:tcBorders>
              <w:top w:val="single" w:sz="4" w:space="0" w:color="auto"/>
              <w:left w:val="nil"/>
              <w:bottom w:val="single" w:sz="4" w:space="0" w:color="auto"/>
            </w:tcBorders>
            <w:shd w:val="clear" w:color="auto" w:fill="FABF8F" w:themeFill="accent6" w:themeFillTint="99"/>
            <w:noWrap/>
            <w:vAlign w:val="center"/>
            <w:hideMark/>
          </w:tcPr>
          <w:p w:rsidR="00BD6CE9" w:rsidRPr="001D4100" w:rsidRDefault="00BD6CE9" w:rsidP="00291A4E">
            <w:pPr>
              <w:pStyle w:val="cuadroCabe"/>
            </w:pPr>
            <w:r>
              <w:t>Adierazleak</w:t>
            </w:r>
          </w:p>
        </w:tc>
        <w:tc>
          <w:tcPr>
            <w:tcW w:w="1127" w:type="dxa"/>
            <w:tcBorders>
              <w:top w:val="single" w:sz="4" w:space="0" w:color="auto"/>
              <w:bottom w:val="single" w:sz="4" w:space="0" w:color="auto"/>
            </w:tcBorders>
            <w:shd w:val="clear" w:color="auto" w:fill="FABF8F" w:themeFill="accent6" w:themeFillTint="99"/>
            <w:noWrap/>
            <w:vAlign w:val="center"/>
          </w:tcPr>
          <w:p w:rsidR="00BD6CE9" w:rsidRPr="001D4100" w:rsidRDefault="00BD6CE9" w:rsidP="00623AB9">
            <w:pPr>
              <w:pStyle w:val="cuadroCabe"/>
              <w:jc w:val="right"/>
            </w:pPr>
            <w:r>
              <w:t xml:space="preserve">2014 </w:t>
            </w:r>
          </w:p>
        </w:tc>
        <w:tc>
          <w:tcPr>
            <w:tcW w:w="1200" w:type="dxa"/>
            <w:tcBorders>
              <w:top w:val="single" w:sz="4" w:space="0" w:color="auto"/>
              <w:bottom w:val="single" w:sz="4" w:space="0" w:color="auto"/>
            </w:tcBorders>
            <w:shd w:val="clear" w:color="auto" w:fill="FABF8F" w:themeFill="accent6" w:themeFillTint="99"/>
            <w:noWrap/>
            <w:vAlign w:val="center"/>
          </w:tcPr>
          <w:p w:rsidR="00BD6CE9" w:rsidRPr="001D4100" w:rsidRDefault="00BD6CE9" w:rsidP="00291A4E">
            <w:pPr>
              <w:pStyle w:val="cuadroCabe"/>
              <w:jc w:val="right"/>
            </w:pPr>
            <w:r>
              <w:t>2015</w:t>
            </w:r>
          </w:p>
        </w:tc>
        <w:tc>
          <w:tcPr>
            <w:tcW w:w="1200" w:type="dxa"/>
            <w:tcBorders>
              <w:top w:val="single" w:sz="4" w:space="0" w:color="auto"/>
              <w:bottom w:val="single" w:sz="4" w:space="0" w:color="auto"/>
            </w:tcBorders>
            <w:shd w:val="clear" w:color="auto" w:fill="FABF8F" w:themeFill="accent6" w:themeFillTint="99"/>
            <w:noWrap/>
            <w:vAlign w:val="center"/>
          </w:tcPr>
          <w:p w:rsidR="00BD6CE9" w:rsidRPr="001D4100" w:rsidRDefault="00BD6CE9" w:rsidP="00291A4E">
            <w:pPr>
              <w:pStyle w:val="cuadroCabe"/>
              <w:jc w:val="right"/>
            </w:pPr>
            <w:r>
              <w:t>15/14 aldea (%)</w:t>
            </w:r>
          </w:p>
        </w:tc>
      </w:tr>
      <w:tr w:rsidR="00FE65CE" w:rsidRPr="001D4100" w:rsidTr="001709A3">
        <w:trPr>
          <w:trHeight w:val="284"/>
          <w:jc w:val="center"/>
        </w:trPr>
        <w:tc>
          <w:tcPr>
            <w:tcW w:w="5455" w:type="dxa"/>
            <w:tcBorders>
              <w:top w:val="single" w:sz="4"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Aitortutako betebeharrak</w:t>
            </w:r>
          </w:p>
        </w:tc>
        <w:tc>
          <w:tcPr>
            <w:tcW w:w="1127" w:type="dxa"/>
            <w:tcBorders>
              <w:top w:val="single" w:sz="4"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409.844</w:t>
            </w:r>
          </w:p>
        </w:tc>
        <w:tc>
          <w:tcPr>
            <w:tcW w:w="1200" w:type="dxa"/>
            <w:tcBorders>
              <w:top w:val="single" w:sz="4"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199.705</w:t>
            </w:r>
          </w:p>
        </w:tc>
        <w:tc>
          <w:tcPr>
            <w:tcW w:w="1200" w:type="dxa"/>
            <w:tcBorders>
              <w:top w:val="single" w:sz="4"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-51</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Likidatutako eskubideak</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234.624</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285.056</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21</w:t>
            </w:r>
          </w:p>
        </w:tc>
      </w:tr>
      <w:tr w:rsidR="007A75E2"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7A75E2" w:rsidRPr="00BD6CE9" w:rsidRDefault="007A75E2" w:rsidP="004E7AEE">
            <w:pPr>
              <w:pStyle w:val="cuatexto"/>
            </w:pPr>
            <w:r>
              <w:t>Ordainketen betetzea (%)</w:t>
            </w:r>
          </w:p>
        </w:tc>
        <w:tc>
          <w:tcPr>
            <w:tcW w:w="1127" w:type="dxa"/>
            <w:tcBorders>
              <w:top w:val="single" w:sz="2" w:space="0" w:color="auto"/>
              <w:left w:val="nil"/>
              <w:bottom w:val="single" w:sz="2" w:space="0" w:color="auto"/>
              <w:right w:val="nil"/>
            </w:tcBorders>
            <w:shd w:val="clear" w:color="auto" w:fill="auto"/>
            <w:noWrap/>
            <w:vAlign w:val="center"/>
          </w:tcPr>
          <w:p w:rsidR="007A75E2" w:rsidRPr="000F4C48" w:rsidRDefault="00843A91" w:rsidP="000F4C48">
            <w:pPr>
              <w:pStyle w:val="cuatexto"/>
              <w:ind w:right="30"/>
              <w:jc w:val="right"/>
            </w:pPr>
            <w:r>
              <w:t>100</w:t>
            </w:r>
          </w:p>
        </w:tc>
        <w:tc>
          <w:tcPr>
            <w:tcW w:w="1200" w:type="dxa"/>
            <w:tcBorders>
              <w:top w:val="single" w:sz="2" w:space="0" w:color="auto"/>
              <w:left w:val="nil"/>
              <w:bottom w:val="single" w:sz="2" w:space="0" w:color="auto"/>
              <w:right w:val="nil"/>
            </w:tcBorders>
            <w:shd w:val="clear" w:color="auto" w:fill="auto"/>
            <w:noWrap/>
            <w:vAlign w:val="center"/>
          </w:tcPr>
          <w:p w:rsidR="007A75E2" w:rsidRPr="000F4C48" w:rsidRDefault="00843A91" w:rsidP="000F4C48">
            <w:pPr>
              <w:pStyle w:val="cuatexto"/>
              <w:ind w:right="30"/>
              <w:jc w:val="right"/>
            </w:pPr>
            <w:r>
              <w:t>99</w:t>
            </w:r>
          </w:p>
        </w:tc>
        <w:tc>
          <w:tcPr>
            <w:tcW w:w="1200" w:type="dxa"/>
            <w:tcBorders>
              <w:top w:val="single" w:sz="2" w:space="0" w:color="auto"/>
              <w:left w:val="nil"/>
              <w:bottom w:val="single" w:sz="2" w:space="0" w:color="auto"/>
              <w:right w:val="nil"/>
            </w:tcBorders>
            <w:shd w:val="clear" w:color="auto" w:fill="auto"/>
            <w:noWrap/>
            <w:vAlign w:val="center"/>
          </w:tcPr>
          <w:p w:rsidR="007A75E2" w:rsidRPr="000F4C48" w:rsidRDefault="007A75E2" w:rsidP="000F4C48">
            <w:pPr>
              <w:pStyle w:val="cuatexto"/>
              <w:ind w:right="30"/>
              <w:jc w:val="right"/>
            </w:pPr>
          </w:p>
        </w:tc>
      </w:tr>
      <w:tr w:rsidR="007A75E2"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7A75E2" w:rsidRDefault="007A75E2" w:rsidP="004E7AEE">
            <w:pPr>
              <w:pStyle w:val="cuatexto"/>
            </w:pPr>
            <w:r>
              <w:t>Kobrantzen betetzea (%)</w:t>
            </w:r>
          </w:p>
        </w:tc>
        <w:tc>
          <w:tcPr>
            <w:tcW w:w="1127" w:type="dxa"/>
            <w:tcBorders>
              <w:top w:val="single" w:sz="2" w:space="0" w:color="auto"/>
              <w:left w:val="nil"/>
              <w:bottom w:val="single" w:sz="2" w:space="0" w:color="auto"/>
              <w:right w:val="nil"/>
            </w:tcBorders>
            <w:shd w:val="clear" w:color="auto" w:fill="auto"/>
            <w:noWrap/>
            <w:vAlign w:val="center"/>
          </w:tcPr>
          <w:p w:rsidR="007A75E2" w:rsidRPr="000F4C48" w:rsidRDefault="00843A91" w:rsidP="000F4C48">
            <w:pPr>
              <w:pStyle w:val="cuatexto"/>
              <w:ind w:right="30"/>
              <w:jc w:val="right"/>
            </w:pPr>
            <w:r>
              <w:t>100</w:t>
            </w:r>
          </w:p>
        </w:tc>
        <w:tc>
          <w:tcPr>
            <w:tcW w:w="1200" w:type="dxa"/>
            <w:tcBorders>
              <w:top w:val="single" w:sz="2" w:space="0" w:color="auto"/>
              <w:left w:val="nil"/>
              <w:bottom w:val="single" w:sz="2" w:space="0" w:color="auto"/>
              <w:right w:val="nil"/>
            </w:tcBorders>
            <w:shd w:val="clear" w:color="auto" w:fill="auto"/>
            <w:noWrap/>
            <w:vAlign w:val="center"/>
          </w:tcPr>
          <w:p w:rsidR="007A75E2" w:rsidRPr="000F4C48" w:rsidRDefault="007A75E2" w:rsidP="000F4C48">
            <w:pPr>
              <w:pStyle w:val="cuatexto"/>
              <w:ind w:right="30"/>
              <w:jc w:val="right"/>
            </w:pPr>
            <w:r>
              <w:t xml:space="preserve">100   </w:t>
            </w:r>
          </w:p>
        </w:tc>
        <w:tc>
          <w:tcPr>
            <w:tcW w:w="1200" w:type="dxa"/>
            <w:tcBorders>
              <w:top w:val="single" w:sz="2" w:space="0" w:color="auto"/>
              <w:left w:val="nil"/>
              <w:bottom w:val="single" w:sz="2" w:space="0" w:color="auto"/>
              <w:right w:val="nil"/>
            </w:tcBorders>
            <w:shd w:val="clear" w:color="auto" w:fill="auto"/>
            <w:noWrap/>
            <w:vAlign w:val="center"/>
          </w:tcPr>
          <w:p w:rsidR="007A75E2" w:rsidRPr="000F4C48" w:rsidRDefault="007A75E2" w:rsidP="000F4C48">
            <w:pPr>
              <w:pStyle w:val="cuatexto"/>
              <w:ind w:right="30"/>
              <w:jc w:val="right"/>
            </w:pP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Gastu arruntak (1. kapitulutik 4.era)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194.954</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151.083</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-23</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Funtzionamendu-gastuak (1., 2. eta 4. kapituluak)</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194.954</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151.083</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-23</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Kapital-gastuak (6. eta 7.  kapituluak)</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214.890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48.622</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-77</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Finantza-eragiketengatiko gastuak (8. eta 9. kapituluak)</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 </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Diru-sarrera arruntak (1. kapitulutik 5.era)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205.689</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285.056</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39</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Tributu bidezko diru-sarrerak (1. kapitulutik 3ra)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133.245</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182.479</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37</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Kapital bidezko diru-sarrerak (6. eta 7. kapituluak)</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28.935</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-100</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Finantza-eragiketengatiko diru-sarrerak (8. eta 9. kapituluak)</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 </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Diru-laguntzen mendekotasuna (%)</w:t>
            </w:r>
          </w:p>
        </w:tc>
        <w:tc>
          <w:tcPr>
            <w:tcW w:w="1127" w:type="dxa"/>
            <w:tcBorders>
              <w:top w:val="single" w:sz="2" w:space="0" w:color="auto"/>
              <w:left w:val="nil"/>
              <w:bottom w:val="single" w:sz="2" w:space="0" w:color="auto"/>
              <w:right w:val="nil"/>
            </w:tcBorders>
            <w:shd w:val="clear" w:color="auto" w:fill="auto"/>
            <w:noWrap/>
            <w:vAlign w:val="center"/>
          </w:tcPr>
          <w:p w:rsidR="00FE65CE" w:rsidRPr="001D4100" w:rsidRDefault="00FE65CE" w:rsidP="000F4C48">
            <w:pPr>
              <w:pStyle w:val="cuatexto"/>
              <w:ind w:right="30"/>
              <w:jc w:val="right"/>
            </w:pPr>
            <w:r>
              <w:t>29</w:t>
            </w:r>
          </w:p>
        </w:tc>
        <w:tc>
          <w:tcPr>
            <w:tcW w:w="1200" w:type="dxa"/>
            <w:tcBorders>
              <w:top w:val="single" w:sz="2" w:space="0" w:color="auto"/>
              <w:left w:val="nil"/>
              <w:bottom w:val="single" w:sz="2" w:space="0" w:color="auto"/>
              <w:right w:val="nil"/>
            </w:tcBorders>
            <w:shd w:val="clear" w:color="auto" w:fill="auto"/>
            <w:noWrap/>
            <w:vAlign w:val="center"/>
          </w:tcPr>
          <w:p w:rsidR="00FE65CE" w:rsidRPr="001D4100" w:rsidRDefault="00FE65CE" w:rsidP="000F4C48">
            <w:pPr>
              <w:pStyle w:val="cuatexto"/>
              <w:ind w:right="30"/>
              <w:jc w:val="right"/>
            </w:pPr>
            <w:r>
              <w:t>21</w:t>
            </w:r>
          </w:p>
        </w:tc>
        <w:tc>
          <w:tcPr>
            <w:tcW w:w="1200" w:type="dxa"/>
            <w:tcBorders>
              <w:top w:val="single" w:sz="2" w:space="0" w:color="auto"/>
              <w:left w:val="nil"/>
              <w:bottom w:val="single" w:sz="2" w:space="0" w:color="auto"/>
              <w:right w:val="nil"/>
            </w:tcBorders>
            <w:shd w:val="clear" w:color="auto" w:fill="auto"/>
            <w:noWrap/>
            <w:vAlign w:val="center"/>
          </w:tcPr>
          <w:p w:rsidR="00FE65CE" w:rsidRPr="001D4100" w:rsidRDefault="00FE65CE" w:rsidP="000F4C48">
            <w:pPr>
              <w:pStyle w:val="cuatexto"/>
              <w:ind w:right="30"/>
              <w:jc w:val="right"/>
            </w:pP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Tributu bidezko diru-sarrerak / gastu arruntak (%)</w:t>
            </w:r>
          </w:p>
        </w:tc>
        <w:tc>
          <w:tcPr>
            <w:tcW w:w="1127"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r>
              <w:t>65</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r>
              <w:t>64</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Aurrekontuko saldo ez finantzarioa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-175.221</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85.350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149</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Aurrekontu-emaitza doitua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4E7AEE" w:rsidP="000F4C48">
            <w:pPr>
              <w:pStyle w:val="cuatexto"/>
              <w:ind w:right="30"/>
              <w:jc w:val="right"/>
            </w:pPr>
            <w:r>
              <w:t>-175.221</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85.350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4E7AEE">
            <w:pPr>
              <w:pStyle w:val="cuatexto"/>
              <w:ind w:right="30"/>
              <w:jc w:val="right"/>
            </w:pPr>
            <w:r>
              <w:t>149</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 xml:space="preserve">Gastu orokorretarako </w:t>
            </w:r>
            <w:proofErr w:type="spellStart"/>
            <w:r>
              <w:t>diruzaintza-gerakina</w:t>
            </w:r>
            <w:proofErr w:type="spellEnd"/>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47.287</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132.637</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180</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Aurrezki gordina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10.734</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133.972</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1148</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Finantza-zama (3. eta 9. kapituluak)</w:t>
            </w:r>
          </w:p>
        </w:tc>
        <w:tc>
          <w:tcPr>
            <w:tcW w:w="1127" w:type="dxa"/>
            <w:tcBorders>
              <w:top w:val="single" w:sz="2" w:space="0" w:color="auto"/>
              <w:left w:val="nil"/>
              <w:bottom w:val="single" w:sz="2" w:space="0" w:color="auto"/>
              <w:right w:val="nil"/>
            </w:tcBorders>
            <w:shd w:val="clear" w:color="auto" w:fill="auto"/>
            <w:noWrap/>
            <w:vAlign w:val="bottom"/>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 </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Aurrezki garbia</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10.734</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133.972</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1148</w:t>
            </w: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Zorpetze-maila (%)</w:t>
            </w:r>
          </w:p>
        </w:tc>
        <w:tc>
          <w:tcPr>
            <w:tcW w:w="1127"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0F4C48" w:rsidRDefault="00FE65CE" w:rsidP="000F4C48">
            <w:pPr>
              <w:pStyle w:val="cuatexto"/>
              <w:ind w:right="30"/>
              <w:jc w:val="right"/>
            </w:pPr>
            <w:r>
              <w:t>0</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p>
        </w:tc>
      </w:tr>
      <w:tr w:rsidR="00FE65CE" w:rsidRPr="001D4100" w:rsidTr="001709A3">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Zorpetze-muga (%)</w:t>
            </w:r>
          </w:p>
        </w:tc>
        <w:tc>
          <w:tcPr>
            <w:tcW w:w="1127"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r>
              <w:t>5</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r>
              <w:t>47</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p>
        </w:tc>
      </w:tr>
      <w:tr w:rsidR="00FE65CE" w:rsidRPr="001D4100" w:rsidTr="00422376">
        <w:trPr>
          <w:trHeight w:val="284"/>
          <w:jc w:val="center"/>
        </w:trPr>
        <w:tc>
          <w:tcPr>
            <w:tcW w:w="5455" w:type="dxa"/>
            <w:tcBorders>
              <w:top w:val="single" w:sz="2" w:space="0" w:color="auto"/>
              <w:left w:val="nil"/>
              <w:bottom w:val="single" w:sz="2" w:space="0" w:color="auto"/>
              <w:right w:val="nil"/>
            </w:tcBorders>
            <w:shd w:val="clear" w:color="auto" w:fill="auto"/>
            <w:noWrap/>
            <w:vAlign w:val="center"/>
          </w:tcPr>
          <w:p w:rsidR="00FE65CE" w:rsidRPr="00BD6CE9" w:rsidRDefault="00FE65CE" w:rsidP="004E7AEE">
            <w:pPr>
              <w:pStyle w:val="cuatexto"/>
            </w:pPr>
            <w:r>
              <w:t>Zorpetze-ahalmena (%)</w:t>
            </w:r>
          </w:p>
        </w:tc>
        <w:tc>
          <w:tcPr>
            <w:tcW w:w="1127"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r>
              <w:t>5</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r>
              <w:t>47</w:t>
            </w:r>
          </w:p>
        </w:tc>
        <w:tc>
          <w:tcPr>
            <w:tcW w:w="1200" w:type="dxa"/>
            <w:tcBorders>
              <w:top w:val="single" w:sz="2" w:space="0" w:color="auto"/>
              <w:left w:val="nil"/>
              <w:bottom w:val="single" w:sz="2" w:space="0" w:color="auto"/>
              <w:right w:val="nil"/>
            </w:tcBorders>
            <w:shd w:val="clear" w:color="auto" w:fill="auto"/>
            <w:noWrap/>
            <w:vAlign w:val="center"/>
          </w:tcPr>
          <w:p w:rsidR="00FE65CE" w:rsidRPr="00F9352E" w:rsidRDefault="00FE65CE" w:rsidP="000F4C48">
            <w:pPr>
              <w:pStyle w:val="cuatexto"/>
              <w:ind w:right="30"/>
              <w:jc w:val="right"/>
            </w:pPr>
          </w:p>
        </w:tc>
      </w:tr>
      <w:tr w:rsidR="00FE65CE" w:rsidRPr="001D4100" w:rsidTr="00422376">
        <w:trPr>
          <w:trHeight w:val="284"/>
          <w:jc w:val="center"/>
        </w:trPr>
        <w:tc>
          <w:tcPr>
            <w:tcW w:w="5455" w:type="dxa"/>
            <w:tcBorders>
              <w:top w:val="single" w:sz="2" w:space="0" w:color="auto"/>
              <w:left w:val="nil"/>
              <w:bottom w:val="single" w:sz="4" w:space="0" w:color="auto"/>
              <w:right w:val="nil"/>
            </w:tcBorders>
            <w:shd w:val="clear" w:color="auto" w:fill="auto"/>
            <w:noWrap/>
            <w:vAlign w:val="center"/>
          </w:tcPr>
          <w:p w:rsidR="00FE65CE" w:rsidRPr="00BD6CE9" w:rsidRDefault="00FE65CE" w:rsidP="004E7AEE">
            <w:pPr>
              <w:pStyle w:val="cuatexto"/>
            </w:pPr>
            <w:r>
              <w:t>Zor bizia</w:t>
            </w:r>
          </w:p>
        </w:tc>
        <w:tc>
          <w:tcPr>
            <w:tcW w:w="1127" w:type="dxa"/>
            <w:tcBorders>
              <w:top w:val="single" w:sz="2" w:space="0" w:color="auto"/>
              <w:left w:val="nil"/>
              <w:bottom w:val="single" w:sz="4" w:space="0" w:color="auto"/>
              <w:right w:val="nil"/>
            </w:tcBorders>
            <w:shd w:val="clear" w:color="auto" w:fill="auto"/>
            <w:noWrap/>
            <w:vAlign w:val="center"/>
          </w:tcPr>
          <w:p w:rsidR="00FE65CE" w:rsidRPr="00F9352E" w:rsidRDefault="00FE65CE" w:rsidP="000F4C48">
            <w:pPr>
              <w:pStyle w:val="cuatexto"/>
              <w:ind w:right="30"/>
              <w:jc w:val="right"/>
            </w:pPr>
            <w:r>
              <w:t>0</w:t>
            </w:r>
          </w:p>
        </w:tc>
        <w:tc>
          <w:tcPr>
            <w:tcW w:w="1200" w:type="dxa"/>
            <w:tcBorders>
              <w:top w:val="single" w:sz="2" w:space="0" w:color="auto"/>
              <w:left w:val="nil"/>
              <w:bottom w:val="single" w:sz="4" w:space="0" w:color="auto"/>
              <w:right w:val="nil"/>
            </w:tcBorders>
            <w:shd w:val="clear" w:color="auto" w:fill="auto"/>
            <w:noWrap/>
            <w:vAlign w:val="center"/>
          </w:tcPr>
          <w:p w:rsidR="00FE65CE" w:rsidRPr="00F9352E" w:rsidRDefault="00FE65CE" w:rsidP="000F4C48">
            <w:pPr>
              <w:pStyle w:val="cuatexto"/>
              <w:ind w:right="30"/>
              <w:jc w:val="right"/>
            </w:pPr>
            <w:r>
              <w:t>0</w:t>
            </w:r>
          </w:p>
        </w:tc>
        <w:tc>
          <w:tcPr>
            <w:tcW w:w="1200" w:type="dxa"/>
            <w:tcBorders>
              <w:top w:val="single" w:sz="2" w:space="0" w:color="auto"/>
              <w:left w:val="nil"/>
              <w:bottom w:val="single" w:sz="4" w:space="0" w:color="auto"/>
              <w:right w:val="nil"/>
            </w:tcBorders>
            <w:shd w:val="clear" w:color="auto" w:fill="auto"/>
            <w:noWrap/>
            <w:vAlign w:val="center"/>
          </w:tcPr>
          <w:p w:rsidR="00FE65CE" w:rsidRPr="00F9352E" w:rsidRDefault="00FE65CE" w:rsidP="000F4C48">
            <w:pPr>
              <w:pStyle w:val="cuatexto"/>
              <w:ind w:right="30"/>
              <w:jc w:val="right"/>
            </w:pPr>
          </w:p>
        </w:tc>
      </w:tr>
    </w:tbl>
    <w:p w:rsidR="00623AB9" w:rsidRDefault="00623AB9" w:rsidP="001709A3">
      <w:pPr>
        <w:pStyle w:val="texto"/>
        <w:spacing w:after="0"/>
      </w:pPr>
    </w:p>
    <w:p w:rsidR="00BD6CE9" w:rsidRDefault="00C43F27" w:rsidP="00C43F27">
      <w:pPr>
        <w:pStyle w:val="texto"/>
      </w:pPr>
      <w:r>
        <w:t>Aurreko datuen azterketatik, honakoa azpimarratzen dugu:</w:t>
      </w:r>
    </w:p>
    <w:p w:rsidR="004C7AA2" w:rsidRPr="00486524" w:rsidRDefault="00C43F27"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2015eko gastuak ehuneko 51 jaitsi dira; hau da, 210.139 euro. Jaitsiera hori justifikatzen da, funtsean, inbertsioek behera egin dutelako —166.268 </w:t>
      </w:r>
      <w:proofErr w:type="spellStart"/>
      <w:r>
        <w:lastRenderedPageBreak/>
        <w:t>euro—</w:t>
      </w:r>
      <w:proofErr w:type="spellEnd"/>
      <w:r>
        <w:t xml:space="preserve"> eta gastu arrunten eta zerbitzuen gastuak ere behera egin duelako —46.451 </w:t>
      </w:r>
      <w:proofErr w:type="spellStart"/>
      <w:r>
        <w:t>euro—</w:t>
      </w:r>
      <w:proofErr w:type="spellEnd"/>
      <w:r>
        <w:t>.</w:t>
      </w:r>
    </w:p>
    <w:p w:rsidR="004C7AA2" w:rsidRPr="00486524" w:rsidRDefault="004C7AA2"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2015eko diru-sarrerek ehuneko 21 egin dute gora, hau da, 50.432 euro; igoera hori heldu da, funtsean, elektrizitate konpainiek okupazioagatik ordai</w:t>
      </w:r>
      <w:r>
        <w:t>n</w:t>
      </w:r>
      <w:r>
        <w:t xml:space="preserve">dutako tasetatik —48.301 </w:t>
      </w:r>
      <w:proofErr w:type="spellStart"/>
      <w:r>
        <w:t>euro—</w:t>
      </w:r>
      <w:proofErr w:type="spellEnd"/>
      <w:r>
        <w:t xml:space="preserve"> eta zuhaitzen salmentatik eta herri-lurren aprobetxamendutik —37.799 </w:t>
      </w:r>
      <w:proofErr w:type="spellStart"/>
      <w:r>
        <w:t>euro—</w:t>
      </w:r>
      <w:proofErr w:type="spellEnd"/>
      <w:r>
        <w:t>. Halaber, aipatu behar dugu 2015ean ko</w:t>
      </w:r>
      <w:r>
        <w:t>n</w:t>
      </w:r>
      <w:r>
        <w:t>tzejuak ez duela kapital-transferentziarik jaso.</w:t>
      </w:r>
    </w:p>
    <w:p w:rsidR="00486524" w:rsidRPr="00486524" w:rsidRDefault="00486524"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2015ean, kontzejuak balio positiboak dauzka aurrekontu-saldo ez-finantzarioan eta aurrekontu-emaitza doituan, 2014an magnitude horietan lort</w:t>
      </w:r>
      <w:r>
        <w:t>u</w:t>
      </w:r>
      <w:r>
        <w:t xml:space="preserve">tako balioak nabarmen hobetu baititu. Hala eta guztiz ere, zehaztu beharra dago 2014ko aurrekontu-emaitzak ez zuela jaso </w:t>
      </w:r>
      <w:proofErr w:type="spellStart"/>
      <w:r>
        <w:t>diruzaintza-gerakinarekin</w:t>
      </w:r>
      <w:proofErr w:type="spellEnd"/>
      <w:r>
        <w:t xml:space="preserve"> finantzat</w:t>
      </w:r>
      <w:r>
        <w:t>u</w:t>
      </w:r>
      <w:r>
        <w:t>tako inbertsioengatik aginduzkoa den doikuntza.</w:t>
      </w:r>
    </w:p>
    <w:p w:rsidR="00486524" w:rsidRPr="00486524" w:rsidRDefault="00486524"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Gastu orokorretarako </w:t>
      </w:r>
      <w:proofErr w:type="spellStart"/>
      <w:r>
        <w:t>diruzaintza-gerakinak</w:t>
      </w:r>
      <w:proofErr w:type="spellEnd"/>
      <w:r>
        <w:t xml:space="preserve"> ehuneko 180 egin du gora 2014koarekin alderatuta, eta 132.637 euroko kopurura iritsi da.</w:t>
      </w:r>
    </w:p>
    <w:p w:rsidR="00486524" w:rsidRPr="00486524" w:rsidRDefault="00486524"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Halaber, 2015ean, nabarmen hobetu dira aurrezki gordinaren eta garbiaren balioak, zeinak bat baitatoz, finantza-zamarik ez dagoelako.</w:t>
      </w:r>
    </w:p>
    <w:p w:rsidR="00486524" w:rsidRPr="00486524" w:rsidRDefault="00486524" w:rsidP="0048652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Bi ekitaldietako bakarrean ere ez du zorpetzerik.</w:t>
      </w:r>
    </w:p>
    <w:p w:rsidR="00C43F27" w:rsidRPr="00C43F27" w:rsidRDefault="00486524" w:rsidP="00B86136">
      <w:pPr>
        <w:pStyle w:val="texto"/>
      </w:pPr>
      <w:r>
        <w:rPr>
          <w:b/>
        </w:rPr>
        <w:t>Azken batez</w:t>
      </w:r>
      <w:r>
        <w:t>, Ororbiako Kontzejuak finantza-egoera saneatua dauka, fu</w:t>
      </w:r>
      <w:r>
        <w:t>n</w:t>
      </w:r>
      <w:r>
        <w:t>tsean diru-sarrera bereki garrantzitsuak dituelako, elektrizitate-konpainiek o</w:t>
      </w:r>
      <w:r>
        <w:t>r</w:t>
      </w:r>
      <w:r>
        <w:t xml:space="preserve">daindutako okupazio-tasek eta herri-lurren ustiaketak sortuak, eta </w:t>
      </w:r>
      <w:proofErr w:type="spellStart"/>
      <w:r>
        <w:t>diruzaintza-gerakinean</w:t>
      </w:r>
      <w:proofErr w:type="spellEnd"/>
      <w:r>
        <w:t xml:space="preserve"> saldo positibo garrantzitsu bat baduelako. </w:t>
      </w:r>
    </w:p>
    <w:p w:rsidR="00351EFF" w:rsidRDefault="00351EFF" w:rsidP="00351EFF">
      <w:pPr>
        <w:pStyle w:val="atitulo2"/>
        <w:spacing w:before="240"/>
      </w:pPr>
      <w:bookmarkStart w:id="41" w:name="_Toc476722776"/>
      <w:r>
        <w:t>IV.2. Aurrekontu-egonkortasuneko eta finantza-iraunkortasunaren pri</w:t>
      </w:r>
      <w:r>
        <w:t>n</w:t>
      </w:r>
      <w:r>
        <w:t>tzipioak</w:t>
      </w:r>
      <w:bookmarkEnd w:id="41"/>
      <w:r>
        <w:t xml:space="preserve"> </w:t>
      </w:r>
    </w:p>
    <w:p w:rsidR="00351EFF" w:rsidRDefault="00351EFF" w:rsidP="00351EFF">
      <w:pPr>
        <w:pStyle w:val="texto"/>
        <w:tabs>
          <w:tab w:val="clear" w:pos="2835"/>
          <w:tab w:val="clear" w:pos="3969"/>
          <w:tab w:val="clear" w:pos="5103"/>
          <w:tab w:val="clear" w:pos="6237"/>
          <w:tab w:val="clear" w:pos="7371"/>
        </w:tabs>
        <w:rPr>
          <w:szCs w:val="26"/>
        </w:rPr>
      </w:pPr>
      <w:r>
        <w:t>Aurrekontu-egonkortasunari eta finantza-iraunkortasunari buruzko apirilaren 27ko 2/2012 Lege Organikoari jarraituz, Kontzejuak honako arau fiskal hauek bete behar ditu:</w:t>
      </w:r>
    </w:p>
    <w:p w:rsidR="00351EFF" w:rsidRDefault="00351EFF" w:rsidP="00351EF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Aurrekontu-egonkortasuna, edo ekitaldiko </w:t>
      </w:r>
      <w:proofErr w:type="spellStart"/>
      <w:r>
        <w:t>oreka/finantzaketa-gaitasuna</w:t>
      </w:r>
      <w:proofErr w:type="spellEnd"/>
      <w:r>
        <w:t>, kontabilitate nazionaleko terminoetan neurtua.</w:t>
      </w:r>
    </w:p>
    <w:p w:rsidR="00351EFF" w:rsidRDefault="00351EFF" w:rsidP="00351EF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Gastu-araua, hau da, Kontzejuak 2014koarekin alderatuta gastu zenbak</w:t>
      </w:r>
      <w:r>
        <w:t>a</w:t>
      </w:r>
      <w:r>
        <w:t xml:space="preserve">rrian dagoen aldeak ezin du gainditu </w:t>
      </w:r>
      <w:proofErr w:type="spellStart"/>
      <w:r>
        <w:t>BPGaren</w:t>
      </w:r>
      <w:proofErr w:type="spellEnd"/>
      <w:r>
        <w:t xml:space="preserve"> hazkundearen erreferentziako tasa. Tasa hori ehuneko 1,3an ezarri zen ekitaldi horretarako.</w:t>
      </w:r>
    </w:p>
    <w:p w:rsidR="00351EFF" w:rsidRDefault="00351EFF" w:rsidP="00351EF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Zor publikoaren iraunkortasunak esan nahi du Kontzejuaren zorrak, kont</w:t>
      </w:r>
      <w:r>
        <w:t>a</w:t>
      </w:r>
      <w:r>
        <w:t>bilitate nazionaleko terminoetan, ezin duela gainditu diru-sarrera arrunten eh</w:t>
      </w:r>
      <w:r>
        <w:t>u</w:t>
      </w:r>
      <w:r>
        <w:t>neko 110a.</w:t>
      </w:r>
    </w:p>
    <w:p w:rsidR="00351EFF" w:rsidRPr="00876B91" w:rsidRDefault="00351EFF" w:rsidP="00351EF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Merkataritza-zorraren iraunkortasunak esan nahi du hornitzaileei ordai</w:t>
      </w:r>
      <w:r>
        <w:t>n</w:t>
      </w:r>
      <w:r>
        <w:t>tzeko batez besteko epeak ezin duela gainditu, orokorrean, 30 eguneko muga.</w:t>
      </w:r>
    </w:p>
    <w:p w:rsidR="00351EFF" w:rsidRDefault="00B613A8" w:rsidP="00351EFF">
      <w:pPr>
        <w:pStyle w:val="texto"/>
        <w:tabs>
          <w:tab w:val="clear" w:pos="2835"/>
          <w:tab w:val="clear" w:pos="3969"/>
          <w:tab w:val="clear" w:pos="5103"/>
          <w:tab w:val="clear" w:pos="6237"/>
          <w:tab w:val="clear" w:pos="7371"/>
        </w:tabs>
        <w:rPr>
          <w:szCs w:val="26"/>
        </w:rPr>
      </w:pPr>
      <w:r>
        <w:t>Kontzejuaren 2015eko kontu orokorrean ez da aipamenik egiten helburu h</w:t>
      </w:r>
      <w:r>
        <w:t>o</w:t>
      </w:r>
      <w:r>
        <w:t xml:space="preserve">riek betetzeari buruz, eta ez da informaziorik ematen betetze-mailari buruz. </w:t>
      </w:r>
    </w:p>
    <w:p w:rsidR="00351EFF" w:rsidRDefault="00351EFF" w:rsidP="00351EFF">
      <w:pPr>
        <w:pStyle w:val="texto"/>
        <w:tabs>
          <w:tab w:val="clear" w:pos="2835"/>
          <w:tab w:val="clear" w:pos="3969"/>
          <w:tab w:val="clear" w:pos="5103"/>
          <w:tab w:val="clear" w:pos="6237"/>
          <w:tab w:val="clear" w:pos="7371"/>
        </w:tabs>
        <w:spacing w:after="240"/>
        <w:rPr>
          <w:szCs w:val="26"/>
        </w:rPr>
      </w:pPr>
      <w:r>
        <w:lastRenderedPageBreak/>
        <w:t>Hala eta guztiz ere, Kontzejuaren egoerari buruzko zenbatespen bat egin dugu, 2015erako, printzipio horiei dagokienez. Horren arabera, honako ondor</w:t>
      </w:r>
      <w:r>
        <w:t>i</w:t>
      </w:r>
      <w:r>
        <w:t>oak atera ditugu:</w:t>
      </w:r>
    </w:p>
    <w:p w:rsidR="00351EFF" w:rsidRPr="00356929" w:rsidRDefault="00351EFF" w:rsidP="00422376">
      <w:pPr>
        <w:pStyle w:val="atitulo3"/>
        <w:ind w:right="-142"/>
      </w:pPr>
      <w:r>
        <w:t>Oreka/finantzaketa-ahalmena kontabilitate nazionaleko terminoetan.</w:t>
      </w:r>
    </w:p>
    <w:p w:rsidR="00351EFF" w:rsidRDefault="00FD20DF" w:rsidP="00351EFF">
      <w:pPr>
        <w:pStyle w:val="texto"/>
        <w:tabs>
          <w:tab w:val="clear" w:pos="2835"/>
          <w:tab w:val="clear" w:pos="3969"/>
          <w:tab w:val="clear" w:pos="5103"/>
          <w:tab w:val="clear" w:pos="6237"/>
          <w:tab w:val="clear" w:pos="7371"/>
        </w:tabs>
        <w:rPr>
          <w:szCs w:val="26"/>
        </w:rPr>
      </w:pPr>
      <w:r>
        <w:t>Aurrekontu-saldo ez-finantzarioa abiapuntutzat hartuta (diru-sarreren 1. k</w:t>
      </w:r>
      <w:r>
        <w:t>a</w:t>
      </w:r>
      <w:r>
        <w:t>pitulutik 7. kapitulura bitartekoak ken gastuen 1. kapitulutik 7. kapitulura bita</w:t>
      </w:r>
      <w:r>
        <w:t>r</w:t>
      </w:r>
      <w:r>
        <w:t>tekoak) eta kontuan hartuta Kontzejuak kutxa-irizpidea erabiltzen duela diru-sarreren kontabilitatean, ez da bidezkoa ekitaldi korronteko aitortutako tributu-eskubideen eta itxitako ekitaldikoen arteko aldetik heldu den doikuntza egitea; eta ezin dira aplikatu, ezta ere, kasuko araudian aipatzen diren gainerako do</w:t>
      </w:r>
      <w:r>
        <w:t>i</w:t>
      </w:r>
      <w:r>
        <w:t xml:space="preserve">kuntzak. </w:t>
      </w:r>
    </w:p>
    <w:p w:rsidR="00351EFF" w:rsidRPr="00EB43D0" w:rsidRDefault="00CD2981" w:rsidP="001709A3">
      <w:pPr>
        <w:pStyle w:val="texto"/>
        <w:tabs>
          <w:tab w:val="clear" w:pos="2835"/>
          <w:tab w:val="clear" w:pos="3969"/>
          <w:tab w:val="clear" w:pos="5103"/>
          <w:tab w:val="clear" w:pos="6237"/>
          <w:tab w:val="clear" w:pos="7371"/>
        </w:tabs>
        <w:spacing w:after="240"/>
        <w:rPr>
          <w:szCs w:val="26"/>
        </w:rPr>
      </w:pPr>
      <w:r>
        <w:t>Horrenbestez, Kontzejuak 2015ean 85.350 euroan zenbatetsitako finantz</w:t>
      </w:r>
      <w:r>
        <w:t>a</w:t>
      </w:r>
      <w:r>
        <w:t xml:space="preserve">keta lortu du, honako taula honetan erakusten den bezala: </w:t>
      </w:r>
    </w:p>
    <w:tbl>
      <w:tblPr>
        <w:tblW w:w="8818" w:type="dxa"/>
        <w:jc w:val="center"/>
        <w:tblCellMar>
          <w:left w:w="70" w:type="dxa"/>
          <w:right w:w="70" w:type="dxa"/>
        </w:tblCellMar>
        <w:tblLook w:val="04A0" w:firstRow="1" w:lastRow="0" w:firstColumn="1" w:lastColumn="0" w:noHBand="0" w:noVBand="1"/>
      </w:tblPr>
      <w:tblGrid>
        <w:gridCol w:w="7780"/>
        <w:gridCol w:w="1038"/>
      </w:tblGrid>
      <w:tr w:rsidR="00CD2981" w:rsidRPr="006376F9" w:rsidTr="001709A3">
        <w:trPr>
          <w:trHeight w:val="284"/>
          <w:jc w:val="center"/>
        </w:trPr>
        <w:tc>
          <w:tcPr>
            <w:tcW w:w="7780" w:type="dxa"/>
            <w:tcBorders>
              <w:top w:val="single" w:sz="4" w:space="0" w:color="auto"/>
              <w:bottom w:val="single" w:sz="4" w:space="0" w:color="auto"/>
            </w:tcBorders>
            <w:shd w:val="clear" w:color="auto" w:fill="FABF8F" w:themeFill="accent6" w:themeFillTint="99"/>
            <w:vAlign w:val="center"/>
          </w:tcPr>
          <w:p w:rsidR="00CD2981" w:rsidRPr="006376F9" w:rsidRDefault="00CD2981" w:rsidP="00EB2A15">
            <w:pPr>
              <w:pStyle w:val="cuadroCabe"/>
            </w:pPr>
            <w:r>
              <w:t>Kontzeptua</w:t>
            </w:r>
          </w:p>
        </w:tc>
        <w:tc>
          <w:tcPr>
            <w:tcW w:w="1038" w:type="dxa"/>
            <w:tcBorders>
              <w:top w:val="single" w:sz="4" w:space="0" w:color="auto"/>
              <w:bottom w:val="single" w:sz="4" w:space="0" w:color="auto"/>
            </w:tcBorders>
            <w:shd w:val="clear" w:color="auto" w:fill="FABF8F" w:themeFill="accent6" w:themeFillTint="99"/>
            <w:vAlign w:val="center"/>
          </w:tcPr>
          <w:p w:rsidR="00CD2981" w:rsidRPr="006376F9" w:rsidRDefault="00CD2981" w:rsidP="00CD2981">
            <w:pPr>
              <w:pStyle w:val="cuadroCabe"/>
              <w:jc w:val="right"/>
            </w:pPr>
            <w:r>
              <w:t>2015</w:t>
            </w:r>
          </w:p>
        </w:tc>
      </w:tr>
      <w:tr w:rsidR="00CD2981" w:rsidRPr="00356929" w:rsidTr="001709A3">
        <w:trPr>
          <w:trHeight w:val="284"/>
          <w:jc w:val="center"/>
        </w:trPr>
        <w:tc>
          <w:tcPr>
            <w:tcW w:w="7780" w:type="dxa"/>
            <w:tcBorders>
              <w:top w:val="single" w:sz="4" w:space="0" w:color="auto"/>
              <w:bottom w:val="single" w:sz="2" w:space="0" w:color="auto"/>
            </w:tcBorders>
            <w:shd w:val="clear" w:color="auto" w:fill="auto"/>
            <w:vAlign w:val="center"/>
          </w:tcPr>
          <w:p w:rsidR="00CD2981" w:rsidRPr="00356929" w:rsidRDefault="00CD2981" w:rsidP="00EB2A15">
            <w:pPr>
              <w:pStyle w:val="cuatexto"/>
            </w:pPr>
            <w:r>
              <w:t>Aurrekontuko saldo ez finantzarioa</w:t>
            </w:r>
          </w:p>
        </w:tc>
        <w:tc>
          <w:tcPr>
            <w:tcW w:w="1038" w:type="dxa"/>
            <w:tcBorders>
              <w:top w:val="single" w:sz="4" w:space="0" w:color="auto"/>
              <w:bottom w:val="single" w:sz="2" w:space="0" w:color="auto"/>
            </w:tcBorders>
            <w:shd w:val="clear" w:color="auto" w:fill="auto"/>
            <w:vAlign w:val="center"/>
          </w:tcPr>
          <w:p w:rsidR="00CD2981" w:rsidRPr="00356929" w:rsidRDefault="00CD2981" w:rsidP="00EB2A15">
            <w:pPr>
              <w:pStyle w:val="cuatexto"/>
              <w:jc w:val="right"/>
            </w:pPr>
            <w:r>
              <w:t>85.350</w:t>
            </w:r>
          </w:p>
        </w:tc>
      </w:tr>
      <w:tr w:rsidR="00CD2981" w:rsidRPr="00356929" w:rsidTr="001709A3">
        <w:trPr>
          <w:trHeight w:val="284"/>
          <w:jc w:val="center"/>
        </w:trPr>
        <w:tc>
          <w:tcPr>
            <w:tcW w:w="7780" w:type="dxa"/>
            <w:tcBorders>
              <w:top w:val="single" w:sz="2" w:space="0" w:color="auto"/>
              <w:bottom w:val="single" w:sz="2" w:space="0" w:color="auto"/>
            </w:tcBorders>
            <w:shd w:val="clear" w:color="auto" w:fill="auto"/>
            <w:vAlign w:val="center"/>
          </w:tcPr>
          <w:p w:rsidR="00CD2981" w:rsidRPr="00356929" w:rsidRDefault="00CD2981" w:rsidP="00EB2A15">
            <w:pPr>
              <w:pStyle w:val="cuatexto"/>
            </w:pPr>
            <w:r>
              <w:t>Kontabilitate nazionaleko doikuntzak</w:t>
            </w:r>
          </w:p>
        </w:tc>
        <w:tc>
          <w:tcPr>
            <w:tcW w:w="1038" w:type="dxa"/>
            <w:tcBorders>
              <w:top w:val="single" w:sz="2" w:space="0" w:color="auto"/>
              <w:bottom w:val="single" w:sz="2" w:space="0" w:color="auto"/>
            </w:tcBorders>
            <w:shd w:val="clear" w:color="auto" w:fill="auto"/>
            <w:vAlign w:val="center"/>
          </w:tcPr>
          <w:p w:rsidR="00CD2981" w:rsidRPr="00356929" w:rsidRDefault="00CD2981" w:rsidP="00EB2A15">
            <w:pPr>
              <w:pStyle w:val="cuatexto"/>
              <w:jc w:val="right"/>
            </w:pPr>
            <w:r>
              <w:t>0</w:t>
            </w:r>
          </w:p>
        </w:tc>
      </w:tr>
      <w:tr w:rsidR="00CD2981" w:rsidRPr="006376F9" w:rsidTr="001709A3">
        <w:trPr>
          <w:trHeight w:val="284"/>
          <w:jc w:val="center"/>
        </w:trPr>
        <w:tc>
          <w:tcPr>
            <w:tcW w:w="7780" w:type="dxa"/>
            <w:tcBorders>
              <w:top w:val="single" w:sz="4" w:space="0" w:color="auto"/>
              <w:bottom w:val="single" w:sz="4" w:space="0" w:color="auto"/>
            </w:tcBorders>
            <w:shd w:val="clear" w:color="auto" w:fill="FABF8F" w:themeFill="accent6" w:themeFillTint="99"/>
            <w:vAlign w:val="center"/>
          </w:tcPr>
          <w:p w:rsidR="00CD2981" w:rsidRPr="004D2E50" w:rsidRDefault="00CD2981" w:rsidP="00EB2A15">
            <w:pPr>
              <w:pStyle w:val="cuadroCabe"/>
            </w:pPr>
            <w:r>
              <w:t>Finantzaketa-ahalmena</w:t>
            </w:r>
          </w:p>
        </w:tc>
        <w:tc>
          <w:tcPr>
            <w:tcW w:w="1038" w:type="dxa"/>
            <w:tcBorders>
              <w:top w:val="single" w:sz="4" w:space="0" w:color="auto"/>
              <w:bottom w:val="single" w:sz="4" w:space="0" w:color="auto"/>
            </w:tcBorders>
            <w:shd w:val="clear" w:color="auto" w:fill="FABF8F" w:themeFill="accent6" w:themeFillTint="99"/>
            <w:vAlign w:val="center"/>
          </w:tcPr>
          <w:p w:rsidR="00CD2981" w:rsidRPr="00BB2B46" w:rsidRDefault="00CD2981" w:rsidP="00EB2A15">
            <w:pPr>
              <w:pStyle w:val="cuadroCabe"/>
              <w:jc w:val="right"/>
            </w:pPr>
            <w:r>
              <w:t>85.350</w:t>
            </w:r>
          </w:p>
        </w:tc>
      </w:tr>
    </w:tbl>
    <w:p w:rsidR="00351EFF" w:rsidRDefault="00351EFF" w:rsidP="00351EFF">
      <w:pPr>
        <w:pStyle w:val="texto"/>
        <w:tabs>
          <w:tab w:val="clear" w:pos="2835"/>
          <w:tab w:val="clear" w:pos="3969"/>
          <w:tab w:val="clear" w:pos="5103"/>
          <w:tab w:val="clear" w:pos="6237"/>
          <w:tab w:val="clear" w:pos="7371"/>
        </w:tabs>
        <w:spacing w:after="0"/>
        <w:ind w:firstLine="0"/>
        <w:rPr>
          <w:i/>
          <w:szCs w:val="26"/>
        </w:rPr>
      </w:pPr>
    </w:p>
    <w:p w:rsidR="00351EFF" w:rsidRDefault="00351EFF" w:rsidP="00351EFF">
      <w:pPr>
        <w:pStyle w:val="texto"/>
        <w:tabs>
          <w:tab w:val="clear" w:pos="2835"/>
          <w:tab w:val="clear" w:pos="3969"/>
          <w:tab w:val="clear" w:pos="5103"/>
          <w:tab w:val="clear" w:pos="6237"/>
          <w:tab w:val="clear" w:pos="7371"/>
        </w:tabs>
        <w:rPr>
          <w:szCs w:val="26"/>
        </w:rPr>
      </w:pPr>
      <w:r>
        <w:t>Horrenbestez, Kontzejuak 2015ean bere kontuak superabitarekin edo fina</w:t>
      </w:r>
      <w:r>
        <w:t>n</w:t>
      </w:r>
      <w:r>
        <w:t xml:space="preserve">tza-gaitasunarekin </w:t>
      </w:r>
      <w:proofErr w:type="spellStart"/>
      <w:r>
        <w:t>—kontabilitate</w:t>
      </w:r>
      <w:proofErr w:type="spellEnd"/>
      <w:r>
        <w:t xml:space="preserve"> nazionaleko </w:t>
      </w:r>
      <w:proofErr w:type="spellStart"/>
      <w:r>
        <w:t>terminoetan—</w:t>
      </w:r>
      <w:proofErr w:type="spellEnd"/>
      <w:r>
        <w:t xml:space="preserve"> amaitzeko helb</w:t>
      </w:r>
      <w:r>
        <w:t>u</w:t>
      </w:r>
      <w:r>
        <w:t>rua bete du.</w:t>
      </w:r>
    </w:p>
    <w:p w:rsidR="00351EFF" w:rsidRPr="00FB2DA9" w:rsidRDefault="00351EFF" w:rsidP="00422376">
      <w:pPr>
        <w:pStyle w:val="atitulo3"/>
      </w:pPr>
      <w:r>
        <w:t xml:space="preserve">Gastuaren araua </w:t>
      </w:r>
    </w:p>
    <w:p w:rsidR="00351EFF" w:rsidRPr="00C43957" w:rsidRDefault="00351EFF" w:rsidP="00351EFF">
      <w:pPr>
        <w:pStyle w:val="texto"/>
        <w:tabs>
          <w:tab w:val="clear" w:pos="2835"/>
          <w:tab w:val="clear" w:pos="3969"/>
          <w:tab w:val="clear" w:pos="5103"/>
          <w:tab w:val="clear" w:pos="6237"/>
          <w:tab w:val="clear" w:pos="7371"/>
        </w:tabs>
        <w:spacing w:after="240"/>
        <w:rPr>
          <w:szCs w:val="26"/>
        </w:rPr>
      </w:pPr>
      <w:r>
        <w:t>Gure zenbatespenak oinarri, eta soilik 2015eko aurrekontu-likidazioan ze</w:t>
      </w:r>
      <w:r>
        <w:t>n</w:t>
      </w:r>
      <w:r>
        <w:t>tratuta, hurrengo taulan erakusten ditugu egindako kalkuluak:</w:t>
      </w:r>
    </w:p>
    <w:tbl>
      <w:tblPr>
        <w:tblW w:w="8818" w:type="dxa"/>
        <w:jc w:val="center"/>
        <w:tblCellMar>
          <w:left w:w="70" w:type="dxa"/>
          <w:right w:w="70" w:type="dxa"/>
        </w:tblCellMar>
        <w:tblLook w:val="04A0" w:firstRow="1" w:lastRow="0" w:firstColumn="1" w:lastColumn="0" w:noHBand="0" w:noVBand="1"/>
      </w:tblPr>
      <w:tblGrid>
        <w:gridCol w:w="7117"/>
        <w:gridCol w:w="1701"/>
      </w:tblGrid>
      <w:tr w:rsidR="00C43957" w:rsidRPr="00C43957" w:rsidTr="001709A3">
        <w:trPr>
          <w:trHeight w:val="284"/>
          <w:jc w:val="center"/>
        </w:trPr>
        <w:tc>
          <w:tcPr>
            <w:tcW w:w="7117" w:type="dxa"/>
            <w:tcBorders>
              <w:top w:val="single" w:sz="4" w:space="0" w:color="auto"/>
              <w:bottom w:val="single" w:sz="4" w:space="0" w:color="auto"/>
            </w:tcBorders>
            <w:shd w:val="clear" w:color="auto" w:fill="FABF8F" w:themeFill="accent6" w:themeFillTint="99"/>
            <w:vAlign w:val="center"/>
          </w:tcPr>
          <w:p w:rsidR="0022420E" w:rsidRPr="00C43957" w:rsidRDefault="0022420E" w:rsidP="00EB2A15">
            <w:pPr>
              <w:pStyle w:val="cuadroCabe"/>
            </w:pPr>
            <w:r>
              <w:t>Kontzeptua</w:t>
            </w:r>
          </w:p>
        </w:tc>
        <w:tc>
          <w:tcPr>
            <w:tcW w:w="1701" w:type="dxa"/>
            <w:tcBorders>
              <w:top w:val="single" w:sz="4" w:space="0" w:color="auto"/>
              <w:bottom w:val="single" w:sz="4" w:space="0" w:color="auto"/>
            </w:tcBorders>
            <w:shd w:val="clear" w:color="auto" w:fill="FABF8F" w:themeFill="accent6" w:themeFillTint="99"/>
            <w:vAlign w:val="center"/>
          </w:tcPr>
          <w:p w:rsidR="0022420E" w:rsidRPr="00C43957" w:rsidRDefault="0022420E" w:rsidP="00EB2A15">
            <w:pPr>
              <w:pStyle w:val="cuadroCabe"/>
              <w:jc w:val="right"/>
            </w:pPr>
            <w:r>
              <w:t>Zenbatekoa</w:t>
            </w:r>
          </w:p>
        </w:tc>
      </w:tr>
      <w:tr w:rsidR="00C43957" w:rsidRPr="00C43957" w:rsidTr="001709A3">
        <w:trPr>
          <w:trHeight w:val="284"/>
          <w:jc w:val="center"/>
        </w:trPr>
        <w:tc>
          <w:tcPr>
            <w:tcW w:w="7117" w:type="dxa"/>
            <w:tcBorders>
              <w:top w:val="single" w:sz="4" w:space="0" w:color="auto"/>
              <w:bottom w:val="single" w:sz="2" w:space="0" w:color="auto"/>
            </w:tcBorders>
            <w:shd w:val="clear" w:color="auto" w:fill="auto"/>
            <w:vAlign w:val="center"/>
          </w:tcPr>
          <w:p w:rsidR="0022420E" w:rsidRPr="00C43957" w:rsidRDefault="006C7E69" w:rsidP="0022420E">
            <w:pPr>
              <w:pStyle w:val="cuatexto"/>
            </w:pPr>
            <w:r>
              <w:t xml:space="preserve">a. 2014ko gastu zenbakarria </w:t>
            </w:r>
          </w:p>
        </w:tc>
        <w:tc>
          <w:tcPr>
            <w:tcW w:w="1701" w:type="dxa"/>
            <w:tcBorders>
              <w:top w:val="single" w:sz="4" w:space="0" w:color="auto"/>
              <w:bottom w:val="single" w:sz="2" w:space="0" w:color="auto"/>
            </w:tcBorders>
            <w:vAlign w:val="center"/>
          </w:tcPr>
          <w:p w:rsidR="0022420E" w:rsidRPr="00C43957" w:rsidRDefault="0022420E" w:rsidP="00EB2A15">
            <w:pPr>
              <w:pStyle w:val="cuatexto"/>
              <w:jc w:val="right"/>
            </w:pPr>
            <w:r>
              <w:t>380.909</w:t>
            </w:r>
          </w:p>
        </w:tc>
      </w:tr>
      <w:tr w:rsidR="00E25EB0" w:rsidRPr="001709A3" w:rsidTr="001709A3">
        <w:trPr>
          <w:trHeight w:val="284"/>
          <w:jc w:val="center"/>
        </w:trPr>
        <w:tc>
          <w:tcPr>
            <w:tcW w:w="7117" w:type="dxa"/>
            <w:tcBorders>
              <w:top w:val="single" w:sz="4" w:space="0" w:color="auto"/>
              <w:bottom w:val="single" w:sz="2" w:space="0" w:color="auto"/>
            </w:tcBorders>
            <w:shd w:val="clear" w:color="auto" w:fill="auto"/>
            <w:vAlign w:val="center"/>
          </w:tcPr>
          <w:p w:rsidR="00E25EB0" w:rsidRPr="001709A3" w:rsidRDefault="006C7E69" w:rsidP="006C7E69">
            <w:pPr>
              <w:pStyle w:val="cuatexto"/>
            </w:pPr>
            <w:r>
              <w:t>b. 2015eko gehieneko gastu zenbakarria (a-ren ehuneko 101,3)</w:t>
            </w:r>
          </w:p>
        </w:tc>
        <w:tc>
          <w:tcPr>
            <w:tcW w:w="1701" w:type="dxa"/>
            <w:tcBorders>
              <w:top w:val="single" w:sz="4" w:space="0" w:color="auto"/>
              <w:bottom w:val="single" w:sz="2" w:space="0" w:color="auto"/>
            </w:tcBorders>
            <w:vAlign w:val="center"/>
          </w:tcPr>
          <w:p w:rsidR="00E25EB0" w:rsidRPr="001709A3" w:rsidRDefault="005B42F9" w:rsidP="00EB2A15">
            <w:pPr>
              <w:pStyle w:val="cuatexto"/>
              <w:jc w:val="right"/>
            </w:pPr>
            <w:r>
              <w:t>385.861</w:t>
            </w:r>
          </w:p>
        </w:tc>
      </w:tr>
      <w:tr w:rsidR="00C43957" w:rsidRPr="001709A3" w:rsidTr="001709A3">
        <w:trPr>
          <w:trHeight w:val="284"/>
          <w:jc w:val="center"/>
        </w:trPr>
        <w:tc>
          <w:tcPr>
            <w:tcW w:w="7117" w:type="dxa"/>
            <w:tcBorders>
              <w:top w:val="single" w:sz="2" w:space="0" w:color="auto"/>
              <w:bottom w:val="single" w:sz="2" w:space="0" w:color="auto"/>
            </w:tcBorders>
            <w:shd w:val="clear" w:color="auto" w:fill="auto"/>
            <w:vAlign w:val="center"/>
          </w:tcPr>
          <w:p w:rsidR="0022420E" w:rsidRPr="001709A3" w:rsidRDefault="006C7E69" w:rsidP="00E25EB0">
            <w:pPr>
              <w:pStyle w:val="cuatexto"/>
            </w:pPr>
            <w:r>
              <w:t xml:space="preserve">c. 2015ean exekutatu den gastu zenbakarria </w:t>
            </w:r>
          </w:p>
        </w:tc>
        <w:tc>
          <w:tcPr>
            <w:tcW w:w="1701" w:type="dxa"/>
            <w:tcBorders>
              <w:top w:val="single" w:sz="2" w:space="0" w:color="auto"/>
              <w:bottom w:val="single" w:sz="2" w:space="0" w:color="auto"/>
            </w:tcBorders>
            <w:vAlign w:val="center"/>
          </w:tcPr>
          <w:p w:rsidR="0022420E" w:rsidRPr="001709A3" w:rsidRDefault="00303343" w:rsidP="00EB2A15">
            <w:pPr>
              <w:pStyle w:val="cuatexto"/>
              <w:jc w:val="right"/>
            </w:pPr>
            <w:r>
              <w:t>199.705</w:t>
            </w:r>
          </w:p>
        </w:tc>
      </w:tr>
      <w:tr w:rsidR="00C43957" w:rsidRPr="00C43957" w:rsidTr="001709A3">
        <w:trPr>
          <w:trHeight w:val="284"/>
          <w:jc w:val="center"/>
        </w:trPr>
        <w:tc>
          <w:tcPr>
            <w:tcW w:w="7117" w:type="dxa"/>
            <w:tcBorders>
              <w:top w:val="single" w:sz="4" w:space="0" w:color="auto"/>
              <w:bottom w:val="single" w:sz="4" w:space="0" w:color="auto"/>
            </w:tcBorders>
            <w:shd w:val="clear" w:color="auto" w:fill="FABF8F" w:themeFill="accent6" w:themeFillTint="99"/>
            <w:vAlign w:val="center"/>
          </w:tcPr>
          <w:p w:rsidR="0022420E" w:rsidRPr="00C43957" w:rsidRDefault="00E25EB0" w:rsidP="00303343">
            <w:pPr>
              <w:pStyle w:val="cuadroCabe"/>
            </w:pPr>
            <w:proofErr w:type="spellStart"/>
            <w:r>
              <w:t>b-c</w:t>
            </w:r>
            <w:proofErr w:type="spellEnd"/>
            <w:r>
              <w:t xml:space="preserve"> aldea</w:t>
            </w:r>
          </w:p>
        </w:tc>
        <w:tc>
          <w:tcPr>
            <w:tcW w:w="1701" w:type="dxa"/>
            <w:tcBorders>
              <w:top w:val="single" w:sz="4" w:space="0" w:color="auto"/>
              <w:bottom w:val="single" w:sz="4" w:space="0" w:color="auto"/>
            </w:tcBorders>
            <w:shd w:val="clear" w:color="auto" w:fill="FABF8F" w:themeFill="accent6" w:themeFillTint="99"/>
            <w:vAlign w:val="center"/>
          </w:tcPr>
          <w:p w:rsidR="0022420E" w:rsidRPr="00C43957" w:rsidRDefault="00303343" w:rsidP="00EB2A15">
            <w:pPr>
              <w:pStyle w:val="cuadroCabe"/>
              <w:jc w:val="right"/>
            </w:pPr>
            <w:r>
              <w:t>186.156</w:t>
            </w:r>
          </w:p>
        </w:tc>
      </w:tr>
    </w:tbl>
    <w:p w:rsidR="00303343" w:rsidRDefault="00303343" w:rsidP="001709A3">
      <w:pPr>
        <w:pStyle w:val="texto"/>
        <w:tabs>
          <w:tab w:val="clear" w:pos="2835"/>
          <w:tab w:val="clear" w:pos="3969"/>
          <w:tab w:val="clear" w:pos="5103"/>
          <w:tab w:val="clear" w:pos="6237"/>
          <w:tab w:val="clear" w:pos="7371"/>
        </w:tabs>
        <w:spacing w:after="0"/>
        <w:rPr>
          <w:szCs w:val="26"/>
        </w:rPr>
      </w:pPr>
    </w:p>
    <w:p w:rsidR="00351EFF" w:rsidRDefault="00351EFF" w:rsidP="00351EFF">
      <w:pPr>
        <w:pStyle w:val="texto"/>
        <w:tabs>
          <w:tab w:val="clear" w:pos="2835"/>
          <w:tab w:val="clear" w:pos="3969"/>
          <w:tab w:val="clear" w:pos="5103"/>
          <w:tab w:val="clear" w:pos="6237"/>
          <w:tab w:val="clear" w:pos="7371"/>
        </w:tabs>
        <w:spacing w:after="240"/>
        <w:rPr>
          <w:szCs w:val="26"/>
        </w:rPr>
      </w:pPr>
      <w:r>
        <w:t>Horrenbestez, Kontzejuak gastu-arauaren arlorako legez ezarritakoak bete egin ditu.</w:t>
      </w:r>
    </w:p>
    <w:p w:rsidR="00351EFF" w:rsidRPr="008E3774" w:rsidRDefault="00351EFF" w:rsidP="00422376">
      <w:pPr>
        <w:pStyle w:val="atitulo3"/>
      </w:pPr>
      <w:r>
        <w:t>Zor publikoaren iraunkortasuna</w:t>
      </w:r>
    </w:p>
    <w:p w:rsidR="00351EFF" w:rsidRPr="00A41C52" w:rsidRDefault="004C52D7" w:rsidP="004C52D7">
      <w:pPr>
        <w:pStyle w:val="texto"/>
        <w:tabs>
          <w:tab w:val="clear" w:pos="2835"/>
          <w:tab w:val="clear" w:pos="3969"/>
          <w:tab w:val="clear" w:pos="5103"/>
          <w:tab w:val="clear" w:pos="6237"/>
          <w:tab w:val="clear" w:pos="7371"/>
        </w:tabs>
        <w:rPr>
          <w:szCs w:val="26"/>
        </w:rPr>
      </w:pPr>
      <w:r>
        <w:t>Kontzejuak zorpetzerik ez duenez, finantza-iraunkortasunaren printzipioa bete du.</w:t>
      </w:r>
    </w:p>
    <w:p w:rsidR="00351EFF" w:rsidRPr="008E3774" w:rsidRDefault="00351EFF" w:rsidP="00422376">
      <w:pPr>
        <w:pStyle w:val="atitulo3"/>
      </w:pPr>
      <w:r>
        <w:lastRenderedPageBreak/>
        <w:t>Merkataritza-zorraren iraunkortasuna</w:t>
      </w:r>
    </w:p>
    <w:p w:rsidR="00C24892" w:rsidRDefault="00351EFF" w:rsidP="00C24892">
      <w:pPr>
        <w:pStyle w:val="texto"/>
        <w:tabs>
          <w:tab w:val="clear" w:pos="2835"/>
          <w:tab w:val="clear" w:pos="3969"/>
          <w:tab w:val="clear" w:pos="5103"/>
          <w:tab w:val="clear" w:pos="6237"/>
          <w:tab w:val="clear" w:pos="7371"/>
        </w:tabs>
        <w:rPr>
          <w:szCs w:val="26"/>
        </w:rPr>
      </w:pPr>
      <w:r>
        <w:t>2015ean, Kontzejuak ez du fakturen erregistroa ezarri. Erregistro hori ezi</w:t>
      </w:r>
      <w:r>
        <w:t>n</w:t>
      </w:r>
      <w:r>
        <w:t>bestekoa da hornitzaileei ordaintzeko batez besteko epea kalkulatu ahal izateko. Horrenbestez, ezin dugu esan aztertutako ekitaldian Kontzejuak araudi inda</w:t>
      </w:r>
      <w:r>
        <w:t>r</w:t>
      </w:r>
      <w:r>
        <w:t xml:space="preserve">dunean ezarritako epeak bete dituen ala ez. </w:t>
      </w:r>
    </w:p>
    <w:p w:rsidR="00351EFF" w:rsidRDefault="00351EFF" w:rsidP="00C24892">
      <w:pPr>
        <w:pStyle w:val="texto"/>
        <w:tabs>
          <w:tab w:val="clear" w:pos="2835"/>
          <w:tab w:val="clear" w:pos="3969"/>
          <w:tab w:val="clear" w:pos="5103"/>
          <w:tab w:val="clear" w:pos="6237"/>
          <w:tab w:val="clear" w:pos="7371"/>
        </w:tabs>
        <w:rPr>
          <w:szCs w:val="26"/>
        </w:rPr>
      </w:pPr>
      <w:r>
        <w:t>Hala eta guztiz ere, esan beharra daukagu aipatutako ekitaldiko gastuen eh</w:t>
      </w:r>
      <w:r>
        <w:t>u</w:t>
      </w:r>
      <w:r>
        <w:t>neko 99,50 haren amaieran ordainduta zeudela, eta kontabilitate-erregistroetan ez dagoela jasota hornitzaileei egin beharreko ordainketetan atzeratzeagatiko berandutza-interesetatik heldutako gasturik.</w:t>
      </w:r>
    </w:p>
    <w:p w:rsidR="00D11DE7" w:rsidRDefault="00D11DE7" w:rsidP="00D11DE7">
      <w:pPr>
        <w:pStyle w:val="atitulo2"/>
        <w:spacing w:before="240"/>
      </w:pPr>
      <w:bookmarkStart w:id="42" w:name="_Toc476722777"/>
      <w:r>
        <w:t>IV.3. Bestelako kudeaketa-arloak</w:t>
      </w:r>
      <w:bookmarkEnd w:id="42"/>
      <w:r>
        <w:t xml:space="preserve"> </w:t>
      </w:r>
    </w:p>
    <w:p w:rsidR="00212BEF" w:rsidRDefault="00212BEF" w:rsidP="00212BEF">
      <w:pPr>
        <w:pStyle w:val="atitulo3"/>
      </w:pPr>
      <w:r>
        <w:t>Alderdi orokorrak</w:t>
      </w:r>
    </w:p>
    <w:p w:rsidR="00C43F27" w:rsidRDefault="001C7FD0"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Kontzejuaren Batzarrak 2015erako aurrekontua urte horretako abenduan onetsi zuen. Halaber, 2014ko aurrekontua urte bereko abenduan onetsi zen.</w:t>
      </w:r>
    </w:p>
    <w:p w:rsidR="000742E3" w:rsidRDefault="000742E3"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Ez dago berariaz arauturik Kontzejuaren Batzarraren bileretan aholkulari juridikoa egotea, kasuko aktak idazteko garaian hari aholku emateko.</w:t>
      </w:r>
    </w:p>
    <w:p w:rsidR="0050311A" w:rsidRDefault="0050311A"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Ez dago jasota Kontzejuaren ondasunak behar bezala identifikaturik eta b</w:t>
      </w:r>
      <w:r>
        <w:t>a</w:t>
      </w:r>
      <w:r>
        <w:t>lioetsirik duen inbentariorik dagoenik.</w:t>
      </w:r>
    </w:p>
    <w:p w:rsidR="00212BEF" w:rsidRPr="00493FA2" w:rsidRDefault="00212BEF" w:rsidP="00212BEF">
      <w:pPr>
        <w:pStyle w:val="atitulo3"/>
      </w:pPr>
      <w:r>
        <w:t>Langile-gastuak</w:t>
      </w:r>
    </w:p>
    <w:p w:rsidR="0034012D" w:rsidRDefault="00AD68ED"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 xml:space="preserve">Kontzejuak ez 2015ean, ez lehenagoko urteetan ez du langileen </w:t>
      </w:r>
      <w:proofErr w:type="spellStart"/>
      <w:r>
        <w:t>plantilla</w:t>
      </w:r>
      <w:proofErr w:type="spellEnd"/>
      <w:r>
        <w:t xml:space="preserve"> organikorik onetsi. </w:t>
      </w:r>
    </w:p>
    <w:p w:rsidR="006A107F" w:rsidRPr="006A107F" w:rsidRDefault="00656808" w:rsidP="0034012D">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2015ean zehar, sei pertsonak egin dute lan lanaldi partzialean; 2015eko abenduaren 31n, berriz, bi langilek egin dute lan, harreman mugagabearekin, Kontzejuaren eraikina garbitzen </w:t>
      </w:r>
      <w:proofErr w:type="spellStart"/>
      <w:r>
        <w:t>—astean</w:t>
      </w:r>
      <w:proofErr w:type="spellEnd"/>
      <w:r>
        <w:t xml:space="preserve"> 9 </w:t>
      </w:r>
      <w:proofErr w:type="spellStart"/>
      <w:r>
        <w:t>orduz—</w:t>
      </w:r>
      <w:proofErr w:type="spellEnd"/>
      <w:r>
        <w:t xml:space="preserve"> eta beste bat aldi baterako kontratu batekin kaleak garbitzen </w:t>
      </w:r>
      <w:proofErr w:type="spellStart"/>
      <w:r>
        <w:t>—astean</w:t>
      </w:r>
      <w:proofErr w:type="spellEnd"/>
      <w:r>
        <w:t xml:space="preserve"> 15 </w:t>
      </w:r>
      <w:proofErr w:type="spellStart"/>
      <w:r>
        <w:t>orduz—</w:t>
      </w:r>
      <w:proofErr w:type="spellEnd"/>
      <w:r>
        <w:t xml:space="preserve">. </w:t>
      </w:r>
    </w:p>
    <w:p w:rsidR="00EF140B" w:rsidRPr="00EF140B" w:rsidRDefault="0081454A" w:rsidP="00EF140B">
      <w:pPr>
        <w:pStyle w:val="texto"/>
        <w:tabs>
          <w:tab w:val="clear" w:pos="2835"/>
          <w:tab w:val="clear" w:pos="3969"/>
          <w:tab w:val="clear" w:pos="5103"/>
          <w:tab w:val="clear" w:pos="6237"/>
          <w:tab w:val="clear" w:pos="7371"/>
        </w:tabs>
        <w:rPr>
          <w:szCs w:val="26"/>
        </w:rPr>
      </w:pPr>
      <w:r>
        <w:t>Eraikina garbitzen duen pertsona 2016ko maiatzetik kontratatu zen sei hil</w:t>
      </w:r>
      <w:r>
        <w:t>a</w:t>
      </w:r>
      <w:r>
        <w:t>beteko kontratuekin; 2007ko maiatzean, aldi baterako harreman hori kontratu mugagabe bihurtu zen.</w:t>
      </w:r>
    </w:p>
    <w:p w:rsidR="00E877DE" w:rsidRPr="006A107F" w:rsidRDefault="00E877DE" w:rsidP="006A107F">
      <w:pPr>
        <w:pStyle w:val="texto"/>
        <w:tabs>
          <w:tab w:val="clear" w:pos="2835"/>
          <w:tab w:val="clear" w:pos="3969"/>
          <w:tab w:val="clear" w:pos="5103"/>
          <w:tab w:val="clear" w:pos="6237"/>
          <w:tab w:val="clear" w:pos="7371"/>
          <w:tab w:val="num" w:pos="284"/>
          <w:tab w:val="num" w:pos="720"/>
        </w:tabs>
        <w:rPr>
          <w:szCs w:val="26"/>
        </w:rPr>
      </w:pPr>
      <w:r>
        <w:t>Bide-garbiketarako, kontratazioa baldintza sozial jakin batzuk betetzen z</w:t>
      </w:r>
      <w:r>
        <w:t>i</w:t>
      </w:r>
      <w:r>
        <w:t>tuzten kontzejuko bizilagunen arteko zozketa baten bidez egiten zen, txandaka, sei hilabeteko kontratuekin; hala eta guztiz ere, 2015eko ekainetik gaur arte pertsona bera egon da kontratatuta lan-modalitate desberdinekin.</w:t>
      </w:r>
    </w:p>
    <w:p w:rsidR="006A107F" w:rsidRDefault="006A107F" w:rsidP="006A107F">
      <w:pPr>
        <w:pStyle w:val="texto"/>
        <w:tabs>
          <w:tab w:val="clear" w:pos="2835"/>
          <w:tab w:val="clear" w:pos="3969"/>
          <w:tab w:val="clear" w:pos="5103"/>
          <w:tab w:val="clear" w:pos="6237"/>
          <w:tab w:val="clear" w:pos="7371"/>
        </w:tabs>
        <w:rPr>
          <w:szCs w:val="26"/>
        </w:rPr>
      </w:pPr>
      <w:r>
        <w:t>2015eko bigarren seihilekotik, bi lanpostu horiek lanaldi osoko lanpostu b</w:t>
      </w:r>
      <w:r>
        <w:t>a</w:t>
      </w:r>
      <w:r>
        <w:t xml:space="preserve">kar bihurtzeko aukera aztertzen ari da. </w:t>
      </w:r>
    </w:p>
    <w:p w:rsidR="00F849CD" w:rsidRDefault="00F849CD" w:rsidP="009A666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2015ean, lan-kontratu guztiei alta eman zaie Gizarte Segurantzan.</w:t>
      </w:r>
    </w:p>
    <w:p w:rsidR="009A6660" w:rsidRPr="00B30C36" w:rsidRDefault="009A6660" w:rsidP="009A6660">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2015ean iraupen luzeena izan duten hiru lan-kontraturen nominak berrikusi dira: haien lansariek Kontzejuak ekitaldi horretan lansarietan ordaindutako gu</w:t>
      </w:r>
      <w:r>
        <w:t>z</w:t>
      </w:r>
      <w:r>
        <w:lastRenderedPageBreak/>
        <w:t>tiaren ehuneko 86 egiten du. Azterketa horretatik eta lanaren arloko gainerako auditoria probetatik ondorioztatzen da ezen, orokorrean, langile-gastuek eusk</w:t>
      </w:r>
      <w:r>
        <w:t>a</w:t>
      </w:r>
      <w:r>
        <w:t>rri zuzena dutela eta zuzen kontabilizatu eta ordaindu direla. Hala eta guztiz ere, gure ustez langile mugagabeari, garbiketaren arloko hitzarmena aplikatuz, hartan jasotako antzinatasun-ordainsaria aplikatu beharko litzaioke; horrek b</w:t>
      </w:r>
      <w:r>
        <w:t>e</w:t>
      </w:r>
      <w:r>
        <w:t>rekin ekarriko luke, eskubide dituen bi hirurtekoak direla-eta, ordainsariak u</w:t>
      </w:r>
      <w:r>
        <w:t>r</w:t>
      </w:r>
      <w:r>
        <w:t xml:space="preserve">tean 289 euro handitzea. </w:t>
      </w:r>
    </w:p>
    <w:p w:rsidR="00F14E95" w:rsidRDefault="00F14E95" w:rsidP="00F14E95">
      <w:pPr>
        <w:pStyle w:val="atitulo3"/>
      </w:pPr>
      <w:r>
        <w:t>Diru-laguntza arruntetako gastuak</w:t>
      </w:r>
    </w:p>
    <w:p w:rsidR="00F14E95" w:rsidRPr="00F96600" w:rsidRDefault="004F6E77" w:rsidP="00F14E9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Kirol-jardueretarako 3.206 euroko diru-laguntzen ematea aztertu dugu, k</w:t>
      </w:r>
      <w:r>
        <w:t>a</w:t>
      </w:r>
      <w:r>
        <w:t>pitulu horretako ehuneko 78 baitira. Ikusi dugu deialdi publikorik ez dagoela eta, oro har, laguntza-eskaera, haren helburua edo haren xedea eta haren form</w:t>
      </w:r>
      <w:r>
        <w:t>a</w:t>
      </w:r>
      <w:r>
        <w:t>lizatzea ez daudela agiri bidez jasota, ez eta diruz lagundutako gastuaren izaera ere.</w:t>
      </w:r>
    </w:p>
    <w:p w:rsidR="00F96600" w:rsidRDefault="0037453A" w:rsidP="00212BEF">
      <w:pPr>
        <w:pStyle w:val="atitulo3"/>
      </w:pPr>
      <w:r>
        <w:t>Gastu arruntak eta inbertsioak</w:t>
      </w:r>
    </w:p>
    <w:p w:rsidR="00B579A9" w:rsidRDefault="009A6660" w:rsidP="009A6660">
      <w:pPr>
        <w:pStyle w:val="texto"/>
        <w:tabs>
          <w:tab w:val="clear" w:pos="2835"/>
          <w:tab w:val="clear" w:pos="3969"/>
          <w:tab w:val="clear" w:pos="5103"/>
          <w:tab w:val="clear" w:pos="6237"/>
          <w:tab w:val="clear" w:pos="7371"/>
        </w:tabs>
        <w:rPr>
          <w:szCs w:val="26"/>
        </w:rPr>
      </w:pPr>
      <w:r>
        <w:t>2. kapituluko eta 6. kapituluko gastuen lagin bat aztertu dugu: kapitulu h</w:t>
      </w:r>
      <w:r>
        <w:t>o</w:t>
      </w:r>
      <w:r>
        <w:t>rietako guztizko gastuaren ehuneko 70 egiten dute. Azterketa horretatik, hon</w:t>
      </w:r>
      <w:r>
        <w:t>a</w:t>
      </w:r>
      <w:r>
        <w:t>koa adierazi behar dugu:</w:t>
      </w:r>
    </w:p>
    <w:p w:rsidR="004F6E77" w:rsidRPr="00B93182" w:rsidRDefault="004F6E77" w:rsidP="004F6E77">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Kontzejuaren aholkularien gastuengatik kontabilizatutako zenbatekoa, 5.615 euro, behar dena baino 3.817 euro gutxiago balioetsita dago; zenbateko hori 2016ko aurrekontuari egozten zaio, eta ekitaldiaren amaierako likidazioari dagokio. Bestalde, gastu hori gastu arrunten eta zerbitzuen 2. kapituluan err</w:t>
      </w:r>
      <w:r>
        <w:t>e</w:t>
      </w:r>
      <w:r>
        <w:t xml:space="preserve">gistratzen da, nahiz eta bere izaera ekonomikoa dela-eta </w:t>
      </w:r>
      <w:proofErr w:type="spellStart"/>
      <w:r>
        <w:t>—Aratzuriko</w:t>
      </w:r>
      <w:proofErr w:type="spellEnd"/>
      <w:r>
        <w:t xml:space="preserve"> Kontz</w:t>
      </w:r>
      <w:r>
        <w:t>e</w:t>
      </w:r>
      <w:r>
        <w:t xml:space="preserve">juari egindako </w:t>
      </w:r>
      <w:proofErr w:type="spellStart"/>
      <w:r>
        <w:t>transferentzia—</w:t>
      </w:r>
      <w:proofErr w:type="spellEnd"/>
      <w:r>
        <w:t xml:space="preserve"> egokiagoa litzatekeen transferentzia arrunten 4. kapituluari egoztea. </w:t>
      </w:r>
    </w:p>
    <w:p w:rsidR="00FE5E48" w:rsidRDefault="0081454A" w:rsidP="00FE5E48">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Oro har, aztertutako gastuek ez dituzte gainditzen kontratazio-espedienteen formalizaziorako araututako zenbatekoen mugak; horrenbestez, aholkulariak fakturak aurkeztu besterik ez du egiten. Legez nahitaezkoa ez den arren, oro har, ez dago jasota aurretik eskaintzarik eta aurrekonturik eskatu izana. </w:t>
      </w:r>
    </w:p>
    <w:p w:rsidR="00F91686" w:rsidRPr="00FE5E48" w:rsidRDefault="00F91686" w:rsidP="00FE5E48">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Aurkeztutako fakturek ez dute beti jasotzen egindako lanei, prezio bater</w:t>
      </w:r>
      <w:r>
        <w:t>a</w:t>
      </w:r>
      <w:r>
        <w:t>tuei eta erabilitako materialei buruzko informazio xeherik. Emate-agiririk edo lan-parterik ere ez da eransten.</w:t>
      </w:r>
    </w:p>
    <w:p w:rsidR="00CA7214" w:rsidRDefault="00CA7214" w:rsidP="001F0EC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Gastua ez zaio zorrotz aplikatzen sortu den ekitaldiari: 2015eko ekitaldiari egotzitako 2014ko gastuak aurkitu ditugu, bai eta 2016ko ekitaldiari egotzitako 2015eko ekitaldiko gastuak ere.</w:t>
      </w:r>
    </w:p>
    <w:p w:rsidR="00AF2744" w:rsidRDefault="00E03C63" w:rsidP="001F0EC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Argiteria publikoa. Argiteria publikorako erabilitako energia elektrikoaren kontsumoari dagokion gastua 27.058 eurokoa izan da 2015ean. Gastu horren garrantzi kuantitatiboa dela eta, 2014an, Kontzejuak azterlan tekniko bat e</w:t>
      </w:r>
      <w:r>
        <w:t>n</w:t>
      </w:r>
      <w:r>
        <w:t>kargatu zuen kontsumo horren arrazoizkotasuna eta aurrezki-neurriak hartzeko aukerak aztertzeko; enkargu horren emaitza izan zen, bestak beste, 2015ean merkaturatze-enpresa aldatzea, urtean 1.287 euroko aurrezkia kalkulatuta. E</w:t>
      </w:r>
      <w:r>
        <w:t>n</w:t>
      </w:r>
      <w:r>
        <w:lastRenderedPageBreak/>
        <w:t>presa-aldaketa 2015eko otsaileko eta martxoko fakturetan gauzatu zen hileroko fakturaziorako, eta 2015eko apirilean, berriz, bi hilez behingo fakturaziorako.</w:t>
      </w:r>
    </w:p>
    <w:p w:rsidR="00CE02B9" w:rsidRDefault="00AF2744" w:rsidP="00AF2744">
      <w:pPr>
        <w:pStyle w:val="texto"/>
        <w:tabs>
          <w:tab w:val="clear" w:pos="2835"/>
          <w:tab w:val="clear" w:pos="3969"/>
          <w:tab w:val="clear" w:pos="5103"/>
          <w:tab w:val="clear" w:pos="6237"/>
          <w:tab w:val="clear" w:pos="7371"/>
        </w:tabs>
        <w:rPr>
          <w:szCs w:val="26"/>
        </w:rPr>
      </w:pPr>
      <w:r>
        <w:t>2015eko gastua 2014koa baino ehuneko zazpi txikiagoa izan da; hau da, 1.890 euro txikiagoa. Hala eta guztiz ere, hileko kontagailuetako azken hilab</w:t>
      </w:r>
      <w:r>
        <w:t>e</w:t>
      </w:r>
      <w:r>
        <w:t>teko fakturak erregistratzeko geratu dira, eta 2016ko aurrekontuari egotzi zai</w:t>
      </w:r>
      <w:r>
        <w:t>z</w:t>
      </w:r>
      <w:r>
        <w:t xml:space="preserve">kio. </w:t>
      </w:r>
    </w:p>
    <w:p w:rsidR="00FE5E48" w:rsidRPr="005D15EA" w:rsidRDefault="005D15EA" w:rsidP="005D15EA">
      <w:pPr>
        <w:pStyle w:val="texto"/>
        <w:tabs>
          <w:tab w:val="clear" w:pos="2835"/>
          <w:tab w:val="clear" w:pos="3969"/>
          <w:tab w:val="clear" w:pos="5103"/>
          <w:tab w:val="clear" w:pos="6237"/>
          <w:tab w:val="clear" w:pos="7371"/>
        </w:tabs>
        <w:rPr>
          <w:szCs w:val="26"/>
        </w:rPr>
      </w:pPr>
      <w:r>
        <w:t>Bestalde, argiteria publikoaren mantentze-kontratua 1987ko urrian sinatu zen; horrenbestez, zabal gainditu da izaera horretako kontratuen gehieneko i</w:t>
      </w:r>
      <w:r>
        <w:t>n</w:t>
      </w:r>
      <w:r>
        <w:t>darraldia; 2015ean, 1.839 euroko gastua ekarri du. Gainera, enpresa horrek guztira 7.309 euro fakturatu ditu lanparak aldatzeagatik eta bestelako laneng</w:t>
      </w:r>
      <w:r>
        <w:t>a</w:t>
      </w:r>
      <w:r>
        <w:t>tik, eta horrekin soilik fakturak aurkeztuz egindako kontratazioaren izapidetz</w:t>
      </w:r>
      <w:r>
        <w:t>e</w:t>
      </w:r>
      <w:r>
        <w:t xml:space="preserve">rako ezarritako muga gainditu da. </w:t>
      </w:r>
    </w:p>
    <w:p w:rsidR="00E20CF6" w:rsidRPr="00F760AA" w:rsidRDefault="00CA7214" w:rsidP="0081454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180"/>
        <w:ind w:left="0" w:firstLine="289"/>
        <w:rPr>
          <w:szCs w:val="26"/>
        </w:rPr>
      </w:pPr>
      <w:r>
        <w:t>Herriko jaiak. 2015ean, 49.914 euroko gastua egin da, aurreko ekitaldikoa baino ehuneko bost txikiagoa, hurrengo taulan ikus daitekeen bezala:</w:t>
      </w:r>
    </w:p>
    <w:tbl>
      <w:tblPr>
        <w:tblW w:w="8905" w:type="dxa"/>
        <w:jc w:val="center"/>
        <w:tblCellMar>
          <w:left w:w="70" w:type="dxa"/>
          <w:right w:w="70" w:type="dxa"/>
        </w:tblCellMar>
        <w:tblLook w:val="04A0" w:firstRow="1" w:lastRow="0" w:firstColumn="1" w:lastColumn="0" w:noHBand="0" w:noVBand="1"/>
      </w:tblPr>
      <w:tblGrid>
        <w:gridCol w:w="6605"/>
        <w:gridCol w:w="1208"/>
        <w:gridCol w:w="1092"/>
      </w:tblGrid>
      <w:tr w:rsidR="00E20CF6" w:rsidRPr="00E20CF6" w:rsidTr="00CE58F6">
        <w:trPr>
          <w:trHeight w:val="284"/>
          <w:jc w:val="center"/>
        </w:trPr>
        <w:tc>
          <w:tcPr>
            <w:tcW w:w="6605" w:type="dxa"/>
            <w:tcBorders>
              <w:top w:val="single" w:sz="4" w:space="0" w:color="auto"/>
              <w:bottom w:val="single" w:sz="4" w:space="0" w:color="auto"/>
            </w:tcBorders>
            <w:shd w:val="clear" w:color="auto" w:fill="FABF8F" w:themeFill="accent6" w:themeFillTint="99"/>
            <w:noWrap/>
            <w:vAlign w:val="center"/>
            <w:hideMark/>
          </w:tcPr>
          <w:p w:rsidR="00E20CF6" w:rsidRPr="00E20CF6" w:rsidRDefault="00E20CF6" w:rsidP="00E20CF6">
            <w:pPr>
              <w:pStyle w:val="cuadroCabe"/>
            </w:pPr>
            <w:r>
              <w:t>Herriko jaiak</w:t>
            </w:r>
          </w:p>
        </w:tc>
        <w:tc>
          <w:tcPr>
            <w:tcW w:w="1208" w:type="dxa"/>
            <w:tcBorders>
              <w:top w:val="single" w:sz="4" w:space="0" w:color="auto"/>
              <w:bottom w:val="single" w:sz="4" w:space="0" w:color="auto"/>
            </w:tcBorders>
            <w:shd w:val="clear" w:color="auto" w:fill="FABF8F" w:themeFill="accent6" w:themeFillTint="99"/>
            <w:noWrap/>
            <w:vAlign w:val="center"/>
            <w:hideMark/>
          </w:tcPr>
          <w:p w:rsidR="00E20CF6" w:rsidRPr="00E20CF6" w:rsidRDefault="00E20CF6" w:rsidP="00CE58F6">
            <w:pPr>
              <w:pStyle w:val="cuadroCabe"/>
              <w:jc w:val="right"/>
            </w:pPr>
            <w:r>
              <w:t>2014</w:t>
            </w:r>
          </w:p>
        </w:tc>
        <w:tc>
          <w:tcPr>
            <w:tcW w:w="1092" w:type="dxa"/>
            <w:tcBorders>
              <w:top w:val="single" w:sz="4" w:space="0" w:color="auto"/>
              <w:bottom w:val="single" w:sz="4" w:space="0" w:color="auto"/>
            </w:tcBorders>
            <w:shd w:val="clear" w:color="auto" w:fill="FABF8F" w:themeFill="accent6" w:themeFillTint="99"/>
            <w:noWrap/>
            <w:vAlign w:val="center"/>
            <w:hideMark/>
          </w:tcPr>
          <w:p w:rsidR="00E20CF6" w:rsidRPr="00E20CF6" w:rsidRDefault="00E20CF6" w:rsidP="00CE58F6">
            <w:pPr>
              <w:pStyle w:val="cuadroCabe"/>
              <w:jc w:val="right"/>
            </w:pPr>
            <w:r>
              <w:t>2015</w:t>
            </w:r>
          </w:p>
        </w:tc>
      </w:tr>
      <w:tr w:rsidR="00E20CF6" w:rsidRPr="00E20CF6" w:rsidTr="00CE58F6">
        <w:trPr>
          <w:trHeight w:val="284"/>
          <w:jc w:val="center"/>
        </w:trPr>
        <w:tc>
          <w:tcPr>
            <w:tcW w:w="6605" w:type="dxa"/>
            <w:tcBorders>
              <w:top w:val="single" w:sz="4" w:space="0" w:color="auto"/>
              <w:bottom w:val="single" w:sz="2" w:space="0" w:color="auto"/>
            </w:tcBorders>
            <w:noWrap/>
            <w:vAlign w:val="center"/>
            <w:hideMark/>
          </w:tcPr>
          <w:p w:rsidR="00E20CF6" w:rsidRPr="00E20CF6" w:rsidRDefault="00E20CF6" w:rsidP="001C792F">
            <w:pPr>
              <w:pStyle w:val="cuatexto"/>
            </w:pPr>
            <w:r>
              <w:t>Abuztuko jaiak</w:t>
            </w:r>
          </w:p>
        </w:tc>
        <w:tc>
          <w:tcPr>
            <w:tcW w:w="1208" w:type="dxa"/>
            <w:tcBorders>
              <w:top w:val="single" w:sz="4" w:space="0" w:color="auto"/>
              <w:bottom w:val="single" w:sz="2" w:space="0" w:color="auto"/>
            </w:tcBorders>
            <w:noWrap/>
            <w:vAlign w:val="center"/>
            <w:hideMark/>
          </w:tcPr>
          <w:p w:rsidR="00E20CF6" w:rsidRPr="00E20CF6" w:rsidRDefault="00E20CF6" w:rsidP="00E20CF6">
            <w:pPr>
              <w:pStyle w:val="cuatexto"/>
              <w:jc w:val="right"/>
            </w:pPr>
            <w:r>
              <w:t>47.217</w:t>
            </w:r>
          </w:p>
        </w:tc>
        <w:tc>
          <w:tcPr>
            <w:tcW w:w="1092" w:type="dxa"/>
            <w:tcBorders>
              <w:top w:val="single" w:sz="4" w:space="0" w:color="auto"/>
              <w:bottom w:val="single" w:sz="2" w:space="0" w:color="auto"/>
            </w:tcBorders>
            <w:noWrap/>
            <w:vAlign w:val="center"/>
            <w:hideMark/>
          </w:tcPr>
          <w:p w:rsidR="00E20CF6" w:rsidRPr="00E20CF6" w:rsidRDefault="00E20CF6" w:rsidP="00E20CF6">
            <w:pPr>
              <w:pStyle w:val="cuatexto"/>
              <w:jc w:val="right"/>
            </w:pPr>
            <w:r>
              <w:t>43.775</w:t>
            </w:r>
          </w:p>
        </w:tc>
      </w:tr>
      <w:tr w:rsidR="00E20CF6" w:rsidRPr="00E20CF6" w:rsidTr="00CE58F6">
        <w:trPr>
          <w:trHeight w:val="284"/>
          <w:jc w:val="center"/>
        </w:trPr>
        <w:tc>
          <w:tcPr>
            <w:tcW w:w="6605" w:type="dxa"/>
            <w:tcBorders>
              <w:top w:val="single" w:sz="2" w:space="0" w:color="auto"/>
              <w:bottom w:val="single" w:sz="2" w:space="0" w:color="auto"/>
            </w:tcBorders>
            <w:noWrap/>
            <w:vAlign w:val="center"/>
            <w:hideMark/>
          </w:tcPr>
          <w:p w:rsidR="00E20CF6" w:rsidRPr="00E20CF6" w:rsidRDefault="00E20CF6" w:rsidP="00E20CF6">
            <w:pPr>
              <w:pStyle w:val="cuatexto"/>
            </w:pPr>
            <w:r>
              <w:t>Donibane jaia</w:t>
            </w:r>
          </w:p>
        </w:tc>
        <w:tc>
          <w:tcPr>
            <w:tcW w:w="1208" w:type="dxa"/>
            <w:tcBorders>
              <w:top w:val="single" w:sz="2" w:space="0" w:color="auto"/>
              <w:bottom w:val="single" w:sz="2" w:space="0" w:color="auto"/>
            </w:tcBorders>
            <w:noWrap/>
            <w:vAlign w:val="center"/>
            <w:hideMark/>
          </w:tcPr>
          <w:p w:rsidR="00E20CF6" w:rsidRPr="00E20CF6" w:rsidRDefault="00E20CF6" w:rsidP="00E20CF6">
            <w:pPr>
              <w:pStyle w:val="cuatexto"/>
              <w:jc w:val="right"/>
            </w:pPr>
            <w:r>
              <w:t>0</w:t>
            </w:r>
          </w:p>
        </w:tc>
        <w:tc>
          <w:tcPr>
            <w:tcW w:w="1092" w:type="dxa"/>
            <w:tcBorders>
              <w:top w:val="single" w:sz="2" w:space="0" w:color="auto"/>
              <w:bottom w:val="single" w:sz="2" w:space="0" w:color="auto"/>
            </w:tcBorders>
            <w:noWrap/>
            <w:vAlign w:val="center"/>
            <w:hideMark/>
          </w:tcPr>
          <w:p w:rsidR="00E20CF6" w:rsidRPr="00E20CF6" w:rsidRDefault="00E20CF6" w:rsidP="00E20CF6">
            <w:pPr>
              <w:pStyle w:val="cuatexto"/>
              <w:jc w:val="right"/>
            </w:pPr>
            <w:r>
              <w:t>360</w:t>
            </w:r>
          </w:p>
        </w:tc>
      </w:tr>
      <w:tr w:rsidR="00E20CF6" w:rsidRPr="00E20CF6" w:rsidTr="00CE58F6">
        <w:trPr>
          <w:trHeight w:val="284"/>
          <w:jc w:val="center"/>
        </w:trPr>
        <w:tc>
          <w:tcPr>
            <w:tcW w:w="6605" w:type="dxa"/>
            <w:tcBorders>
              <w:top w:val="single" w:sz="2" w:space="0" w:color="auto"/>
              <w:bottom w:val="single" w:sz="2" w:space="0" w:color="auto"/>
            </w:tcBorders>
            <w:noWrap/>
            <w:vAlign w:val="center"/>
            <w:hideMark/>
          </w:tcPr>
          <w:p w:rsidR="00E20CF6" w:rsidRPr="00E20CF6" w:rsidRDefault="00E20CF6" w:rsidP="00E20CF6">
            <w:pPr>
              <w:pStyle w:val="cuatexto"/>
            </w:pPr>
            <w:r>
              <w:t>Erromeriak</w:t>
            </w:r>
          </w:p>
        </w:tc>
        <w:tc>
          <w:tcPr>
            <w:tcW w:w="1208" w:type="dxa"/>
            <w:tcBorders>
              <w:top w:val="single" w:sz="2" w:space="0" w:color="auto"/>
              <w:bottom w:val="single" w:sz="2" w:space="0" w:color="auto"/>
            </w:tcBorders>
            <w:noWrap/>
            <w:vAlign w:val="center"/>
            <w:hideMark/>
          </w:tcPr>
          <w:p w:rsidR="00E20CF6" w:rsidRPr="00E20CF6" w:rsidRDefault="00E20CF6" w:rsidP="00E20CF6">
            <w:pPr>
              <w:pStyle w:val="cuatexto"/>
              <w:jc w:val="right"/>
            </w:pPr>
            <w:r>
              <w:t>290</w:t>
            </w:r>
          </w:p>
        </w:tc>
        <w:tc>
          <w:tcPr>
            <w:tcW w:w="1092" w:type="dxa"/>
            <w:tcBorders>
              <w:top w:val="single" w:sz="2" w:space="0" w:color="auto"/>
              <w:bottom w:val="single" w:sz="2" w:space="0" w:color="auto"/>
            </w:tcBorders>
            <w:noWrap/>
            <w:vAlign w:val="center"/>
            <w:hideMark/>
          </w:tcPr>
          <w:p w:rsidR="00E20CF6" w:rsidRPr="00E20CF6" w:rsidRDefault="00E20CF6" w:rsidP="00E20CF6">
            <w:pPr>
              <w:pStyle w:val="cuatexto"/>
              <w:jc w:val="right"/>
            </w:pPr>
            <w:r>
              <w:t>364</w:t>
            </w:r>
          </w:p>
        </w:tc>
      </w:tr>
      <w:tr w:rsidR="00E20CF6" w:rsidRPr="00E20CF6" w:rsidTr="00CE58F6">
        <w:trPr>
          <w:trHeight w:val="284"/>
          <w:jc w:val="center"/>
        </w:trPr>
        <w:tc>
          <w:tcPr>
            <w:tcW w:w="6605" w:type="dxa"/>
            <w:tcBorders>
              <w:top w:val="single" w:sz="2" w:space="0" w:color="auto"/>
              <w:bottom w:val="single" w:sz="4" w:space="0" w:color="auto"/>
            </w:tcBorders>
            <w:noWrap/>
            <w:vAlign w:val="center"/>
            <w:hideMark/>
          </w:tcPr>
          <w:p w:rsidR="00E20CF6" w:rsidRPr="00E20CF6" w:rsidRDefault="00E20CF6" w:rsidP="00E20CF6">
            <w:pPr>
              <w:pStyle w:val="cuatexto"/>
            </w:pPr>
            <w:r>
              <w:t>Jai txikiak</w:t>
            </w:r>
          </w:p>
        </w:tc>
        <w:tc>
          <w:tcPr>
            <w:tcW w:w="1208" w:type="dxa"/>
            <w:tcBorders>
              <w:top w:val="single" w:sz="2" w:space="0" w:color="auto"/>
              <w:bottom w:val="single" w:sz="4" w:space="0" w:color="auto"/>
            </w:tcBorders>
            <w:noWrap/>
            <w:vAlign w:val="center"/>
            <w:hideMark/>
          </w:tcPr>
          <w:p w:rsidR="00E20CF6" w:rsidRPr="00E20CF6" w:rsidRDefault="00E20CF6" w:rsidP="00E20CF6">
            <w:pPr>
              <w:pStyle w:val="cuatexto"/>
              <w:jc w:val="right"/>
            </w:pPr>
            <w:r>
              <w:t>4.976</w:t>
            </w:r>
          </w:p>
        </w:tc>
        <w:tc>
          <w:tcPr>
            <w:tcW w:w="1092" w:type="dxa"/>
            <w:tcBorders>
              <w:top w:val="single" w:sz="2" w:space="0" w:color="auto"/>
              <w:bottom w:val="single" w:sz="4" w:space="0" w:color="auto"/>
            </w:tcBorders>
            <w:noWrap/>
            <w:vAlign w:val="center"/>
            <w:hideMark/>
          </w:tcPr>
          <w:p w:rsidR="00E20CF6" w:rsidRPr="00E20CF6" w:rsidRDefault="00E20CF6" w:rsidP="00E20CF6">
            <w:pPr>
              <w:pStyle w:val="cuatexto"/>
              <w:jc w:val="right"/>
            </w:pPr>
            <w:r>
              <w:t>5.415</w:t>
            </w:r>
          </w:p>
        </w:tc>
      </w:tr>
      <w:tr w:rsidR="00E20CF6" w:rsidRPr="00E20CF6" w:rsidTr="00CE58F6">
        <w:trPr>
          <w:trHeight w:val="284"/>
          <w:jc w:val="center"/>
        </w:trPr>
        <w:tc>
          <w:tcPr>
            <w:tcW w:w="6605" w:type="dxa"/>
            <w:tcBorders>
              <w:top w:val="single" w:sz="4" w:space="0" w:color="auto"/>
              <w:bottom w:val="single" w:sz="4" w:space="0" w:color="auto"/>
            </w:tcBorders>
            <w:shd w:val="clear" w:color="auto" w:fill="FABF8F" w:themeFill="accent6" w:themeFillTint="99"/>
            <w:noWrap/>
            <w:vAlign w:val="center"/>
            <w:hideMark/>
          </w:tcPr>
          <w:p w:rsidR="00E20CF6" w:rsidRPr="00E20CF6" w:rsidRDefault="00E20CF6" w:rsidP="00E20CF6">
            <w:pPr>
              <w:pStyle w:val="cuadroCabe"/>
            </w:pPr>
            <w:r>
              <w:t>Guztira</w:t>
            </w:r>
          </w:p>
        </w:tc>
        <w:tc>
          <w:tcPr>
            <w:tcW w:w="1208" w:type="dxa"/>
            <w:tcBorders>
              <w:top w:val="single" w:sz="4" w:space="0" w:color="auto"/>
              <w:bottom w:val="single" w:sz="4" w:space="0" w:color="auto"/>
            </w:tcBorders>
            <w:shd w:val="clear" w:color="auto" w:fill="FABF8F" w:themeFill="accent6" w:themeFillTint="99"/>
            <w:noWrap/>
            <w:vAlign w:val="center"/>
            <w:hideMark/>
          </w:tcPr>
          <w:p w:rsidR="00E20CF6" w:rsidRPr="00E20CF6" w:rsidRDefault="00E20CF6" w:rsidP="00E20CF6">
            <w:pPr>
              <w:pStyle w:val="cuadroCabe"/>
              <w:jc w:val="right"/>
            </w:pPr>
            <w:r>
              <w:t>52.483</w:t>
            </w:r>
          </w:p>
        </w:tc>
        <w:tc>
          <w:tcPr>
            <w:tcW w:w="1092" w:type="dxa"/>
            <w:tcBorders>
              <w:top w:val="single" w:sz="4" w:space="0" w:color="auto"/>
              <w:bottom w:val="single" w:sz="4" w:space="0" w:color="auto"/>
            </w:tcBorders>
            <w:shd w:val="clear" w:color="auto" w:fill="FABF8F" w:themeFill="accent6" w:themeFillTint="99"/>
            <w:noWrap/>
            <w:vAlign w:val="center"/>
            <w:hideMark/>
          </w:tcPr>
          <w:p w:rsidR="00E20CF6" w:rsidRPr="00E20CF6" w:rsidRDefault="00E20CF6" w:rsidP="00E20CF6">
            <w:pPr>
              <w:pStyle w:val="cuadroCabe"/>
              <w:jc w:val="right"/>
            </w:pPr>
            <w:r>
              <w:t>49.914</w:t>
            </w:r>
          </w:p>
        </w:tc>
      </w:tr>
    </w:tbl>
    <w:p w:rsidR="00CA7214" w:rsidRDefault="00CA7214" w:rsidP="00CE58F6">
      <w:pPr>
        <w:pStyle w:val="texto"/>
        <w:tabs>
          <w:tab w:val="clear" w:pos="2835"/>
          <w:tab w:val="clear" w:pos="3969"/>
          <w:tab w:val="clear" w:pos="5103"/>
          <w:tab w:val="clear" w:pos="6237"/>
          <w:tab w:val="clear" w:pos="7371"/>
          <w:tab w:val="left" w:pos="480"/>
          <w:tab w:val="num" w:pos="720"/>
          <w:tab w:val="num" w:pos="928"/>
          <w:tab w:val="num" w:pos="6597"/>
        </w:tabs>
        <w:spacing w:after="0"/>
        <w:ind w:left="289" w:firstLine="0"/>
        <w:rPr>
          <w:szCs w:val="26"/>
        </w:rPr>
      </w:pPr>
    </w:p>
    <w:p w:rsidR="00F14E95" w:rsidRDefault="00EF63F7" w:rsidP="009A6660">
      <w:pPr>
        <w:pStyle w:val="texto"/>
        <w:tabs>
          <w:tab w:val="clear" w:pos="2835"/>
          <w:tab w:val="clear" w:pos="3969"/>
          <w:tab w:val="clear" w:pos="5103"/>
          <w:tab w:val="clear" w:pos="6237"/>
          <w:tab w:val="clear" w:pos="7371"/>
        </w:tabs>
        <w:rPr>
          <w:szCs w:val="26"/>
        </w:rPr>
      </w:pPr>
      <w:r>
        <w:t>Gastuaren zatirik handiena kontzertuei eta ikuskizunei dagokie.</w:t>
      </w:r>
    </w:p>
    <w:p w:rsidR="00EF63F7" w:rsidRDefault="00DC6BD5" w:rsidP="009A6660">
      <w:pPr>
        <w:pStyle w:val="texto"/>
        <w:tabs>
          <w:tab w:val="clear" w:pos="2835"/>
          <w:tab w:val="clear" w:pos="3969"/>
          <w:tab w:val="clear" w:pos="5103"/>
          <w:tab w:val="clear" w:pos="6237"/>
          <w:tab w:val="clear" w:pos="7371"/>
        </w:tabs>
        <w:rPr>
          <w:szCs w:val="26"/>
        </w:rPr>
      </w:pPr>
      <w:r>
        <w:t>Kontzertuetarako ez da kontratazio-prozedura formalik erabiltzen, eta iku</w:t>
      </w:r>
      <w:r>
        <w:t>s</w:t>
      </w:r>
      <w:r>
        <w:t>ten da horietako batek kontratazio-espediente bat izapidetzeko mugak gaind</w:t>
      </w:r>
      <w:r>
        <w:t>i</w:t>
      </w:r>
      <w:r>
        <w:t xml:space="preserve">tzen dituela; guztiak kontratuen bidez bermatuta daude, eta kontratu horiek gero aurkeztutako fakturarekin alderatzen dira.  </w:t>
      </w:r>
    </w:p>
    <w:p w:rsidR="006F427D" w:rsidRDefault="00FE5E48" w:rsidP="00E4484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Baso-lanak, 15.429 euroko gastuarekin. Gastu hauek dagozkien fakturetan bermatuta daude </w:t>
      </w:r>
      <w:proofErr w:type="spellStart"/>
      <w:r>
        <w:t>—hiru</w:t>
      </w:r>
      <w:proofErr w:type="spellEnd"/>
      <w:r>
        <w:t xml:space="preserve"> enpresek </w:t>
      </w:r>
      <w:proofErr w:type="spellStart"/>
      <w:r>
        <w:t>eginak—</w:t>
      </w:r>
      <w:proofErr w:type="spellEnd"/>
      <w:r>
        <w:t>, baina enkargatutako lanak edo a</w:t>
      </w:r>
      <w:r>
        <w:t>u</w:t>
      </w:r>
      <w:r>
        <w:t xml:space="preserve">rrekontuak jaso gabe daude. </w:t>
      </w:r>
    </w:p>
    <w:p w:rsidR="00743FD7" w:rsidRDefault="006F427D" w:rsidP="006F427D">
      <w:pPr>
        <w:pStyle w:val="texto"/>
        <w:tabs>
          <w:tab w:val="clear" w:pos="2835"/>
          <w:tab w:val="clear" w:pos="3969"/>
          <w:tab w:val="clear" w:pos="5103"/>
          <w:tab w:val="clear" w:pos="6237"/>
          <w:tab w:val="clear" w:pos="7371"/>
        </w:tabs>
        <w:rPr>
          <w:szCs w:val="26"/>
        </w:rPr>
      </w:pPr>
      <w:r>
        <w:t xml:space="preserve">Halaber, ikusten dugu horrelako lanei aplikatzekoa zaien ehuneko 10eko BEZ tasa murriztua ez dela beti aplikatzen. </w:t>
      </w:r>
    </w:p>
    <w:p w:rsidR="00E4484F" w:rsidRPr="009A6660" w:rsidRDefault="00E4484F" w:rsidP="00E4484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Ureztatzeko ubidearen obrak. Eraikuntza-proiektu bat dago jasota, non obra horiek 13.851 euroko balioa edo aurrekontua dutela esaten baita. Kontu-sail horri egotzitako guztizko gastua 24.640 eurokoa da; horietatik, 3.630 euro proiektuaren idazketari dagozkio eta 21.010 euro, berriz, bost enpresak </w:t>
      </w:r>
      <w:proofErr w:type="spellStart"/>
      <w:r>
        <w:t>edo/eta</w:t>
      </w:r>
      <w:proofErr w:type="spellEnd"/>
      <w:r>
        <w:t xml:space="preserve"> profesionalek egindako lanei. </w:t>
      </w:r>
    </w:p>
    <w:p w:rsidR="00212BEF" w:rsidRPr="002D3C27" w:rsidRDefault="00212BEF" w:rsidP="00212BEF">
      <w:pPr>
        <w:pStyle w:val="atitulo3"/>
      </w:pPr>
      <w:r>
        <w:t>Aurrekontuko diru-sarrerak</w:t>
      </w:r>
    </w:p>
    <w:p w:rsidR="00113BEB" w:rsidRDefault="00113BEB" w:rsidP="0081454A">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120"/>
        <w:ind w:left="0" w:firstLine="289"/>
      </w:pPr>
      <w:r>
        <w:t>Kontabilitate-irizpide gisa, diru-sarrerak beraien kobrantza efektiboaren arabera erregistratzen dira.</w:t>
      </w:r>
    </w:p>
    <w:p w:rsidR="00096AA2" w:rsidRDefault="00096AA2" w:rsidP="00096AA2">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lastRenderedPageBreak/>
        <w:t xml:space="preserve">Zorua, lurpea eta </w:t>
      </w:r>
      <w:proofErr w:type="spellStart"/>
      <w:r>
        <w:t>lurgaina</w:t>
      </w:r>
      <w:proofErr w:type="spellEnd"/>
      <w:r>
        <w:t xml:space="preserve"> okupatzeagatik elektrizitate-konpainiek ordai</w:t>
      </w:r>
      <w:r>
        <w:t>n</w:t>
      </w:r>
      <w:r>
        <w:t>dutako tasa Nafarroako Udal eta Kontzejuen Federazioak kudeatzen eta kom</w:t>
      </w:r>
      <w:r>
        <w:t>u</w:t>
      </w:r>
      <w:r>
        <w:t xml:space="preserve">nikatzen du. Kontzejuak haren </w:t>
      </w:r>
      <w:proofErr w:type="spellStart"/>
      <w:r>
        <w:t>kobratza</w:t>
      </w:r>
      <w:proofErr w:type="spellEnd"/>
      <w:r>
        <w:t xml:space="preserve"> erregistratu besterik ez du egiten.</w:t>
      </w:r>
    </w:p>
    <w:p w:rsidR="00B657B6" w:rsidRDefault="006907BF"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Kontzejuaren 2015eko gastu arruntak finantzatzeko Udalak Zendeari egiten dion ekarpena 11.543 eurokoa da, eta honako honen arabera zehazten da:</w:t>
      </w:r>
    </w:p>
    <w:p w:rsidR="00B657B6" w:rsidRPr="00CE58F6" w:rsidRDefault="00CE58F6" w:rsidP="00CE58F6">
      <w:pPr>
        <w:pStyle w:val="texto"/>
        <w:tabs>
          <w:tab w:val="clear" w:pos="2835"/>
          <w:tab w:val="clear" w:pos="3969"/>
          <w:tab w:val="clear" w:pos="5103"/>
          <w:tab w:val="clear" w:pos="6237"/>
          <w:tab w:val="clear" w:pos="7371"/>
        </w:tabs>
        <w:rPr>
          <w:szCs w:val="26"/>
        </w:rPr>
      </w:pPr>
      <w:r>
        <w:t xml:space="preserve">a) Aurreko ekitaldiko </w:t>
      </w:r>
      <w:proofErr w:type="spellStart"/>
      <w:r>
        <w:t>EIOZaren</w:t>
      </w:r>
      <w:proofErr w:type="spellEnd"/>
      <w:r>
        <w:t xml:space="preserve"> eta zirkulazio zergaren diru-bilketaren eh</w:t>
      </w:r>
      <w:r>
        <w:t>u</w:t>
      </w:r>
      <w:r>
        <w:t>neko lau, 2.543 euroko zenbatekoarekin.</w:t>
      </w:r>
    </w:p>
    <w:p w:rsidR="00B657B6" w:rsidRDefault="00CE58F6" w:rsidP="00CE58F6">
      <w:pPr>
        <w:pStyle w:val="texto"/>
        <w:tabs>
          <w:tab w:val="clear" w:pos="2835"/>
          <w:tab w:val="clear" w:pos="3969"/>
          <w:tab w:val="clear" w:pos="5103"/>
          <w:tab w:val="clear" w:pos="6237"/>
          <w:tab w:val="clear" w:pos="7371"/>
        </w:tabs>
      </w:pPr>
      <w:r>
        <w:t>b) Kontzejuaren biztanleriarengatiko zenbateko finko bat, 9.000 eurokoa.</w:t>
      </w:r>
    </w:p>
    <w:p w:rsidR="00D6689F" w:rsidRDefault="00880BC2" w:rsidP="00D6689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Transferentzia arrunten ondoriozko diru-sarreren barruan, zenbait establ</w:t>
      </w:r>
      <w:r>
        <w:t>e</w:t>
      </w:r>
      <w:r>
        <w:t xml:space="preserve">zimenduk kontzejuaren izenean jaietarako </w:t>
      </w:r>
      <w:proofErr w:type="spellStart"/>
      <w:r>
        <w:t>—funtsean</w:t>
      </w:r>
      <w:proofErr w:type="spellEnd"/>
      <w:r>
        <w:t xml:space="preserve">, </w:t>
      </w:r>
      <w:proofErr w:type="spellStart"/>
      <w:r>
        <w:t>herri-bazkarietarako—</w:t>
      </w:r>
      <w:proofErr w:type="spellEnd"/>
      <w:r>
        <w:t xml:space="preserve"> bizilagunei egiten dizkieten kobrantzak erregistratzen dira. Ez dago jasota haien justifikaziorik </w:t>
      </w:r>
      <w:proofErr w:type="spellStart"/>
      <w:r>
        <w:t>—gutxienez</w:t>
      </w:r>
      <w:proofErr w:type="spellEnd"/>
      <w:r>
        <w:t xml:space="preserve"> ere halakorik ordaindu duten pertsonen z</w:t>
      </w:r>
      <w:r>
        <w:t>e</w:t>
      </w:r>
      <w:r>
        <w:t xml:space="preserve">rrenda </w:t>
      </w:r>
      <w:proofErr w:type="spellStart"/>
      <w:r>
        <w:t>bat—</w:t>
      </w:r>
      <w:proofErr w:type="spellEnd"/>
      <w:r>
        <w:t>: soilik agertzen da zenbatekoa Kontzejuaren kutxan entregatu dela. 2015ean, 2.653 euro izan dira.</w:t>
      </w:r>
    </w:p>
    <w:p w:rsidR="00096AA2" w:rsidRDefault="00096AA2" w:rsidP="00096AA2">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Herri-lurrengatiko diru-sarreretan, 2.524 euro egotzi dira, 2013ko eta 2014ko diru-sarrerei dagozkienak eta bere garaian igorri ez zirenak.</w:t>
      </w:r>
    </w:p>
    <w:p w:rsidR="00096AA2" w:rsidRDefault="00096AA2" w:rsidP="00096AA2">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Zuhaitzen salmentarako enkanteetako bat eman gabe geratu zen hasieran. Ez dago inguruabar hori jasota uzten duen aktarik, ez eta enpresa bati geroztik zuzeneko esleipena egiteko jarraitutako prozedurari buruzko dokumentaziorik ere. Zuzeneko esleipen horren zenbatekoa bat dator enkantean aurreikusitako zenbatekoarekin: 8.100 euro.</w:t>
      </w:r>
    </w:p>
    <w:p w:rsidR="00DF10B2" w:rsidRDefault="00DF10B2" w:rsidP="00CE58F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pPr>
      <w:r>
        <w:t xml:space="preserve">Kontzejuak bere areto bat alokatzen dio partikular bati musika-eskolak emateko. Errentamendu horren </w:t>
      </w:r>
      <w:proofErr w:type="spellStart"/>
      <w:r>
        <w:t>kontraprestazio</w:t>
      </w:r>
      <w:proofErr w:type="spellEnd"/>
      <w:r>
        <w:t xml:space="preserve"> gisa, kontzejuak elektrizitate-, ur- eta berokuntza-horniduren kontsumoaren zenbatespen bat egiten du; 2015ean, zenbatespen hori hilean 180 eurokoa izan da, hamar hilabetez. Zenb</w:t>
      </w:r>
      <w:r>
        <w:t>a</w:t>
      </w:r>
      <w:r>
        <w:t>teko horiek kobratu egin ditu Kontzejuak.</w:t>
      </w:r>
      <w:r>
        <w:rPr>
          <w:color w:val="FF0000"/>
        </w:rPr>
        <w:t xml:space="preserve"> </w:t>
      </w:r>
    </w:p>
    <w:p w:rsidR="00212BEF" w:rsidRPr="00C43F27" w:rsidRDefault="00212BEF" w:rsidP="00212BEF">
      <w:pPr>
        <w:pStyle w:val="atitulo3"/>
      </w:pPr>
      <w:r>
        <w:t>Diruzaintza</w:t>
      </w:r>
    </w:p>
    <w:p w:rsidR="003D2587" w:rsidRDefault="003D2587" w:rsidP="00D6689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Kontzejuak erabili ohi duen kontu korronteak banakako xedapeneko sin</w:t>
      </w:r>
      <w:r>
        <w:t>a</w:t>
      </w:r>
      <w:r>
        <w:t>duren bitartez funtzionatzen du.</w:t>
      </w:r>
    </w:p>
    <w:p w:rsidR="00DC6BD5" w:rsidRPr="009067AA" w:rsidRDefault="00DC6BD5" w:rsidP="00D6689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Ordainketa ia guztiak banku-transferentziaren bitartez egiten dira.</w:t>
      </w:r>
    </w:p>
    <w:p w:rsidR="00A65396" w:rsidRDefault="00AA7A1F" w:rsidP="00D6689F">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pPr>
      <w:r>
        <w:t>Ikusi dugu finantza-entitate batean beste kontu korronte bat badagoela, operatibo ez dagoena: 100 euroko saldoa du. Haren mugimendu bakarrak ma</w:t>
      </w:r>
      <w:r>
        <w:t>n</w:t>
      </w:r>
      <w:r>
        <w:t xml:space="preserve">tentze-komisioei dagokiena </w:t>
      </w:r>
      <w:proofErr w:type="spellStart"/>
      <w:r>
        <w:t>da</w:t>
      </w:r>
      <w:proofErr w:type="spellEnd"/>
      <w:r>
        <w:t xml:space="preserve">, eta 45 eurokoak izan dira 2015ean. Halaber, Kontzejua Arantzadiko Kontzejuarekin beste kontu baten </w:t>
      </w:r>
      <w:proofErr w:type="spellStart"/>
      <w:r>
        <w:t>kotitularra</w:t>
      </w:r>
      <w:proofErr w:type="spellEnd"/>
      <w:r>
        <w:t xml:space="preserve"> da. Azken kontzeju hori da hura administratu eta erregistratzen duena.</w:t>
      </w:r>
    </w:p>
    <w:p w:rsidR="00BA176D" w:rsidRDefault="00E24181" w:rsidP="00CE58F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spacing w:after="240"/>
        <w:ind w:left="0" w:firstLine="289"/>
      </w:pPr>
      <w:r>
        <w:t>Kontzejuak eskudiruko kutxa bat kudeatzen du diru-sarreretarako eta ga</w:t>
      </w:r>
      <w:r>
        <w:t>s</w:t>
      </w:r>
      <w:r>
        <w:t>tuetarako. Aholkulariak kudeatzen du. Diru-sarrerak, funtsean, liburuen sa</w:t>
      </w:r>
      <w:r>
        <w:t>l</w:t>
      </w:r>
      <w:r>
        <w:t xml:space="preserve">mentatik eta jaietatik heldu direnak dira, eta ez dute beti dokumentu-euskarririk </w:t>
      </w:r>
      <w:r>
        <w:lastRenderedPageBreak/>
        <w:t xml:space="preserve">edo izakinen kontrolik. Gastuak, berriz, zenbateko txikiko ordainketak izaten dira. Ez dago araurik haien funtzionamendua erregulatzen duenik. Bidezkoak diren kontaketa-aktak ez dira egiten. </w:t>
      </w:r>
    </w:p>
    <w:p w:rsidR="00BA176D" w:rsidRDefault="00F11EB7" w:rsidP="00F11EB7">
      <w:pPr>
        <w:pStyle w:val="atitulo2"/>
      </w:pPr>
      <w:bookmarkStart w:id="43" w:name="_Toc476722778"/>
      <w:r>
        <w:t>IV.4. Gomendioak</w:t>
      </w:r>
      <w:bookmarkEnd w:id="43"/>
      <w:r>
        <w:t xml:space="preserve"> </w:t>
      </w:r>
    </w:p>
    <w:p w:rsidR="00F11EB7" w:rsidRPr="00F11EB7" w:rsidRDefault="00F11EB7" w:rsidP="00F11EB7">
      <w:pPr>
        <w:pStyle w:val="texto"/>
        <w:tabs>
          <w:tab w:val="clear" w:pos="2835"/>
          <w:tab w:val="clear" w:pos="3969"/>
          <w:tab w:val="clear" w:pos="5103"/>
          <w:tab w:val="clear" w:pos="6237"/>
          <w:tab w:val="clear" w:pos="7371"/>
        </w:tabs>
        <w:rPr>
          <w:szCs w:val="26"/>
        </w:rPr>
      </w:pPr>
      <w:r>
        <w:t>Egindako lanetik, honako gomendio hauek nabarmendu nahi ditugu</w:t>
      </w:r>
    </w:p>
    <w:p w:rsidR="00120CE5" w:rsidRDefault="00120CE5" w:rsidP="00120CE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Ekitaldi bakoitzeko aurrekontuak legedi indardunak aipatzen duen legezko epean onestea; betiere, aplikatzen diren ekitaldiaren hasiera baino lehen, noski.</w:t>
      </w:r>
    </w:p>
    <w:p w:rsidR="00F11EB7" w:rsidRDefault="00F11EB7" w:rsidP="00F11EB7">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Kontzejuaren aurrekontuaren eta kontu orokorraren dokumentazioaren b</w:t>
      </w:r>
      <w:r>
        <w:rPr>
          <w:i/>
          <w:szCs w:val="26"/>
        </w:rPr>
        <w:t>a</w:t>
      </w:r>
      <w:r>
        <w:rPr>
          <w:i/>
          <w:szCs w:val="26"/>
        </w:rPr>
        <w:t>rruan sartzea aurrekontu-egonkortasunaren eta finantza-iraunkortasunaren printzipioen betetze-mailari buruzko informazio xehea.</w:t>
      </w:r>
    </w:p>
    <w:p w:rsidR="00120CE5" w:rsidRPr="000742E3" w:rsidRDefault="00120CE5" w:rsidP="00120CE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Fakturen erregistro elektronikoa ezartzea.</w:t>
      </w:r>
    </w:p>
    <w:p w:rsidR="000A5316" w:rsidRDefault="00605632" w:rsidP="000A531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Arautzea aholkulari juridikoa Kontzejuaren Batzarraren bileretan egotea, eta bilerei buruzko behar diren aktak egitea.</w:t>
      </w:r>
    </w:p>
    <w:p w:rsidR="00F14E95" w:rsidRDefault="00F14E95" w:rsidP="00F14E9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Kontzejuaren ondasun guztiak behar bezala balioetsita edukiko dituen i</w:t>
      </w:r>
      <w:r>
        <w:rPr>
          <w:i/>
          <w:szCs w:val="26"/>
        </w:rPr>
        <w:t>n</w:t>
      </w:r>
      <w:r>
        <w:rPr>
          <w:i/>
          <w:szCs w:val="26"/>
        </w:rPr>
        <w:t>bentario bat egitea, ibilgetuaren saldoa bermatuta.</w:t>
      </w:r>
    </w:p>
    <w:p w:rsidR="00F14E95" w:rsidRDefault="00F14E95" w:rsidP="00F14E95">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Urteko aurrekontuari egoztea ekitaldian sortutako gastuak eta diru-sarrerak.</w:t>
      </w:r>
    </w:p>
    <w:p w:rsidR="000A5316" w:rsidRPr="004D3F22" w:rsidRDefault="000A5316" w:rsidP="000A5316">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 xml:space="preserve">Kontzejuko langileen beharrizanak eta betekizunak aztertzea eta urtero Kontzejuaren Batzarrak onetsi beharreko </w:t>
      </w:r>
      <w:proofErr w:type="spellStart"/>
      <w:r>
        <w:rPr>
          <w:i/>
          <w:szCs w:val="26"/>
        </w:rPr>
        <w:t>plantilla</w:t>
      </w:r>
      <w:proofErr w:type="spellEnd"/>
      <w:r>
        <w:rPr>
          <w:i/>
          <w:szCs w:val="26"/>
        </w:rPr>
        <w:t xml:space="preserve"> organiko batera eramatea.</w:t>
      </w:r>
    </w:p>
    <w:p w:rsidR="0043769F" w:rsidRDefault="004D3F22"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Langileak publizitate, lehia, berdintasun eta merezimendu printzipioen arabera hautatzea.</w:t>
      </w:r>
    </w:p>
    <w:p w:rsidR="00F14E95" w:rsidRDefault="00F14E95"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Diru-laguntzak deialdi publiko bidez eman behar dira, eta arautu behar dira haien onuradunen betekizunak, baldintzak eta aurkeztu beharreko dok</w:t>
      </w:r>
      <w:r>
        <w:rPr>
          <w:i/>
          <w:szCs w:val="26"/>
        </w:rPr>
        <w:t>u</w:t>
      </w:r>
      <w:r>
        <w:rPr>
          <w:i/>
          <w:szCs w:val="26"/>
        </w:rPr>
        <w:t>mentazioa jasoko duen ordenantza beten bitartez.</w:t>
      </w:r>
    </w:p>
    <w:p w:rsidR="00B55A53" w:rsidRDefault="00CF4E87"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 xml:space="preserve">Behar diren kontratazio espedienteak izapidetzea legez ezarritako mugak gainditzen diren kasuetan. Gainerakoetarako, gomendagarria da eskaintzak eskatzea enpresa </w:t>
      </w:r>
      <w:proofErr w:type="spellStart"/>
      <w:r>
        <w:rPr>
          <w:i/>
          <w:szCs w:val="26"/>
        </w:rPr>
        <w:t>edo/eta</w:t>
      </w:r>
      <w:proofErr w:type="spellEnd"/>
      <w:r>
        <w:rPr>
          <w:i/>
          <w:szCs w:val="26"/>
        </w:rPr>
        <w:t xml:space="preserve"> profesional desberdinei; halaber, inbertsioa edo egin beharreko lanak proiektu tekniko batean oinarrituta daudenean, egin beharrek lanei buruzko eskaintza orokorrak eskatzea. Azken kasu horietan, eskaera hori agiri bidez jasota uztea.</w:t>
      </w:r>
    </w:p>
    <w:p w:rsidR="00D53CCC" w:rsidRPr="000B7DB7" w:rsidRDefault="00D53CCC"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 xml:space="preserve">Argiteria publikoaren mantentze-kontratua </w:t>
      </w:r>
      <w:proofErr w:type="spellStart"/>
      <w:r>
        <w:rPr>
          <w:i/>
          <w:szCs w:val="26"/>
        </w:rPr>
        <w:t>lizitatzea</w:t>
      </w:r>
      <w:proofErr w:type="spellEnd"/>
      <w:r>
        <w:rPr>
          <w:i/>
          <w:szCs w:val="26"/>
        </w:rPr>
        <w:t>, betiere Kontzejuaren egungo errealitateari eta beharrizanei egokitua.</w:t>
      </w:r>
    </w:p>
    <w:p w:rsidR="00D97F6A" w:rsidRDefault="00D97F6A" w:rsidP="00B72879">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 xml:space="preserve">Bizilagunek jaietarako egiten dituzten ekarpenak kasuko </w:t>
      </w:r>
      <w:proofErr w:type="spellStart"/>
      <w:r>
        <w:rPr>
          <w:i/>
          <w:szCs w:val="26"/>
        </w:rPr>
        <w:t>jaso-agiri</w:t>
      </w:r>
      <w:proofErr w:type="spellEnd"/>
      <w:r>
        <w:rPr>
          <w:i/>
          <w:szCs w:val="26"/>
        </w:rPr>
        <w:t xml:space="preserve"> edo z</w:t>
      </w:r>
      <w:r>
        <w:rPr>
          <w:i/>
          <w:szCs w:val="26"/>
        </w:rPr>
        <w:t>e</w:t>
      </w:r>
      <w:r>
        <w:rPr>
          <w:i/>
          <w:szCs w:val="26"/>
        </w:rPr>
        <w:t>rrenden bidez kontrolatu beharko lirateke, eta onena izanen litzateke Kontz</w:t>
      </w:r>
      <w:r>
        <w:rPr>
          <w:i/>
          <w:szCs w:val="26"/>
        </w:rPr>
        <w:t>e</w:t>
      </w:r>
      <w:r>
        <w:rPr>
          <w:i/>
          <w:szCs w:val="26"/>
        </w:rPr>
        <w:t>juaren kontu korrontean zuzenean sartzea.</w:t>
      </w:r>
    </w:p>
    <w:p w:rsidR="006E2D5E" w:rsidRPr="009067AA" w:rsidRDefault="003D2587" w:rsidP="006E2D5E">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lastRenderedPageBreak/>
        <w:t>Kontu korronteko funtsen erabilera oro sinadura mankomunatuen bitartez egin beharra dago.</w:t>
      </w:r>
    </w:p>
    <w:p w:rsidR="0012209F" w:rsidRPr="00A676CB" w:rsidRDefault="00AA7A1F" w:rsidP="00A676CB">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Operatibo ez dagoen kontu korrontea ezeztatzea.</w:t>
      </w:r>
    </w:p>
    <w:p w:rsidR="00C43F27" w:rsidRPr="002132E4" w:rsidRDefault="002C41AC" w:rsidP="002132E4">
      <w:pPr>
        <w:pStyle w:val="texto"/>
        <w:numPr>
          <w:ilvl w:val="0"/>
          <w:numId w:val="1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i/>
          <w:szCs w:val="26"/>
        </w:rPr>
      </w:pPr>
      <w:r>
        <w:rPr>
          <w:i/>
          <w:szCs w:val="26"/>
        </w:rPr>
        <w:t>Eskudiruaren kutxaren funtzionamendua erregulatzea, bai eta haien sarr</w:t>
      </w:r>
      <w:r>
        <w:rPr>
          <w:i/>
          <w:szCs w:val="26"/>
        </w:rPr>
        <w:t>e</w:t>
      </w:r>
      <w:r>
        <w:rPr>
          <w:i/>
          <w:szCs w:val="26"/>
        </w:rPr>
        <w:t>rak eta irteerak justifikatzeko euskarria ere, eta maiztasun jakin batez, eta g</w:t>
      </w:r>
      <w:r>
        <w:rPr>
          <w:i/>
          <w:szCs w:val="26"/>
        </w:rPr>
        <w:t>u</w:t>
      </w:r>
      <w:r>
        <w:rPr>
          <w:i/>
          <w:szCs w:val="26"/>
        </w:rPr>
        <w:t xml:space="preserve">txienez ere ekitaldiaren amaieran, kontaketa-akta bat egitea, </w:t>
      </w:r>
      <w:proofErr w:type="spellStart"/>
      <w:r>
        <w:rPr>
          <w:i/>
          <w:szCs w:val="26"/>
        </w:rPr>
        <w:t>kontzejukide-idazkariak</w:t>
      </w:r>
      <w:proofErr w:type="spellEnd"/>
      <w:r>
        <w:rPr>
          <w:i/>
          <w:szCs w:val="26"/>
        </w:rPr>
        <w:t xml:space="preserve"> eta aholkulariak elkarrekin sinatua.</w:t>
      </w:r>
    </w:p>
    <w:p w:rsidR="004A3B78" w:rsidRPr="00951B58" w:rsidRDefault="004A3B78" w:rsidP="004A3B78">
      <w:pPr>
        <w:pStyle w:val="texto"/>
        <w:tabs>
          <w:tab w:val="clear" w:pos="2835"/>
          <w:tab w:val="clear" w:pos="3969"/>
          <w:tab w:val="clear" w:pos="5103"/>
          <w:tab w:val="clear" w:pos="6237"/>
          <w:tab w:val="clear" w:pos="7371"/>
        </w:tabs>
        <w:spacing w:before="240" w:after="240"/>
        <w:rPr>
          <w:szCs w:val="26"/>
        </w:rPr>
      </w:pPr>
      <w:r>
        <w:t>Ignacio Cabeza del Salvador kontu-ikuskatzailea arduratu da lan honetaz, eta hark proposatuta eman da txosten hau, indarrean dagoen araudiak aurreikus</w:t>
      </w:r>
      <w:r>
        <w:t>i</w:t>
      </w:r>
      <w:r>
        <w:t>tako izapideak bete ondoren.</w:t>
      </w:r>
    </w:p>
    <w:p w:rsidR="00374128" w:rsidRDefault="00374128" w:rsidP="004A3B78">
      <w:pPr>
        <w:pStyle w:val="texto"/>
        <w:tabs>
          <w:tab w:val="clear" w:pos="2835"/>
          <w:tab w:val="clear" w:pos="3969"/>
          <w:tab w:val="clear" w:pos="5103"/>
          <w:tab w:val="clear" w:pos="6237"/>
          <w:tab w:val="clear" w:pos="7371"/>
        </w:tabs>
        <w:spacing w:before="240" w:after="240"/>
        <w:jc w:val="center"/>
        <w:rPr>
          <w:szCs w:val="26"/>
        </w:rPr>
      </w:pPr>
      <w:r>
        <w:t>Iruñean, 2017ko urtarrilaren 27an</w:t>
      </w:r>
    </w:p>
    <w:p w:rsidR="004A3B78" w:rsidRDefault="004A3B78" w:rsidP="004A3B78">
      <w:pPr>
        <w:pStyle w:val="texto"/>
        <w:tabs>
          <w:tab w:val="clear" w:pos="2835"/>
          <w:tab w:val="clear" w:pos="3969"/>
          <w:tab w:val="clear" w:pos="5103"/>
          <w:tab w:val="clear" w:pos="6237"/>
          <w:tab w:val="clear" w:pos="7371"/>
        </w:tabs>
        <w:spacing w:after="0"/>
        <w:jc w:val="center"/>
        <w:rPr>
          <w:szCs w:val="26"/>
        </w:rPr>
      </w:pPr>
      <w:r>
        <w:t xml:space="preserve">Lehendakaria, </w:t>
      </w:r>
    </w:p>
    <w:p w:rsidR="00C43F27" w:rsidRDefault="004A3B78" w:rsidP="004A3B78">
      <w:pPr>
        <w:pStyle w:val="texto"/>
        <w:tabs>
          <w:tab w:val="clear" w:pos="2835"/>
          <w:tab w:val="clear" w:pos="3969"/>
          <w:tab w:val="clear" w:pos="5103"/>
          <w:tab w:val="clear" w:pos="6237"/>
          <w:tab w:val="clear" w:pos="7371"/>
        </w:tabs>
        <w:spacing w:after="0"/>
        <w:jc w:val="center"/>
        <w:rPr>
          <w:szCs w:val="26"/>
        </w:rPr>
      </w:pPr>
      <w:proofErr w:type="spellStart"/>
      <w:r>
        <w:t>Asunción</w:t>
      </w:r>
      <w:proofErr w:type="spellEnd"/>
      <w:r>
        <w:t xml:space="preserve"> </w:t>
      </w:r>
      <w:proofErr w:type="spellStart"/>
      <w:r>
        <w:t>Olaechea</w:t>
      </w:r>
      <w:proofErr w:type="spellEnd"/>
      <w:r>
        <w:t xml:space="preserve"> </w:t>
      </w:r>
      <w:proofErr w:type="spellStart"/>
      <w:r>
        <w:t>Estanga</w:t>
      </w:r>
      <w:proofErr w:type="spellEnd"/>
    </w:p>
    <w:sectPr w:rsidR="00C43F27" w:rsidSect="005E03F7">
      <w:footerReference w:type="default" r:id="rId14"/>
      <w:pgSz w:w="11907" w:h="16840" w:code="9"/>
      <w:pgMar w:top="1701" w:right="1559" w:bottom="1644" w:left="1559" w:header="369" w:footer="3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C9" w:rsidRDefault="00FA08C9">
      <w:r>
        <w:separator/>
      </w:r>
    </w:p>
    <w:p w:rsidR="00FA08C9" w:rsidRDefault="00FA08C9"/>
    <w:p w:rsidR="00FA08C9" w:rsidRDefault="00FA08C9"/>
    <w:p w:rsidR="00FA08C9" w:rsidRDefault="00FA08C9"/>
  </w:endnote>
  <w:endnote w:type="continuationSeparator" w:id="0">
    <w:p w:rsidR="00FA08C9" w:rsidRDefault="00FA08C9">
      <w:r>
        <w:continuationSeparator/>
      </w:r>
    </w:p>
    <w:p w:rsidR="00FA08C9" w:rsidRDefault="00FA08C9"/>
    <w:p w:rsidR="00FA08C9" w:rsidRDefault="00FA08C9"/>
    <w:p w:rsidR="00FA08C9" w:rsidRDefault="00FA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C0007841"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A5" w:rsidRDefault="001B17A5"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973FDE">
      <w:rPr>
        <w:rStyle w:val="Nmerodepgina"/>
      </w:rPr>
      <w:fldChar w:fldCharType="separate"/>
    </w:r>
    <w:r w:rsidR="00973FDE">
      <w:rPr>
        <w:rStyle w:val="Nmerodepgina"/>
        <w:noProof/>
      </w:rPr>
      <w:t>21</w:t>
    </w:r>
    <w:r>
      <w:rPr>
        <w:rStyle w:val="Nmerodepgina"/>
      </w:rPr>
      <w:fldChar w:fldCharType="end"/>
    </w:r>
  </w:p>
  <w:p w:rsidR="001B17A5" w:rsidRDefault="001B17A5"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A5" w:rsidRDefault="001B17A5">
    <w:pPr>
      <w:pStyle w:val="Piedepgina"/>
      <w:jc w:val="right"/>
    </w:pPr>
  </w:p>
  <w:p w:rsidR="001B17A5" w:rsidRPr="00C13453" w:rsidRDefault="001B17A5" w:rsidP="007B6FD2">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A5" w:rsidRDefault="001B17A5"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232845"/>
      <w:docPartObj>
        <w:docPartGallery w:val="Page Numbers (Bottom of Page)"/>
        <w:docPartUnique/>
      </w:docPartObj>
    </w:sdtPr>
    <w:sdtEndPr>
      <w:rPr>
        <w:sz w:val="24"/>
        <w:szCs w:val="24"/>
      </w:rPr>
    </w:sdtEndPr>
    <w:sdtContent>
      <w:p w:rsidR="001B17A5" w:rsidRDefault="001B17A5" w:rsidP="0091436E">
        <w:pPr>
          <w:pStyle w:val="Piedepgina"/>
          <w:spacing w:after="0"/>
          <w:ind w:left="-851"/>
          <w:jc w:val="left"/>
        </w:pPr>
        <w:r>
          <w:rPr>
            <w:noProof/>
            <w:lang w:val="es-ES" w:eastAsia="es-ES"/>
          </w:rPr>
          <w:drawing>
            <wp:inline distT="0" distB="0" distL="0" distR="0" wp14:anchorId="6781E158" wp14:editId="7CAECD53">
              <wp:extent cx="252730" cy="457200"/>
              <wp:effectExtent l="0" t="0" r="0" b="0"/>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57200"/>
                      </a:xfrm>
                      <a:prstGeom prst="rect">
                        <a:avLst/>
                      </a:prstGeom>
                      <a:noFill/>
                      <a:ln>
                        <a:noFill/>
                      </a:ln>
                    </pic:spPr>
                  </pic:pic>
                </a:graphicData>
              </a:graphic>
            </wp:inline>
          </w:drawing>
        </w:r>
      </w:p>
      <w:p w:rsidR="001B17A5" w:rsidRPr="0091436E" w:rsidRDefault="005E03F7" w:rsidP="0091436E">
        <w:pPr>
          <w:pStyle w:val="Piedepgina"/>
          <w:spacing w:after="0"/>
          <w:jc w:val="center"/>
          <w:rPr>
            <w:sz w:val="24"/>
            <w:szCs w:val="24"/>
          </w:rPr>
        </w:pPr>
        <w:r>
          <w:rPr>
            <w:sz w:val="24"/>
            <w:szCs w:val="24"/>
          </w:rPr>
          <w:t xml:space="preserve">- </w:t>
        </w:r>
        <w:r w:rsidR="001B17A5" w:rsidRPr="0091436E">
          <w:rPr>
            <w:sz w:val="24"/>
            <w:szCs w:val="24"/>
          </w:rPr>
          <w:fldChar w:fldCharType="begin"/>
        </w:r>
        <w:r w:rsidR="001B17A5" w:rsidRPr="0091436E">
          <w:rPr>
            <w:sz w:val="24"/>
            <w:szCs w:val="24"/>
          </w:rPr>
          <w:instrText>PAGE   \* MERGEFORMAT</w:instrText>
        </w:r>
        <w:r w:rsidR="001B17A5" w:rsidRPr="0091436E">
          <w:rPr>
            <w:sz w:val="24"/>
            <w:szCs w:val="24"/>
          </w:rPr>
          <w:fldChar w:fldCharType="separate"/>
        </w:r>
        <w:r w:rsidR="00973FDE">
          <w:rPr>
            <w:noProof/>
            <w:sz w:val="24"/>
            <w:szCs w:val="24"/>
          </w:rPr>
          <w:t>21</w:t>
        </w:r>
        <w:r w:rsidR="001B17A5" w:rsidRPr="0091436E">
          <w:rPr>
            <w:sz w:val="24"/>
            <w:szCs w:val="24"/>
          </w:rPr>
          <w:fldChar w:fldCharType="end"/>
        </w:r>
        <w:r>
          <w:rPr>
            <w:sz w:val="24"/>
            <w:szCs w:val="24"/>
          </w:rPr>
          <w:t>-</w:t>
        </w:r>
      </w:p>
    </w:sdtContent>
  </w:sdt>
  <w:p w:rsidR="00432BCA" w:rsidRDefault="00432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C9" w:rsidRDefault="00FA08C9" w:rsidP="00847AF3">
      <w:pPr>
        <w:ind w:firstLine="0"/>
      </w:pPr>
      <w:r>
        <w:separator/>
      </w:r>
    </w:p>
  </w:footnote>
  <w:footnote w:type="continuationSeparator" w:id="0">
    <w:p w:rsidR="00FA08C9" w:rsidRDefault="00FA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A5" w:rsidRDefault="001B17A5" w:rsidP="0094179B">
    <w:pPr>
      <w:pStyle w:val="Encabezado"/>
      <w:pBdr>
        <w:bottom w:val="single" w:sz="4" w:space="1" w:color="auto"/>
      </w:pBdr>
      <w:spacing w:after="40"/>
      <w:ind w:firstLine="0"/>
      <w:jc w:val="left"/>
    </w:pPr>
    <w:r>
      <w:rPr>
        <w:b/>
        <w:noProof/>
        <w:lang w:val="es-ES" w:eastAsia="es-ES"/>
      </w:rPr>
      <w:drawing>
        <wp:anchor distT="0" distB="0" distL="114300" distR="114300" simplePos="0" relativeHeight="251661312" behindDoc="0" locked="0" layoutInCell="1" allowOverlap="1" wp14:anchorId="11379DDC" wp14:editId="1DAFC02A">
          <wp:simplePos x="0" y="0"/>
          <wp:positionH relativeFrom="column">
            <wp:posOffset>-64770</wp:posOffset>
          </wp:positionH>
          <wp:positionV relativeFrom="paragraph">
            <wp:posOffset>-86360</wp:posOffset>
          </wp:positionV>
          <wp:extent cx="714375" cy="705485"/>
          <wp:effectExtent l="0" t="0" r="9525" b="0"/>
          <wp:wrapSquare wrapText="bothSides"/>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05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B17A5" w:rsidRDefault="001B17A5" w:rsidP="0094179B">
    <w:pPr>
      <w:pStyle w:val="Encabezado"/>
      <w:pBdr>
        <w:bottom w:val="single" w:sz="4" w:space="1" w:color="auto"/>
      </w:pBdr>
      <w:spacing w:after="40"/>
      <w:ind w:firstLine="0"/>
      <w:jc w:val="left"/>
      <w:rPr>
        <w:lang w:val="es-ES"/>
      </w:rPr>
    </w:pPr>
  </w:p>
  <w:p w:rsidR="001B17A5" w:rsidRDefault="001B17A5" w:rsidP="0094179B">
    <w:pPr>
      <w:pStyle w:val="Encabezado"/>
      <w:pBdr>
        <w:bottom w:val="single" w:sz="4" w:space="1" w:color="auto"/>
      </w:pBdr>
      <w:spacing w:after="40"/>
      <w:ind w:firstLine="0"/>
      <w:jc w:val="left"/>
      <w:rPr>
        <w:lang w:val="es-ES"/>
      </w:rPr>
    </w:pPr>
  </w:p>
  <w:p w:rsidR="001B17A5" w:rsidRDefault="001B17A5" w:rsidP="0094179B">
    <w:pPr>
      <w:pStyle w:val="Encabezado"/>
      <w:pBdr>
        <w:bottom w:val="single" w:sz="4" w:space="1" w:color="auto"/>
      </w:pBdr>
      <w:spacing w:after="40"/>
      <w:ind w:firstLine="0"/>
      <w:jc w:val="left"/>
      <w:rPr>
        <w:lang w:val="es-ES"/>
      </w:rPr>
    </w:pPr>
  </w:p>
  <w:p w:rsidR="001B17A5" w:rsidRPr="0059650E" w:rsidRDefault="001B17A5" w:rsidP="00DF42DA">
    <w:pPr>
      <w:pStyle w:val="Encabezado"/>
      <w:pBdr>
        <w:bottom w:val="single" w:sz="4" w:space="1" w:color="auto"/>
      </w:pBdr>
      <w:spacing w:after="40"/>
      <w:ind w:firstLine="0"/>
    </w:pPr>
    <w:r>
      <w:t>Ororbiako Kontzejuari buruzko fiskalizazio-txostena,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A5" w:rsidRDefault="001B17A5" w:rsidP="006A2D41">
    <w:pPr>
      <w:pStyle w:val="Encabezado"/>
      <w:ind w:firstLine="0"/>
      <w:jc w:val="left"/>
    </w:pPr>
    <w:r>
      <w:rPr>
        <w:noProof/>
        <w:lang w:val="es-ES" w:eastAsia="es-ES"/>
      </w:rPr>
      <w:drawing>
        <wp:inline distT="0" distB="0" distL="0" distR="0" wp14:anchorId="5FA373CF" wp14:editId="1C9EA956">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nsid w:val="01E9738C"/>
    <w:multiLevelType w:val="hybridMultilevel"/>
    <w:tmpl w:val="805A9B3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12B1318E"/>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DFD3296"/>
    <w:multiLevelType w:val="hybridMultilevel"/>
    <w:tmpl w:val="8C38A3F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10E6078"/>
    <w:multiLevelType w:val="hybridMultilevel"/>
    <w:tmpl w:val="FD2E8E4A"/>
    <w:lvl w:ilvl="0" w:tplc="FCEA3300">
      <w:start w:val="1"/>
      <w:numFmt w:val="lowerLetter"/>
      <w:lvlText w:val="%1)"/>
      <w:lvlJc w:val="left"/>
      <w:pPr>
        <w:ind w:left="884" w:hanging="60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27B90B61"/>
    <w:multiLevelType w:val="hybridMultilevel"/>
    <w:tmpl w:val="9AB0B7C0"/>
    <w:lvl w:ilvl="0" w:tplc="56DCC1A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B71574D"/>
    <w:multiLevelType w:val="hybridMultilevel"/>
    <w:tmpl w:val="292864B0"/>
    <w:lvl w:ilvl="0" w:tplc="A96E932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CF8525C"/>
    <w:multiLevelType w:val="hybridMultilevel"/>
    <w:tmpl w:val="9ABA732C"/>
    <w:lvl w:ilvl="0" w:tplc="B41E93B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3E2E1EDE"/>
    <w:multiLevelType w:val="hybridMultilevel"/>
    <w:tmpl w:val="491C2FB8"/>
    <w:lvl w:ilvl="0" w:tplc="31D876F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2">
    <w:nsid w:val="597B177C"/>
    <w:multiLevelType w:val="hybridMultilevel"/>
    <w:tmpl w:val="15BAC0A4"/>
    <w:lvl w:ilvl="0" w:tplc="4AD2EE5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1E1C87"/>
    <w:multiLevelType w:val="hybridMultilevel"/>
    <w:tmpl w:val="9AB0B7C0"/>
    <w:lvl w:ilvl="0" w:tplc="56DCC1A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15">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708B6083"/>
    <w:multiLevelType w:val="hybridMultilevel"/>
    <w:tmpl w:val="198EB90A"/>
    <w:lvl w:ilvl="0" w:tplc="4E02265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7500406D"/>
    <w:multiLevelType w:val="hybridMultilevel"/>
    <w:tmpl w:val="076E6A6C"/>
    <w:lvl w:ilvl="0" w:tplc="F3CC778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79796B5C"/>
    <w:multiLevelType w:val="hybridMultilevel"/>
    <w:tmpl w:val="C0CC0A9E"/>
    <w:lvl w:ilvl="0" w:tplc="5F0CE24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abstractNum w:abstractNumId="20">
    <w:nsid w:val="7FE70F59"/>
    <w:multiLevelType w:val="hybridMultilevel"/>
    <w:tmpl w:val="1BE0AA18"/>
    <w:lvl w:ilvl="0" w:tplc="2A2AEB00">
      <w:start w:val="1"/>
      <w:numFmt w:val="lowerLetter"/>
      <w:lvlText w:val="%1)"/>
      <w:lvlJc w:val="left"/>
      <w:pPr>
        <w:ind w:left="650" w:hanging="360"/>
      </w:pPr>
      <w:rPr>
        <w:rFonts w:hint="default"/>
      </w:rPr>
    </w:lvl>
    <w:lvl w:ilvl="1" w:tplc="0C0A0019" w:tentative="1">
      <w:start w:val="1"/>
      <w:numFmt w:val="lowerLetter"/>
      <w:lvlText w:val="%2."/>
      <w:lvlJc w:val="left"/>
      <w:pPr>
        <w:ind w:left="1370" w:hanging="360"/>
      </w:pPr>
    </w:lvl>
    <w:lvl w:ilvl="2" w:tplc="0C0A001B" w:tentative="1">
      <w:start w:val="1"/>
      <w:numFmt w:val="lowerRoman"/>
      <w:lvlText w:val="%3."/>
      <w:lvlJc w:val="right"/>
      <w:pPr>
        <w:ind w:left="2090" w:hanging="180"/>
      </w:pPr>
    </w:lvl>
    <w:lvl w:ilvl="3" w:tplc="0C0A000F" w:tentative="1">
      <w:start w:val="1"/>
      <w:numFmt w:val="decimal"/>
      <w:lvlText w:val="%4."/>
      <w:lvlJc w:val="left"/>
      <w:pPr>
        <w:ind w:left="2810" w:hanging="360"/>
      </w:pPr>
    </w:lvl>
    <w:lvl w:ilvl="4" w:tplc="0C0A0019" w:tentative="1">
      <w:start w:val="1"/>
      <w:numFmt w:val="lowerLetter"/>
      <w:lvlText w:val="%5."/>
      <w:lvlJc w:val="left"/>
      <w:pPr>
        <w:ind w:left="3530" w:hanging="360"/>
      </w:pPr>
    </w:lvl>
    <w:lvl w:ilvl="5" w:tplc="0C0A001B" w:tentative="1">
      <w:start w:val="1"/>
      <w:numFmt w:val="lowerRoman"/>
      <w:lvlText w:val="%6."/>
      <w:lvlJc w:val="right"/>
      <w:pPr>
        <w:ind w:left="4250" w:hanging="180"/>
      </w:pPr>
    </w:lvl>
    <w:lvl w:ilvl="6" w:tplc="0C0A000F" w:tentative="1">
      <w:start w:val="1"/>
      <w:numFmt w:val="decimal"/>
      <w:lvlText w:val="%7."/>
      <w:lvlJc w:val="left"/>
      <w:pPr>
        <w:ind w:left="4970" w:hanging="360"/>
      </w:pPr>
    </w:lvl>
    <w:lvl w:ilvl="7" w:tplc="0C0A0019" w:tentative="1">
      <w:start w:val="1"/>
      <w:numFmt w:val="lowerLetter"/>
      <w:lvlText w:val="%8."/>
      <w:lvlJc w:val="left"/>
      <w:pPr>
        <w:ind w:left="5690" w:hanging="360"/>
      </w:pPr>
    </w:lvl>
    <w:lvl w:ilvl="8" w:tplc="0C0A001B" w:tentative="1">
      <w:start w:val="1"/>
      <w:numFmt w:val="lowerRoman"/>
      <w:lvlText w:val="%9."/>
      <w:lvlJc w:val="right"/>
      <w:pPr>
        <w:ind w:left="6410" w:hanging="180"/>
      </w:pPr>
    </w:lvl>
  </w:abstractNum>
  <w:num w:numId="1">
    <w:abstractNumId w:val="19"/>
  </w:num>
  <w:num w:numId="2">
    <w:abstractNumId w:val="14"/>
  </w:num>
  <w:num w:numId="3">
    <w:abstractNumId w:val="2"/>
  </w:num>
  <w:num w:numId="4">
    <w:abstractNumId w:val="10"/>
  </w:num>
  <w:num w:numId="5">
    <w:abstractNumId w:val="15"/>
  </w:num>
  <w:num w:numId="6">
    <w:abstractNumId w:val="2"/>
  </w:num>
  <w:num w:numId="7">
    <w:abstractNumId w:val="2"/>
  </w:num>
  <w:num w:numId="8">
    <w:abstractNumId w:val="2"/>
  </w:num>
  <w:num w:numId="9">
    <w:abstractNumId w:val="0"/>
  </w:num>
  <w:num w:numId="10">
    <w:abstractNumId w:val="9"/>
  </w:num>
  <w:num w:numId="11">
    <w:abstractNumId w:val="16"/>
  </w:num>
  <w:num w:numId="12">
    <w:abstractNumId w:val="1"/>
  </w:num>
  <w:num w:numId="13">
    <w:abstractNumId w:val="3"/>
  </w:num>
  <w:num w:numId="14">
    <w:abstractNumId w:val="11"/>
  </w:num>
  <w:num w:numId="15">
    <w:abstractNumId w:val="4"/>
  </w:num>
  <w:num w:numId="16">
    <w:abstractNumId w:val="7"/>
  </w:num>
  <w:num w:numId="17">
    <w:abstractNumId w:val="12"/>
  </w:num>
  <w:num w:numId="18">
    <w:abstractNumId w:val="6"/>
  </w:num>
  <w:num w:numId="19">
    <w:abstractNumId w:val="13"/>
  </w:num>
  <w:num w:numId="20">
    <w:abstractNumId w:val="5"/>
  </w:num>
  <w:num w:numId="21">
    <w:abstractNumId w:val="18"/>
  </w:num>
  <w:num w:numId="22">
    <w:abstractNumId w:val="17"/>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AC"/>
    <w:rsid w:val="000019D8"/>
    <w:rsid w:val="00006736"/>
    <w:rsid w:val="00006A97"/>
    <w:rsid w:val="0000774F"/>
    <w:rsid w:val="000108AC"/>
    <w:rsid w:val="0001123B"/>
    <w:rsid w:val="00012A7F"/>
    <w:rsid w:val="00017A3A"/>
    <w:rsid w:val="00033006"/>
    <w:rsid w:val="00035967"/>
    <w:rsid w:val="00036E42"/>
    <w:rsid w:val="0004177C"/>
    <w:rsid w:val="0004279E"/>
    <w:rsid w:val="0004373B"/>
    <w:rsid w:val="000448FA"/>
    <w:rsid w:val="00050B31"/>
    <w:rsid w:val="00053A42"/>
    <w:rsid w:val="0005517D"/>
    <w:rsid w:val="0006133D"/>
    <w:rsid w:val="00063585"/>
    <w:rsid w:val="0006433F"/>
    <w:rsid w:val="00067EA7"/>
    <w:rsid w:val="00071CD0"/>
    <w:rsid w:val="000742E3"/>
    <w:rsid w:val="00075692"/>
    <w:rsid w:val="000815D5"/>
    <w:rsid w:val="00085B06"/>
    <w:rsid w:val="00087B8D"/>
    <w:rsid w:val="000901AA"/>
    <w:rsid w:val="00090A5F"/>
    <w:rsid w:val="00093D67"/>
    <w:rsid w:val="00093E60"/>
    <w:rsid w:val="00096AA2"/>
    <w:rsid w:val="000A1559"/>
    <w:rsid w:val="000A18B7"/>
    <w:rsid w:val="000A2C1E"/>
    <w:rsid w:val="000A3A6F"/>
    <w:rsid w:val="000A4697"/>
    <w:rsid w:val="000A5316"/>
    <w:rsid w:val="000A70C5"/>
    <w:rsid w:val="000B1701"/>
    <w:rsid w:val="000B1945"/>
    <w:rsid w:val="000B2728"/>
    <w:rsid w:val="000B3943"/>
    <w:rsid w:val="000B4477"/>
    <w:rsid w:val="000B7DB7"/>
    <w:rsid w:val="000C0704"/>
    <w:rsid w:val="000C2B07"/>
    <w:rsid w:val="000C39CC"/>
    <w:rsid w:val="000C7566"/>
    <w:rsid w:val="000D188E"/>
    <w:rsid w:val="000D5335"/>
    <w:rsid w:val="000E0F2A"/>
    <w:rsid w:val="000E69EE"/>
    <w:rsid w:val="000E7B86"/>
    <w:rsid w:val="000F2B66"/>
    <w:rsid w:val="000F35E5"/>
    <w:rsid w:val="000F3D83"/>
    <w:rsid w:val="000F4C48"/>
    <w:rsid w:val="00100F12"/>
    <w:rsid w:val="001020AD"/>
    <w:rsid w:val="00103589"/>
    <w:rsid w:val="001045C9"/>
    <w:rsid w:val="00107CC1"/>
    <w:rsid w:val="00111A92"/>
    <w:rsid w:val="00113BEB"/>
    <w:rsid w:val="001145C3"/>
    <w:rsid w:val="001161D2"/>
    <w:rsid w:val="0011625F"/>
    <w:rsid w:val="001165C5"/>
    <w:rsid w:val="00120CE5"/>
    <w:rsid w:val="0012209F"/>
    <w:rsid w:val="00122713"/>
    <w:rsid w:val="001263B4"/>
    <w:rsid w:val="00131DF1"/>
    <w:rsid w:val="00132C38"/>
    <w:rsid w:val="00133984"/>
    <w:rsid w:val="001365C4"/>
    <w:rsid w:val="0014147D"/>
    <w:rsid w:val="00141D29"/>
    <w:rsid w:val="001442AE"/>
    <w:rsid w:val="0014506A"/>
    <w:rsid w:val="00147259"/>
    <w:rsid w:val="0014728F"/>
    <w:rsid w:val="001521A2"/>
    <w:rsid w:val="00152358"/>
    <w:rsid w:val="00155722"/>
    <w:rsid w:val="00155BFF"/>
    <w:rsid w:val="00160F66"/>
    <w:rsid w:val="0016132E"/>
    <w:rsid w:val="001633AF"/>
    <w:rsid w:val="00166A6C"/>
    <w:rsid w:val="001709A3"/>
    <w:rsid w:val="00173EDD"/>
    <w:rsid w:val="0017402B"/>
    <w:rsid w:val="00176039"/>
    <w:rsid w:val="001810B7"/>
    <w:rsid w:val="00181D37"/>
    <w:rsid w:val="001835B7"/>
    <w:rsid w:val="0018426B"/>
    <w:rsid w:val="001844C1"/>
    <w:rsid w:val="00185A37"/>
    <w:rsid w:val="00186FE0"/>
    <w:rsid w:val="001876EB"/>
    <w:rsid w:val="00187FED"/>
    <w:rsid w:val="00194309"/>
    <w:rsid w:val="0019660E"/>
    <w:rsid w:val="001A134A"/>
    <w:rsid w:val="001A3415"/>
    <w:rsid w:val="001A7F27"/>
    <w:rsid w:val="001B04DA"/>
    <w:rsid w:val="001B17A5"/>
    <w:rsid w:val="001B39E2"/>
    <w:rsid w:val="001B511D"/>
    <w:rsid w:val="001C2B26"/>
    <w:rsid w:val="001C3A32"/>
    <w:rsid w:val="001C3E00"/>
    <w:rsid w:val="001C52C9"/>
    <w:rsid w:val="001C792F"/>
    <w:rsid w:val="001C7FD0"/>
    <w:rsid w:val="001D0522"/>
    <w:rsid w:val="001D11AF"/>
    <w:rsid w:val="001D18CC"/>
    <w:rsid w:val="001D4F09"/>
    <w:rsid w:val="001E614B"/>
    <w:rsid w:val="001E6250"/>
    <w:rsid w:val="001E6A12"/>
    <w:rsid w:val="001F0EC6"/>
    <w:rsid w:val="001F1225"/>
    <w:rsid w:val="001F1482"/>
    <w:rsid w:val="001F20D7"/>
    <w:rsid w:val="001F28B0"/>
    <w:rsid w:val="001F7744"/>
    <w:rsid w:val="002014EB"/>
    <w:rsid w:val="00202B1A"/>
    <w:rsid w:val="0020419E"/>
    <w:rsid w:val="00204979"/>
    <w:rsid w:val="00211D69"/>
    <w:rsid w:val="00212BEF"/>
    <w:rsid w:val="002132E4"/>
    <w:rsid w:val="002158CD"/>
    <w:rsid w:val="002179DB"/>
    <w:rsid w:val="00220BE3"/>
    <w:rsid w:val="0022420E"/>
    <w:rsid w:val="00227E48"/>
    <w:rsid w:val="00230577"/>
    <w:rsid w:val="0023095E"/>
    <w:rsid w:val="00231C6F"/>
    <w:rsid w:val="0023209D"/>
    <w:rsid w:val="002333F8"/>
    <w:rsid w:val="00233D79"/>
    <w:rsid w:val="002352D0"/>
    <w:rsid w:val="00235A52"/>
    <w:rsid w:val="00237657"/>
    <w:rsid w:val="00241A01"/>
    <w:rsid w:val="00242BA7"/>
    <w:rsid w:val="002437B5"/>
    <w:rsid w:val="00244EF1"/>
    <w:rsid w:val="00246F21"/>
    <w:rsid w:val="00250B00"/>
    <w:rsid w:val="00253E78"/>
    <w:rsid w:val="00262C3C"/>
    <w:rsid w:val="00264C88"/>
    <w:rsid w:val="0026532C"/>
    <w:rsid w:val="0026575D"/>
    <w:rsid w:val="002705B0"/>
    <w:rsid w:val="00270C06"/>
    <w:rsid w:val="002717A6"/>
    <w:rsid w:val="00272015"/>
    <w:rsid w:val="00272749"/>
    <w:rsid w:val="00273C10"/>
    <w:rsid w:val="00274B4C"/>
    <w:rsid w:val="00276264"/>
    <w:rsid w:val="00281DCA"/>
    <w:rsid w:val="00286088"/>
    <w:rsid w:val="002904A6"/>
    <w:rsid w:val="00290E69"/>
    <w:rsid w:val="00291A4E"/>
    <w:rsid w:val="002940F3"/>
    <w:rsid w:val="00297B04"/>
    <w:rsid w:val="002A056C"/>
    <w:rsid w:val="002A30ED"/>
    <w:rsid w:val="002A66A5"/>
    <w:rsid w:val="002A6EBB"/>
    <w:rsid w:val="002B1805"/>
    <w:rsid w:val="002B21E9"/>
    <w:rsid w:val="002B2B87"/>
    <w:rsid w:val="002B4E0F"/>
    <w:rsid w:val="002B4FC9"/>
    <w:rsid w:val="002B5754"/>
    <w:rsid w:val="002B5FC2"/>
    <w:rsid w:val="002C41AC"/>
    <w:rsid w:val="002C7026"/>
    <w:rsid w:val="002C7C55"/>
    <w:rsid w:val="002C7E08"/>
    <w:rsid w:val="002D089F"/>
    <w:rsid w:val="002D3C27"/>
    <w:rsid w:val="002D5635"/>
    <w:rsid w:val="002D65E8"/>
    <w:rsid w:val="002D6912"/>
    <w:rsid w:val="002D7D32"/>
    <w:rsid w:val="002E02E5"/>
    <w:rsid w:val="002E0478"/>
    <w:rsid w:val="002E0791"/>
    <w:rsid w:val="002E0A1E"/>
    <w:rsid w:val="002E1B92"/>
    <w:rsid w:val="002E428C"/>
    <w:rsid w:val="002E7B81"/>
    <w:rsid w:val="002F028D"/>
    <w:rsid w:val="002F06DE"/>
    <w:rsid w:val="002F09FB"/>
    <w:rsid w:val="002F0FE3"/>
    <w:rsid w:val="002F1AF0"/>
    <w:rsid w:val="002F2530"/>
    <w:rsid w:val="002F272A"/>
    <w:rsid w:val="002F2B6D"/>
    <w:rsid w:val="002F3225"/>
    <w:rsid w:val="002F53B4"/>
    <w:rsid w:val="002F53B9"/>
    <w:rsid w:val="002F76D6"/>
    <w:rsid w:val="00303343"/>
    <w:rsid w:val="00303506"/>
    <w:rsid w:val="00307057"/>
    <w:rsid w:val="00312819"/>
    <w:rsid w:val="00312B3C"/>
    <w:rsid w:val="00312E9C"/>
    <w:rsid w:val="00313120"/>
    <w:rsid w:val="00313875"/>
    <w:rsid w:val="00316564"/>
    <w:rsid w:val="003203BF"/>
    <w:rsid w:val="00321369"/>
    <w:rsid w:val="003251EB"/>
    <w:rsid w:val="00325EDF"/>
    <w:rsid w:val="00330787"/>
    <w:rsid w:val="00334401"/>
    <w:rsid w:val="00337493"/>
    <w:rsid w:val="0034012D"/>
    <w:rsid w:val="0034285F"/>
    <w:rsid w:val="003464A4"/>
    <w:rsid w:val="003465F8"/>
    <w:rsid w:val="00351684"/>
    <w:rsid w:val="00351EFF"/>
    <w:rsid w:val="00353AC2"/>
    <w:rsid w:val="00354458"/>
    <w:rsid w:val="00356929"/>
    <w:rsid w:val="00357CD5"/>
    <w:rsid w:val="0036015E"/>
    <w:rsid w:val="003628D0"/>
    <w:rsid w:val="00363653"/>
    <w:rsid w:val="0036509D"/>
    <w:rsid w:val="0037228C"/>
    <w:rsid w:val="003738FD"/>
    <w:rsid w:val="00374104"/>
    <w:rsid w:val="00374128"/>
    <w:rsid w:val="003741F5"/>
    <w:rsid w:val="0037453A"/>
    <w:rsid w:val="003810BE"/>
    <w:rsid w:val="0038230A"/>
    <w:rsid w:val="003828E0"/>
    <w:rsid w:val="00385DF5"/>
    <w:rsid w:val="0038655C"/>
    <w:rsid w:val="00386F6C"/>
    <w:rsid w:val="00387709"/>
    <w:rsid w:val="00387794"/>
    <w:rsid w:val="00393C8A"/>
    <w:rsid w:val="00395354"/>
    <w:rsid w:val="0039669B"/>
    <w:rsid w:val="00397162"/>
    <w:rsid w:val="003A335E"/>
    <w:rsid w:val="003A3DD2"/>
    <w:rsid w:val="003A4095"/>
    <w:rsid w:val="003A512D"/>
    <w:rsid w:val="003A6E5C"/>
    <w:rsid w:val="003A78F8"/>
    <w:rsid w:val="003B1353"/>
    <w:rsid w:val="003B3573"/>
    <w:rsid w:val="003B5813"/>
    <w:rsid w:val="003B7160"/>
    <w:rsid w:val="003B772A"/>
    <w:rsid w:val="003C03EA"/>
    <w:rsid w:val="003C196B"/>
    <w:rsid w:val="003C3E4C"/>
    <w:rsid w:val="003C6E1D"/>
    <w:rsid w:val="003D058C"/>
    <w:rsid w:val="003D1A3D"/>
    <w:rsid w:val="003D2587"/>
    <w:rsid w:val="003D4BAA"/>
    <w:rsid w:val="003D76B1"/>
    <w:rsid w:val="003E17A6"/>
    <w:rsid w:val="003E473D"/>
    <w:rsid w:val="003E4A37"/>
    <w:rsid w:val="003E4AA5"/>
    <w:rsid w:val="003F1CEC"/>
    <w:rsid w:val="003F43BF"/>
    <w:rsid w:val="003F6BE4"/>
    <w:rsid w:val="00402B46"/>
    <w:rsid w:val="00403CF8"/>
    <w:rsid w:val="00407459"/>
    <w:rsid w:val="004113E4"/>
    <w:rsid w:val="00412CBD"/>
    <w:rsid w:val="00414321"/>
    <w:rsid w:val="00414D01"/>
    <w:rsid w:val="004156DF"/>
    <w:rsid w:val="00415C88"/>
    <w:rsid w:val="0041641E"/>
    <w:rsid w:val="00416585"/>
    <w:rsid w:val="004170FE"/>
    <w:rsid w:val="004209E6"/>
    <w:rsid w:val="00422376"/>
    <w:rsid w:val="0042324B"/>
    <w:rsid w:val="004234E8"/>
    <w:rsid w:val="00426805"/>
    <w:rsid w:val="004273F9"/>
    <w:rsid w:val="00430150"/>
    <w:rsid w:val="004302F9"/>
    <w:rsid w:val="0043229B"/>
    <w:rsid w:val="00432BCA"/>
    <w:rsid w:val="00435287"/>
    <w:rsid w:val="0043769F"/>
    <w:rsid w:val="004408F1"/>
    <w:rsid w:val="00440A22"/>
    <w:rsid w:val="00453640"/>
    <w:rsid w:val="0045550E"/>
    <w:rsid w:val="00456456"/>
    <w:rsid w:val="00462367"/>
    <w:rsid w:val="004630AE"/>
    <w:rsid w:val="00463462"/>
    <w:rsid w:val="0046490C"/>
    <w:rsid w:val="00470287"/>
    <w:rsid w:val="004703C6"/>
    <w:rsid w:val="00470733"/>
    <w:rsid w:val="004754FB"/>
    <w:rsid w:val="00477C53"/>
    <w:rsid w:val="00483481"/>
    <w:rsid w:val="0048378A"/>
    <w:rsid w:val="00484123"/>
    <w:rsid w:val="00485380"/>
    <w:rsid w:val="00486524"/>
    <w:rsid w:val="00493D87"/>
    <w:rsid w:val="00493FA2"/>
    <w:rsid w:val="00494799"/>
    <w:rsid w:val="004950D4"/>
    <w:rsid w:val="00495C46"/>
    <w:rsid w:val="0049655B"/>
    <w:rsid w:val="004A0196"/>
    <w:rsid w:val="004A0506"/>
    <w:rsid w:val="004A2342"/>
    <w:rsid w:val="004A2F62"/>
    <w:rsid w:val="004A3B78"/>
    <w:rsid w:val="004A5D8E"/>
    <w:rsid w:val="004A6351"/>
    <w:rsid w:val="004B1DB8"/>
    <w:rsid w:val="004B28E8"/>
    <w:rsid w:val="004B2CB0"/>
    <w:rsid w:val="004B2F01"/>
    <w:rsid w:val="004B4000"/>
    <w:rsid w:val="004B4182"/>
    <w:rsid w:val="004B4538"/>
    <w:rsid w:val="004B6FB6"/>
    <w:rsid w:val="004C0564"/>
    <w:rsid w:val="004C52D7"/>
    <w:rsid w:val="004C571D"/>
    <w:rsid w:val="004C6B4A"/>
    <w:rsid w:val="004C7AA2"/>
    <w:rsid w:val="004D35A2"/>
    <w:rsid w:val="004D3F22"/>
    <w:rsid w:val="004D5FD1"/>
    <w:rsid w:val="004E0BE1"/>
    <w:rsid w:val="004E34B4"/>
    <w:rsid w:val="004E7AEE"/>
    <w:rsid w:val="004F3AA0"/>
    <w:rsid w:val="004F3ACF"/>
    <w:rsid w:val="004F4661"/>
    <w:rsid w:val="004F6E77"/>
    <w:rsid w:val="004F7C93"/>
    <w:rsid w:val="005006D5"/>
    <w:rsid w:val="00500EDC"/>
    <w:rsid w:val="0050311A"/>
    <w:rsid w:val="00506105"/>
    <w:rsid w:val="005128B0"/>
    <w:rsid w:val="00513162"/>
    <w:rsid w:val="00522EAD"/>
    <w:rsid w:val="00525487"/>
    <w:rsid w:val="00525809"/>
    <w:rsid w:val="00530449"/>
    <w:rsid w:val="005350F0"/>
    <w:rsid w:val="00535130"/>
    <w:rsid w:val="00536845"/>
    <w:rsid w:val="00537302"/>
    <w:rsid w:val="005374EC"/>
    <w:rsid w:val="00542691"/>
    <w:rsid w:val="00545136"/>
    <w:rsid w:val="0054670A"/>
    <w:rsid w:val="00555509"/>
    <w:rsid w:val="00561C5B"/>
    <w:rsid w:val="00564F2D"/>
    <w:rsid w:val="00566891"/>
    <w:rsid w:val="00566CDA"/>
    <w:rsid w:val="0056727E"/>
    <w:rsid w:val="00567BA6"/>
    <w:rsid w:val="00570033"/>
    <w:rsid w:val="00570147"/>
    <w:rsid w:val="00571ADB"/>
    <w:rsid w:val="00572BED"/>
    <w:rsid w:val="0057307E"/>
    <w:rsid w:val="0057350F"/>
    <w:rsid w:val="00573A4C"/>
    <w:rsid w:val="00574B79"/>
    <w:rsid w:val="00574D12"/>
    <w:rsid w:val="00576006"/>
    <w:rsid w:val="005800B4"/>
    <w:rsid w:val="0058070B"/>
    <w:rsid w:val="0058296F"/>
    <w:rsid w:val="00582C16"/>
    <w:rsid w:val="005874CB"/>
    <w:rsid w:val="0059549B"/>
    <w:rsid w:val="00595E80"/>
    <w:rsid w:val="0059650E"/>
    <w:rsid w:val="00596953"/>
    <w:rsid w:val="005A074D"/>
    <w:rsid w:val="005A1B17"/>
    <w:rsid w:val="005A2E5A"/>
    <w:rsid w:val="005A4EE9"/>
    <w:rsid w:val="005A6030"/>
    <w:rsid w:val="005B1521"/>
    <w:rsid w:val="005B3D33"/>
    <w:rsid w:val="005B42F9"/>
    <w:rsid w:val="005B57AD"/>
    <w:rsid w:val="005B722E"/>
    <w:rsid w:val="005C02FE"/>
    <w:rsid w:val="005C43DB"/>
    <w:rsid w:val="005C50AC"/>
    <w:rsid w:val="005C519E"/>
    <w:rsid w:val="005C55F1"/>
    <w:rsid w:val="005C6406"/>
    <w:rsid w:val="005C6911"/>
    <w:rsid w:val="005D01C0"/>
    <w:rsid w:val="005D15EA"/>
    <w:rsid w:val="005D1D83"/>
    <w:rsid w:val="005D4AEB"/>
    <w:rsid w:val="005D6423"/>
    <w:rsid w:val="005D69D1"/>
    <w:rsid w:val="005E03F7"/>
    <w:rsid w:val="005E06E0"/>
    <w:rsid w:val="005E210D"/>
    <w:rsid w:val="005E77D1"/>
    <w:rsid w:val="005F20A2"/>
    <w:rsid w:val="005F2425"/>
    <w:rsid w:val="005F53CD"/>
    <w:rsid w:val="005F5EC7"/>
    <w:rsid w:val="005F7207"/>
    <w:rsid w:val="005F7FCF"/>
    <w:rsid w:val="006009E5"/>
    <w:rsid w:val="00605632"/>
    <w:rsid w:val="0060671E"/>
    <w:rsid w:val="00607691"/>
    <w:rsid w:val="0061062C"/>
    <w:rsid w:val="00612A43"/>
    <w:rsid w:val="00613183"/>
    <w:rsid w:val="006133F0"/>
    <w:rsid w:val="00616888"/>
    <w:rsid w:val="006176BE"/>
    <w:rsid w:val="00620FD0"/>
    <w:rsid w:val="006212CB"/>
    <w:rsid w:val="00623AB9"/>
    <w:rsid w:val="006279F9"/>
    <w:rsid w:val="006320F6"/>
    <w:rsid w:val="00634DA8"/>
    <w:rsid w:val="006369EE"/>
    <w:rsid w:val="00637E8D"/>
    <w:rsid w:val="00641636"/>
    <w:rsid w:val="0064602F"/>
    <w:rsid w:val="0064700E"/>
    <w:rsid w:val="00650677"/>
    <w:rsid w:val="00650911"/>
    <w:rsid w:val="006531C0"/>
    <w:rsid w:val="00653585"/>
    <w:rsid w:val="00656808"/>
    <w:rsid w:val="00662DB2"/>
    <w:rsid w:val="00663080"/>
    <w:rsid w:val="00663E70"/>
    <w:rsid w:val="00666D60"/>
    <w:rsid w:val="006736A9"/>
    <w:rsid w:val="00673BC7"/>
    <w:rsid w:val="00674975"/>
    <w:rsid w:val="00675D39"/>
    <w:rsid w:val="00677FBA"/>
    <w:rsid w:val="0068391B"/>
    <w:rsid w:val="0068560B"/>
    <w:rsid w:val="00685E59"/>
    <w:rsid w:val="00690289"/>
    <w:rsid w:val="006907BF"/>
    <w:rsid w:val="006A107F"/>
    <w:rsid w:val="006A1277"/>
    <w:rsid w:val="006A2602"/>
    <w:rsid w:val="006A2D41"/>
    <w:rsid w:val="006A674A"/>
    <w:rsid w:val="006A67E1"/>
    <w:rsid w:val="006B1437"/>
    <w:rsid w:val="006B2E31"/>
    <w:rsid w:val="006B3302"/>
    <w:rsid w:val="006C36FB"/>
    <w:rsid w:val="006C7D62"/>
    <w:rsid w:val="006C7E69"/>
    <w:rsid w:val="006D0B23"/>
    <w:rsid w:val="006D2ED6"/>
    <w:rsid w:val="006D5685"/>
    <w:rsid w:val="006D5B51"/>
    <w:rsid w:val="006E1987"/>
    <w:rsid w:val="006E23B2"/>
    <w:rsid w:val="006E2766"/>
    <w:rsid w:val="006E2D5E"/>
    <w:rsid w:val="006E48EA"/>
    <w:rsid w:val="006E5207"/>
    <w:rsid w:val="006F427D"/>
    <w:rsid w:val="006F4A2B"/>
    <w:rsid w:val="006F4DB1"/>
    <w:rsid w:val="006F5C70"/>
    <w:rsid w:val="006F6A20"/>
    <w:rsid w:val="007047B2"/>
    <w:rsid w:val="00704DE7"/>
    <w:rsid w:val="00706868"/>
    <w:rsid w:val="007078B8"/>
    <w:rsid w:val="00712684"/>
    <w:rsid w:val="007147B9"/>
    <w:rsid w:val="00715E32"/>
    <w:rsid w:val="007162D1"/>
    <w:rsid w:val="00716463"/>
    <w:rsid w:val="0071706E"/>
    <w:rsid w:val="00722972"/>
    <w:rsid w:val="00727292"/>
    <w:rsid w:val="00727F88"/>
    <w:rsid w:val="00735B78"/>
    <w:rsid w:val="00742F6A"/>
    <w:rsid w:val="007437FD"/>
    <w:rsid w:val="00743FD7"/>
    <w:rsid w:val="00744042"/>
    <w:rsid w:val="007446E8"/>
    <w:rsid w:val="00750925"/>
    <w:rsid w:val="00751553"/>
    <w:rsid w:val="0075165E"/>
    <w:rsid w:val="00754E10"/>
    <w:rsid w:val="00755052"/>
    <w:rsid w:val="00755608"/>
    <w:rsid w:val="00755EB0"/>
    <w:rsid w:val="00762A29"/>
    <w:rsid w:val="0076327D"/>
    <w:rsid w:val="007658FE"/>
    <w:rsid w:val="00767745"/>
    <w:rsid w:val="007707FC"/>
    <w:rsid w:val="00770BE3"/>
    <w:rsid w:val="0077177A"/>
    <w:rsid w:val="00772271"/>
    <w:rsid w:val="007728A8"/>
    <w:rsid w:val="00780510"/>
    <w:rsid w:val="00780C21"/>
    <w:rsid w:val="00785A76"/>
    <w:rsid w:val="007866D7"/>
    <w:rsid w:val="00786C22"/>
    <w:rsid w:val="0078737F"/>
    <w:rsid w:val="00787852"/>
    <w:rsid w:val="007915BC"/>
    <w:rsid w:val="00795364"/>
    <w:rsid w:val="007967FA"/>
    <w:rsid w:val="00797E7A"/>
    <w:rsid w:val="007A0EA6"/>
    <w:rsid w:val="007A2C1C"/>
    <w:rsid w:val="007A2D9E"/>
    <w:rsid w:val="007A4462"/>
    <w:rsid w:val="007A6ECE"/>
    <w:rsid w:val="007A72C6"/>
    <w:rsid w:val="007A75E2"/>
    <w:rsid w:val="007B0381"/>
    <w:rsid w:val="007B0F3D"/>
    <w:rsid w:val="007B148D"/>
    <w:rsid w:val="007B18C8"/>
    <w:rsid w:val="007B28DE"/>
    <w:rsid w:val="007B2F80"/>
    <w:rsid w:val="007B3003"/>
    <w:rsid w:val="007B5BAF"/>
    <w:rsid w:val="007B6FD2"/>
    <w:rsid w:val="007B7A5F"/>
    <w:rsid w:val="007C0D8E"/>
    <w:rsid w:val="007C36BE"/>
    <w:rsid w:val="007C5649"/>
    <w:rsid w:val="007D3BD9"/>
    <w:rsid w:val="007D53ED"/>
    <w:rsid w:val="007D58A4"/>
    <w:rsid w:val="007D6001"/>
    <w:rsid w:val="007D7F94"/>
    <w:rsid w:val="007E061C"/>
    <w:rsid w:val="007E1B76"/>
    <w:rsid w:val="007E1F42"/>
    <w:rsid w:val="007E219A"/>
    <w:rsid w:val="007E2B0A"/>
    <w:rsid w:val="007E37BF"/>
    <w:rsid w:val="007E6080"/>
    <w:rsid w:val="007E6593"/>
    <w:rsid w:val="007F1101"/>
    <w:rsid w:val="007F2CB1"/>
    <w:rsid w:val="007F3D06"/>
    <w:rsid w:val="007F5800"/>
    <w:rsid w:val="00803D20"/>
    <w:rsid w:val="0080528E"/>
    <w:rsid w:val="008112A0"/>
    <w:rsid w:val="0081454A"/>
    <w:rsid w:val="00814F37"/>
    <w:rsid w:val="0081696D"/>
    <w:rsid w:val="00816E01"/>
    <w:rsid w:val="008173D0"/>
    <w:rsid w:val="00821FA0"/>
    <w:rsid w:val="00823235"/>
    <w:rsid w:val="008249F1"/>
    <w:rsid w:val="00824AF2"/>
    <w:rsid w:val="00826686"/>
    <w:rsid w:val="008313CB"/>
    <w:rsid w:val="008320FF"/>
    <w:rsid w:val="00833AD8"/>
    <w:rsid w:val="00835563"/>
    <w:rsid w:val="00836511"/>
    <w:rsid w:val="00836B02"/>
    <w:rsid w:val="00836EC6"/>
    <w:rsid w:val="0083741E"/>
    <w:rsid w:val="00837985"/>
    <w:rsid w:val="00840555"/>
    <w:rsid w:val="00840E3D"/>
    <w:rsid w:val="00841D8C"/>
    <w:rsid w:val="00842220"/>
    <w:rsid w:val="00843A91"/>
    <w:rsid w:val="00844111"/>
    <w:rsid w:val="00844F74"/>
    <w:rsid w:val="00845271"/>
    <w:rsid w:val="00846382"/>
    <w:rsid w:val="00847263"/>
    <w:rsid w:val="00847AF3"/>
    <w:rsid w:val="00847E41"/>
    <w:rsid w:val="00850F57"/>
    <w:rsid w:val="00852F61"/>
    <w:rsid w:val="008536C2"/>
    <w:rsid w:val="0085372C"/>
    <w:rsid w:val="008558B9"/>
    <w:rsid w:val="008600C7"/>
    <w:rsid w:val="008610CD"/>
    <w:rsid w:val="008617D0"/>
    <w:rsid w:val="00861A60"/>
    <w:rsid w:val="00862357"/>
    <w:rsid w:val="00862D02"/>
    <w:rsid w:val="008637B9"/>
    <w:rsid w:val="00864194"/>
    <w:rsid w:val="00865EA3"/>
    <w:rsid w:val="00866BE6"/>
    <w:rsid w:val="00870045"/>
    <w:rsid w:val="00870399"/>
    <w:rsid w:val="008711EC"/>
    <w:rsid w:val="008718FE"/>
    <w:rsid w:val="00872946"/>
    <w:rsid w:val="00874787"/>
    <w:rsid w:val="00876B91"/>
    <w:rsid w:val="008772EF"/>
    <w:rsid w:val="00880BC2"/>
    <w:rsid w:val="00882CC8"/>
    <w:rsid w:val="00883928"/>
    <w:rsid w:val="00883DDE"/>
    <w:rsid w:val="0088400C"/>
    <w:rsid w:val="008901A7"/>
    <w:rsid w:val="00891632"/>
    <w:rsid w:val="00891D73"/>
    <w:rsid w:val="00892A44"/>
    <w:rsid w:val="00893C29"/>
    <w:rsid w:val="00896CA9"/>
    <w:rsid w:val="008A2DE8"/>
    <w:rsid w:val="008A312D"/>
    <w:rsid w:val="008A3B8A"/>
    <w:rsid w:val="008A3E09"/>
    <w:rsid w:val="008A3E57"/>
    <w:rsid w:val="008A5DB6"/>
    <w:rsid w:val="008A7064"/>
    <w:rsid w:val="008A77A7"/>
    <w:rsid w:val="008A7AFB"/>
    <w:rsid w:val="008B3001"/>
    <w:rsid w:val="008B3F34"/>
    <w:rsid w:val="008C1179"/>
    <w:rsid w:val="008C3200"/>
    <w:rsid w:val="008C516B"/>
    <w:rsid w:val="008C56B9"/>
    <w:rsid w:val="008D05E0"/>
    <w:rsid w:val="008D1F6E"/>
    <w:rsid w:val="008D2386"/>
    <w:rsid w:val="008D2600"/>
    <w:rsid w:val="008D7616"/>
    <w:rsid w:val="008E0AC0"/>
    <w:rsid w:val="008E221A"/>
    <w:rsid w:val="008E3774"/>
    <w:rsid w:val="008E3FFE"/>
    <w:rsid w:val="008E4FB8"/>
    <w:rsid w:val="008E60BE"/>
    <w:rsid w:val="008E6B74"/>
    <w:rsid w:val="008F0FAF"/>
    <w:rsid w:val="008F1B80"/>
    <w:rsid w:val="008F46CD"/>
    <w:rsid w:val="008F6480"/>
    <w:rsid w:val="008F7740"/>
    <w:rsid w:val="00900CA2"/>
    <w:rsid w:val="00901FF3"/>
    <w:rsid w:val="00903653"/>
    <w:rsid w:val="00904C7F"/>
    <w:rsid w:val="009067AA"/>
    <w:rsid w:val="00910A52"/>
    <w:rsid w:val="00911479"/>
    <w:rsid w:val="00912C00"/>
    <w:rsid w:val="0091436E"/>
    <w:rsid w:val="0091484D"/>
    <w:rsid w:val="00920BEF"/>
    <w:rsid w:val="00923272"/>
    <w:rsid w:val="0092584A"/>
    <w:rsid w:val="00925E71"/>
    <w:rsid w:val="00927EE1"/>
    <w:rsid w:val="0093226D"/>
    <w:rsid w:val="00933225"/>
    <w:rsid w:val="0093329F"/>
    <w:rsid w:val="00937043"/>
    <w:rsid w:val="0094114C"/>
    <w:rsid w:val="0094179B"/>
    <w:rsid w:val="00942BD9"/>
    <w:rsid w:val="009445D3"/>
    <w:rsid w:val="00946655"/>
    <w:rsid w:val="00951B36"/>
    <w:rsid w:val="00955A8A"/>
    <w:rsid w:val="0095666D"/>
    <w:rsid w:val="0096071E"/>
    <w:rsid w:val="00960815"/>
    <w:rsid w:val="00960893"/>
    <w:rsid w:val="0096400D"/>
    <w:rsid w:val="00965CB2"/>
    <w:rsid w:val="00966600"/>
    <w:rsid w:val="00966B08"/>
    <w:rsid w:val="009671D9"/>
    <w:rsid w:val="00971352"/>
    <w:rsid w:val="00973FDE"/>
    <w:rsid w:val="00975E5B"/>
    <w:rsid w:val="00977C8F"/>
    <w:rsid w:val="00977F94"/>
    <w:rsid w:val="009863E9"/>
    <w:rsid w:val="00986F98"/>
    <w:rsid w:val="00992839"/>
    <w:rsid w:val="00992E20"/>
    <w:rsid w:val="009936FC"/>
    <w:rsid w:val="00993925"/>
    <w:rsid w:val="00993977"/>
    <w:rsid w:val="009A05D1"/>
    <w:rsid w:val="009A28AC"/>
    <w:rsid w:val="009A3A5B"/>
    <w:rsid w:val="009A3F2A"/>
    <w:rsid w:val="009A48E6"/>
    <w:rsid w:val="009A6660"/>
    <w:rsid w:val="009B2AAC"/>
    <w:rsid w:val="009B332F"/>
    <w:rsid w:val="009B3521"/>
    <w:rsid w:val="009B541C"/>
    <w:rsid w:val="009B7299"/>
    <w:rsid w:val="009C1964"/>
    <w:rsid w:val="009C4460"/>
    <w:rsid w:val="009D3BCB"/>
    <w:rsid w:val="009D4355"/>
    <w:rsid w:val="009D7192"/>
    <w:rsid w:val="009E0E38"/>
    <w:rsid w:val="009E1A35"/>
    <w:rsid w:val="009F09AA"/>
    <w:rsid w:val="009F2C16"/>
    <w:rsid w:val="009F2C1B"/>
    <w:rsid w:val="009F335C"/>
    <w:rsid w:val="00A002B5"/>
    <w:rsid w:val="00A0260C"/>
    <w:rsid w:val="00A041B5"/>
    <w:rsid w:val="00A04F8C"/>
    <w:rsid w:val="00A05158"/>
    <w:rsid w:val="00A05785"/>
    <w:rsid w:val="00A05CF1"/>
    <w:rsid w:val="00A062F7"/>
    <w:rsid w:val="00A10347"/>
    <w:rsid w:val="00A12D3D"/>
    <w:rsid w:val="00A13BF5"/>
    <w:rsid w:val="00A14837"/>
    <w:rsid w:val="00A152E2"/>
    <w:rsid w:val="00A156EA"/>
    <w:rsid w:val="00A157F5"/>
    <w:rsid w:val="00A16697"/>
    <w:rsid w:val="00A225E3"/>
    <w:rsid w:val="00A23A26"/>
    <w:rsid w:val="00A24A8F"/>
    <w:rsid w:val="00A2554F"/>
    <w:rsid w:val="00A25708"/>
    <w:rsid w:val="00A25BF0"/>
    <w:rsid w:val="00A25F67"/>
    <w:rsid w:val="00A3026E"/>
    <w:rsid w:val="00A35773"/>
    <w:rsid w:val="00A35803"/>
    <w:rsid w:val="00A407AE"/>
    <w:rsid w:val="00A4284C"/>
    <w:rsid w:val="00A42C34"/>
    <w:rsid w:val="00A42F39"/>
    <w:rsid w:val="00A4576A"/>
    <w:rsid w:val="00A45AD0"/>
    <w:rsid w:val="00A45EE9"/>
    <w:rsid w:val="00A53C14"/>
    <w:rsid w:val="00A5413A"/>
    <w:rsid w:val="00A54603"/>
    <w:rsid w:val="00A61410"/>
    <w:rsid w:val="00A6198A"/>
    <w:rsid w:val="00A65108"/>
    <w:rsid w:val="00A65396"/>
    <w:rsid w:val="00A676CB"/>
    <w:rsid w:val="00A7067F"/>
    <w:rsid w:val="00A707A7"/>
    <w:rsid w:val="00A718FD"/>
    <w:rsid w:val="00A72341"/>
    <w:rsid w:val="00A73B81"/>
    <w:rsid w:val="00A755B8"/>
    <w:rsid w:val="00A776ED"/>
    <w:rsid w:val="00A80653"/>
    <w:rsid w:val="00A80E50"/>
    <w:rsid w:val="00A83663"/>
    <w:rsid w:val="00A83B0F"/>
    <w:rsid w:val="00A84216"/>
    <w:rsid w:val="00A847C4"/>
    <w:rsid w:val="00A90740"/>
    <w:rsid w:val="00A90BFA"/>
    <w:rsid w:val="00A92BF3"/>
    <w:rsid w:val="00A943C8"/>
    <w:rsid w:val="00A950A4"/>
    <w:rsid w:val="00A9520D"/>
    <w:rsid w:val="00A9747D"/>
    <w:rsid w:val="00AA00A6"/>
    <w:rsid w:val="00AA09EB"/>
    <w:rsid w:val="00AA5471"/>
    <w:rsid w:val="00AA6BA8"/>
    <w:rsid w:val="00AA7A1F"/>
    <w:rsid w:val="00AA7B49"/>
    <w:rsid w:val="00AA7F5A"/>
    <w:rsid w:val="00AB2340"/>
    <w:rsid w:val="00AB45B1"/>
    <w:rsid w:val="00AB5FE4"/>
    <w:rsid w:val="00AB659D"/>
    <w:rsid w:val="00AC229F"/>
    <w:rsid w:val="00AC38F0"/>
    <w:rsid w:val="00AC7A00"/>
    <w:rsid w:val="00AD3EE4"/>
    <w:rsid w:val="00AD68ED"/>
    <w:rsid w:val="00AD7671"/>
    <w:rsid w:val="00AE53E8"/>
    <w:rsid w:val="00AE6053"/>
    <w:rsid w:val="00AE6FE4"/>
    <w:rsid w:val="00AF0A23"/>
    <w:rsid w:val="00AF2059"/>
    <w:rsid w:val="00AF26C6"/>
    <w:rsid w:val="00AF2744"/>
    <w:rsid w:val="00AF3D84"/>
    <w:rsid w:val="00AF4161"/>
    <w:rsid w:val="00AF580B"/>
    <w:rsid w:val="00AF6CBA"/>
    <w:rsid w:val="00B005D0"/>
    <w:rsid w:val="00B007C8"/>
    <w:rsid w:val="00B015BA"/>
    <w:rsid w:val="00B12BDB"/>
    <w:rsid w:val="00B13448"/>
    <w:rsid w:val="00B14410"/>
    <w:rsid w:val="00B15E61"/>
    <w:rsid w:val="00B1765E"/>
    <w:rsid w:val="00B22FA2"/>
    <w:rsid w:val="00B24F35"/>
    <w:rsid w:val="00B25D42"/>
    <w:rsid w:val="00B25DD8"/>
    <w:rsid w:val="00B30C36"/>
    <w:rsid w:val="00B32C88"/>
    <w:rsid w:val="00B34747"/>
    <w:rsid w:val="00B37A0D"/>
    <w:rsid w:val="00B4046A"/>
    <w:rsid w:val="00B405A2"/>
    <w:rsid w:val="00B42E49"/>
    <w:rsid w:val="00B44629"/>
    <w:rsid w:val="00B44B58"/>
    <w:rsid w:val="00B50903"/>
    <w:rsid w:val="00B52F00"/>
    <w:rsid w:val="00B559C0"/>
    <w:rsid w:val="00B55A53"/>
    <w:rsid w:val="00B579A9"/>
    <w:rsid w:val="00B613A8"/>
    <w:rsid w:val="00B62FFE"/>
    <w:rsid w:val="00B65013"/>
    <w:rsid w:val="00B6557D"/>
    <w:rsid w:val="00B657B6"/>
    <w:rsid w:val="00B7123A"/>
    <w:rsid w:val="00B72879"/>
    <w:rsid w:val="00B73C16"/>
    <w:rsid w:val="00B7435C"/>
    <w:rsid w:val="00B76E3E"/>
    <w:rsid w:val="00B76F38"/>
    <w:rsid w:val="00B80697"/>
    <w:rsid w:val="00B8085D"/>
    <w:rsid w:val="00B81224"/>
    <w:rsid w:val="00B81EFF"/>
    <w:rsid w:val="00B832B5"/>
    <w:rsid w:val="00B836BB"/>
    <w:rsid w:val="00B83ACF"/>
    <w:rsid w:val="00B84122"/>
    <w:rsid w:val="00B85798"/>
    <w:rsid w:val="00B86136"/>
    <w:rsid w:val="00B862B0"/>
    <w:rsid w:val="00B872B1"/>
    <w:rsid w:val="00B87BFF"/>
    <w:rsid w:val="00B92864"/>
    <w:rsid w:val="00B93182"/>
    <w:rsid w:val="00BA176D"/>
    <w:rsid w:val="00BA2B7C"/>
    <w:rsid w:val="00BA7058"/>
    <w:rsid w:val="00BB142A"/>
    <w:rsid w:val="00BB18A7"/>
    <w:rsid w:val="00BB18EA"/>
    <w:rsid w:val="00BB34B9"/>
    <w:rsid w:val="00BB35C2"/>
    <w:rsid w:val="00BB490F"/>
    <w:rsid w:val="00BB553B"/>
    <w:rsid w:val="00BC05AA"/>
    <w:rsid w:val="00BC0A31"/>
    <w:rsid w:val="00BC28D7"/>
    <w:rsid w:val="00BC36A4"/>
    <w:rsid w:val="00BC376C"/>
    <w:rsid w:val="00BC6321"/>
    <w:rsid w:val="00BC7817"/>
    <w:rsid w:val="00BD071B"/>
    <w:rsid w:val="00BD19F0"/>
    <w:rsid w:val="00BD3819"/>
    <w:rsid w:val="00BD459E"/>
    <w:rsid w:val="00BD642D"/>
    <w:rsid w:val="00BD6988"/>
    <w:rsid w:val="00BD6CE9"/>
    <w:rsid w:val="00BE13AC"/>
    <w:rsid w:val="00BE1A77"/>
    <w:rsid w:val="00BE4742"/>
    <w:rsid w:val="00BE7383"/>
    <w:rsid w:val="00BE754D"/>
    <w:rsid w:val="00BF1DB9"/>
    <w:rsid w:val="00BF4CBE"/>
    <w:rsid w:val="00BF6D10"/>
    <w:rsid w:val="00BF6E79"/>
    <w:rsid w:val="00BF79FE"/>
    <w:rsid w:val="00C03F2B"/>
    <w:rsid w:val="00C03F6C"/>
    <w:rsid w:val="00C10ECB"/>
    <w:rsid w:val="00C11FC2"/>
    <w:rsid w:val="00C12108"/>
    <w:rsid w:val="00C121D9"/>
    <w:rsid w:val="00C13453"/>
    <w:rsid w:val="00C2061F"/>
    <w:rsid w:val="00C20D25"/>
    <w:rsid w:val="00C220F9"/>
    <w:rsid w:val="00C228C6"/>
    <w:rsid w:val="00C24892"/>
    <w:rsid w:val="00C2541C"/>
    <w:rsid w:val="00C26862"/>
    <w:rsid w:val="00C30458"/>
    <w:rsid w:val="00C31DA6"/>
    <w:rsid w:val="00C33260"/>
    <w:rsid w:val="00C34249"/>
    <w:rsid w:val="00C36794"/>
    <w:rsid w:val="00C373B8"/>
    <w:rsid w:val="00C4339F"/>
    <w:rsid w:val="00C43957"/>
    <w:rsid w:val="00C439F4"/>
    <w:rsid w:val="00C43F27"/>
    <w:rsid w:val="00C44A68"/>
    <w:rsid w:val="00C4569F"/>
    <w:rsid w:val="00C4598F"/>
    <w:rsid w:val="00C47C77"/>
    <w:rsid w:val="00C50360"/>
    <w:rsid w:val="00C5221D"/>
    <w:rsid w:val="00C54E12"/>
    <w:rsid w:val="00C55468"/>
    <w:rsid w:val="00C622C3"/>
    <w:rsid w:val="00C62EBA"/>
    <w:rsid w:val="00C63BD5"/>
    <w:rsid w:val="00C67202"/>
    <w:rsid w:val="00C6727F"/>
    <w:rsid w:val="00C7093D"/>
    <w:rsid w:val="00C72112"/>
    <w:rsid w:val="00C74906"/>
    <w:rsid w:val="00C77D2F"/>
    <w:rsid w:val="00C81B40"/>
    <w:rsid w:val="00C81FEA"/>
    <w:rsid w:val="00C824B0"/>
    <w:rsid w:val="00C82E98"/>
    <w:rsid w:val="00C83969"/>
    <w:rsid w:val="00C86C95"/>
    <w:rsid w:val="00C86EBD"/>
    <w:rsid w:val="00C909BC"/>
    <w:rsid w:val="00C96C2C"/>
    <w:rsid w:val="00CA05EB"/>
    <w:rsid w:val="00CA0D37"/>
    <w:rsid w:val="00CA3515"/>
    <w:rsid w:val="00CA3A05"/>
    <w:rsid w:val="00CA7214"/>
    <w:rsid w:val="00CB14E9"/>
    <w:rsid w:val="00CB3013"/>
    <w:rsid w:val="00CB3971"/>
    <w:rsid w:val="00CB6D90"/>
    <w:rsid w:val="00CB72C3"/>
    <w:rsid w:val="00CC30E4"/>
    <w:rsid w:val="00CC45E4"/>
    <w:rsid w:val="00CC704D"/>
    <w:rsid w:val="00CD019F"/>
    <w:rsid w:val="00CD27C5"/>
    <w:rsid w:val="00CD2981"/>
    <w:rsid w:val="00CD5697"/>
    <w:rsid w:val="00CD5803"/>
    <w:rsid w:val="00CE02B9"/>
    <w:rsid w:val="00CE07D0"/>
    <w:rsid w:val="00CE4169"/>
    <w:rsid w:val="00CE58F6"/>
    <w:rsid w:val="00CE5F17"/>
    <w:rsid w:val="00CE7894"/>
    <w:rsid w:val="00CF04E5"/>
    <w:rsid w:val="00CF06A1"/>
    <w:rsid w:val="00CF1467"/>
    <w:rsid w:val="00CF203E"/>
    <w:rsid w:val="00CF2EE1"/>
    <w:rsid w:val="00CF48D6"/>
    <w:rsid w:val="00CF4E87"/>
    <w:rsid w:val="00CF57D6"/>
    <w:rsid w:val="00CF6C1B"/>
    <w:rsid w:val="00D00ECD"/>
    <w:rsid w:val="00D019D5"/>
    <w:rsid w:val="00D040FE"/>
    <w:rsid w:val="00D04560"/>
    <w:rsid w:val="00D04A86"/>
    <w:rsid w:val="00D06870"/>
    <w:rsid w:val="00D07440"/>
    <w:rsid w:val="00D115AC"/>
    <w:rsid w:val="00D11DE7"/>
    <w:rsid w:val="00D12258"/>
    <w:rsid w:val="00D13C20"/>
    <w:rsid w:val="00D168FD"/>
    <w:rsid w:val="00D16F64"/>
    <w:rsid w:val="00D17622"/>
    <w:rsid w:val="00D17C2C"/>
    <w:rsid w:val="00D23E3D"/>
    <w:rsid w:val="00D2472C"/>
    <w:rsid w:val="00D250DC"/>
    <w:rsid w:val="00D260EB"/>
    <w:rsid w:val="00D279BA"/>
    <w:rsid w:val="00D404B5"/>
    <w:rsid w:val="00D447CB"/>
    <w:rsid w:val="00D47052"/>
    <w:rsid w:val="00D47D16"/>
    <w:rsid w:val="00D505F4"/>
    <w:rsid w:val="00D51CE1"/>
    <w:rsid w:val="00D53CCC"/>
    <w:rsid w:val="00D562F2"/>
    <w:rsid w:val="00D572C9"/>
    <w:rsid w:val="00D617F2"/>
    <w:rsid w:val="00D61B93"/>
    <w:rsid w:val="00D62AB5"/>
    <w:rsid w:val="00D62E49"/>
    <w:rsid w:val="00D6689F"/>
    <w:rsid w:val="00D67E4A"/>
    <w:rsid w:val="00D70068"/>
    <w:rsid w:val="00D73A30"/>
    <w:rsid w:val="00D75564"/>
    <w:rsid w:val="00D763FD"/>
    <w:rsid w:val="00D84C2E"/>
    <w:rsid w:val="00D90AD1"/>
    <w:rsid w:val="00D90FF4"/>
    <w:rsid w:val="00D936DE"/>
    <w:rsid w:val="00D941F7"/>
    <w:rsid w:val="00D97F6A"/>
    <w:rsid w:val="00DA1EDE"/>
    <w:rsid w:val="00DA4DDF"/>
    <w:rsid w:val="00DA6B2F"/>
    <w:rsid w:val="00DA7537"/>
    <w:rsid w:val="00DB0804"/>
    <w:rsid w:val="00DB292F"/>
    <w:rsid w:val="00DB2FC4"/>
    <w:rsid w:val="00DC21D3"/>
    <w:rsid w:val="00DC382A"/>
    <w:rsid w:val="00DC6BD5"/>
    <w:rsid w:val="00DD032B"/>
    <w:rsid w:val="00DD1D5E"/>
    <w:rsid w:val="00DD4785"/>
    <w:rsid w:val="00DD71C8"/>
    <w:rsid w:val="00DE1923"/>
    <w:rsid w:val="00DE2B33"/>
    <w:rsid w:val="00DE638B"/>
    <w:rsid w:val="00DE72EE"/>
    <w:rsid w:val="00DF03A9"/>
    <w:rsid w:val="00DF10B2"/>
    <w:rsid w:val="00DF37E5"/>
    <w:rsid w:val="00DF42DA"/>
    <w:rsid w:val="00E026C2"/>
    <w:rsid w:val="00E034FE"/>
    <w:rsid w:val="00E03C63"/>
    <w:rsid w:val="00E041E5"/>
    <w:rsid w:val="00E04888"/>
    <w:rsid w:val="00E04F19"/>
    <w:rsid w:val="00E0763B"/>
    <w:rsid w:val="00E10302"/>
    <w:rsid w:val="00E113CE"/>
    <w:rsid w:val="00E17EC5"/>
    <w:rsid w:val="00E20CF6"/>
    <w:rsid w:val="00E2132E"/>
    <w:rsid w:val="00E24181"/>
    <w:rsid w:val="00E25EB0"/>
    <w:rsid w:val="00E26BFD"/>
    <w:rsid w:val="00E27E90"/>
    <w:rsid w:val="00E302F0"/>
    <w:rsid w:val="00E3145A"/>
    <w:rsid w:val="00E33D02"/>
    <w:rsid w:val="00E34F2C"/>
    <w:rsid w:val="00E35D79"/>
    <w:rsid w:val="00E37E4D"/>
    <w:rsid w:val="00E42D3B"/>
    <w:rsid w:val="00E4484F"/>
    <w:rsid w:val="00E44CA3"/>
    <w:rsid w:val="00E4641E"/>
    <w:rsid w:val="00E519AE"/>
    <w:rsid w:val="00E57AF7"/>
    <w:rsid w:val="00E61233"/>
    <w:rsid w:val="00E61AD9"/>
    <w:rsid w:val="00E6241B"/>
    <w:rsid w:val="00E64FCC"/>
    <w:rsid w:val="00E66A64"/>
    <w:rsid w:val="00E703B6"/>
    <w:rsid w:val="00E72200"/>
    <w:rsid w:val="00E72B1B"/>
    <w:rsid w:val="00E75D47"/>
    <w:rsid w:val="00E75F0D"/>
    <w:rsid w:val="00E760A6"/>
    <w:rsid w:val="00E766F5"/>
    <w:rsid w:val="00E77029"/>
    <w:rsid w:val="00E8121F"/>
    <w:rsid w:val="00E82948"/>
    <w:rsid w:val="00E877DE"/>
    <w:rsid w:val="00E878AE"/>
    <w:rsid w:val="00E90218"/>
    <w:rsid w:val="00E913BB"/>
    <w:rsid w:val="00E95F2E"/>
    <w:rsid w:val="00E96E66"/>
    <w:rsid w:val="00EA1508"/>
    <w:rsid w:val="00EA1541"/>
    <w:rsid w:val="00EA1905"/>
    <w:rsid w:val="00EA32E4"/>
    <w:rsid w:val="00EA7E36"/>
    <w:rsid w:val="00EB0898"/>
    <w:rsid w:val="00EB10B3"/>
    <w:rsid w:val="00EB13EB"/>
    <w:rsid w:val="00EB2A15"/>
    <w:rsid w:val="00EB627B"/>
    <w:rsid w:val="00EB6D94"/>
    <w:rsid w:val="00EB74F3"/>
    <w:rsid w:val="00EC4183"/>
    <w:rsid w:val="00EC6468"/>
    <w:rsid w:val="00EC6708"/>
    <w:rsid w:val="00ED207C"/>
    <w:rsid w:val="00ED325A"/>
    <w:rsid w:val="00ED3F41"/>
    <w:rsid w:val="00ED5615"/>
    <w:rsid w:val="00ED692E"/>
    <w:rsid w:val="00ED69AF"/>
    <w:rsid w:val="00EE1847"/>
    <w:rsid w:val="00EE240E"/>
    <w:rsid w:val="00EE55A3"/>
    <w:rsid w:val="00EE5877"/>
    <w:rsid w:val="00EE6028"/>
    <w:rsid w:val="00EE688E"/>
    <w:rsid w:val="00EE6A6D"/>
    <w:rsid w:val="00EF03E2"/>
    <w:rsid w:val="00EF140B"/>
    <w:rsid w:val="00EF3FFE"/>
    <w:rsid w:val="00EF63F7"/>
    <w:rsid w:val="00EF7F8B"/>
    <w:rsid w:val="00F00866"/>
    <w:rsid w:val="00F00E58"/>
    <w:rsid w:val="00F01CE3"/>
    <w:rsid w:val="00F03814"/>
    <w:rsid w:val="00F0563F"/>
    <w:rsid w:val="00F07A09"/>
    <w:rsid w:val="00F11EB7"/>
    <w:rsid w:val="00F1390C"/>
    <w:rsid w:val="00F14026"/>
    <w:rsid w:val="00F14D98"/>
    <w:rsid w:val="00F14E95"/>
    <w:rsid w:val="00F2037B"/>
    <w:rsid w:val="00F20C5E"/>
    <w:rsid w:val="00F321A8"/>
    <w:rsid w:val="00F323FE"/>
    <w:rsid w:val="00F33848"/>
    <w:rsid w:val="00F35AD1"/>
    <w:rsid w:val="00F36A1D"/>
    <w:rsid w:val="00F44278"/>
    <w:rsid w:val="00F4463D"/>
    <w:rsid w:val="00F46E8A"/>
    <w:rsid w:val="00F51B65"/>
    <w:rsid w:val="00F52AAB"/>
    <w:rsid w:val="00F52EB6"/>
    <w:rsid w:val="00F5514C"/>
    <w:rsid w:val="00F55260"/>
    <w:rsid w:val="00F55C5D"/>
    <w:rsid w:val="00F6316B"/>
    <w:rsid w:val="00F65AE0"/>
    <w:rsid w:val="00F6799A"/>
    <w:rsid w:val="00F67DDE"/>
    <w:rsid w:val="00F72F29"/>
    <w:rsid w:val="00F74E38"/>
    <w:rsid w:val="00F760AA"/>
    <w:rsid w:val="00F76D6F"/>
    <w:rsid w:val="00F778B0"/>
    <w:rsid w:val="00F8135E"/>
    <w:rsid w:val="00F81707"/>
    <w:rsid w:val="00F83BC2"/>
    <w:rsid w:val="00F8474A"/>
    <w:rsid w:val="00F849CD"/>
    <w:rsid w:val="00F84AD3"/>
    <w:rsid w:val="00F91213"/>
    <w:rsid w:val="00F91686"/>
    <w:rsid w:val="00F9279B"/>
    <w:rsid w:val="00F92D9B"/>
    <w:rsid w:val="00F92EC1"/>
    <w:rsid w:val="00F94C47"/>
    <w:rsid w:val="00F950AB"/>
    <w:rsid w:val="00F96600"/>
    <w:rsid w:val="00FA0421"/>
    <w:rsid w:val="00FA08C9"/>
    <w:rsid w:val="00FA1A04"/>
    <w:rsid w:val="00FA3389"/>
    <w:rsid w:val="00FA3476"/>
    <w:rsid w:val="00FA495F"/>
    <w:rsid w:val="00FA5973"/>
    <w:rsid w:val="00FA6EEB"/>
    <w:rsid w:val="00FB00C2"/>
    <w:rsid w:val="00FB0C10"/>
    <w:rsid w:val="00FB2DA9"/>
    <w:rsid w:val="00FB3C36"/>
    <w:rsid w:val="00FB4280"/>
    <w:rsid w:val="00FB7CCE"/>
    <w:rsid w:val="00FC01C8"/>
    <w:rsid w:val="00FC5027"/>
    <w:rsid w:val="00FC50C7"/>
    <w:rsid w:val="00FC511D"/>
    <w:rsid w:val="00FC538F"/>
    <w:rsid w:val="00FC68BC"/>
    <w:rsid w:val="00FD11D4"/>
    <w:rsid w:val="00FD20DF"/>
    <w:rsid w:val="00FD225D"/>
    <w:rsid w:val="00FD2384"/>
    <w:rsid w:val="00FD5E07"/>
    <w:rsid w:val="00FE452E"/>
    <w:rsid w:val="00FE5E48"/>
    <w:rsid w:val="00FE65CE"/>
    <w:rsid w:val="00FE7A13"/>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D115AC"/>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D115AC"/>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D115AC"/>
    <w:rPr>
      <w:b/>
      <w:bCs/>
      <w:sz w:val="28"/>
      <w:szCs w:val="28"/>
      <w:lang w:val="eu-ES" w:eastAsia="en-US"/>
    </w:rPr>
  </w:style>
  <w:style w:type="character" w:customStyle="1" w:styleId="Ttulo7Car">
    <w:name w:val="Título 7 Car"/>
    <w:basedOn w:val="Fuentedeprrafopredeter"/>
    <w:link w:val="Ttulo7"/>
    <w:uiPriority w:val="99"/>
    <w:rsid w:val="00D115AC"/>
    <w:rPr>
      <w:sz w:val="52"/>
    </w:rPr>
  </w:style>
  <w:style w:type="character" w:customStyle="1" w:styleId="Ttulo1Car">
    <w:name w:val="Título 1 Car"/>
    <w:basedOn w:val="Fuentedeprrafopredeter"/>
    <w:link w:val="Ttulo1"/>
    <w:uiPriority w:val="99"/>
    <w:rsid w:val="00D115AC"/>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D115AC"/>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D115AC"/>
    <w:rPr>
      <w:rFonts w:ascii="Arial" w:hAnsi="Arial" w:cs="Arial"/>
      <w:b/>
      <w:bCs/>
      <w:szCs w:val="26"/>
      <w:lang w:val="eu-ES" w:eastAsia="en-US"/>
    </w:rPr>
  </w:style>
  <w:style w:type="character" w:customStyle="1" w:styleId="Ttulo5Car">
    <w:name w:val="Título 5 Car"/>
    <w:basedOn w:val="Fuentedeprrafopredeter"/>
    <w:link w:val="Ttulo5"/>
    <w:uiPriority w:val="99"/>
    <w:rsid w:val="00D115AC"/>
    <w:rPr>
      <w:b/>
      <w:sz w:val="28"/>
      <w:lang w:eastAsia="en-US"/>
    </w:rPr>
  </w:style>
  <w:style w:type="character" w:customStyle="1" w:styleId="atitulo2Car">
    <w:name w:val="atitulo2 Car"/>
    <w:link w:val="atitulo2"/>
    <w:rsid w:val="00D115AC"/>
    <w:rPr>
      <w:rFonts w:ascii="Arial" w:hAnsi="Arial"/>
      <w:bCs/>
      <w:iCs/>
      <w:color w:val="000000"/>
      <w:spacing w:val="10"/>
      <w:kern w:val="28"/>
      <w:sz w:val="25"/>
      <w:szCs w:val="26"/>
      <w:lang w:val="eu-ES" w:eastAsia="en-US"/>
    </w:rPr>
  </w:style>
  <w:style w:type="character" w:customStyle="1" w:styleId="TextodegloboCar">
    <w:name w:val="Texto de globo Car"/>
    <w:basedOn w:val="Fuentedeprrafopredeter"/>
    <w:link w:val="Textodeglobo"/>
    <w:semiHidden/>
    <w:rsid w:val="00D115AC"/>
    <w:rPr>
      <w:rFonts w:ascii="Tahoma" w:hAnsi="Tahoma" w:cs="Tahoma"/>
      <w:sz w:val="16"/>
      <w:szCs w:val="16"/>
      <w:lang w:val="eu-ES" w:eastAsia="en-US"/>
    </w:rPr>
  </w:style>
  <w:style w:type="character" w:customStyle="1" w:styleId="EncabezadoCar">
    <w:name w:val="Encabezado Car"/>
    <w:basedOn w:val="Fuentedeprrafopredeter"/>
    <w:link w:val="Encabezado"/>
    <w:uiPriority w:val="99"/>
    <w:rsid w:val="00D115AC"/>
    <w:rPr>
      <w:bCs/>
      <w:caps/>
      <w:sz w:val="14"/>
      <w:szCs w:val="12"/>
      <w:lang w:val="eu-ES" w:eastAsia="en-US"/>
    </w:rPr>
  </w:style>
  <w:style w:type="character" w:customStyle="1" w:styleId="PiedepginaCar">
    <w:name w:val="Pie de página Car"/>
    <w:basedOn w:val="Fuentedeprrafopredeter"/>
    <w:link w:val="Piedepgina"/>
    <w:uiPriority w:val="99"/>
    <w:rsid w:val="00D115AC"/>
    <w:rPr>
      <w:spacing w:val="6"/>
      <w:lang w:val="eu-ES" w:eastAsia="en-US"/>
    </w:rPr>
  </w:style>
  <w:style w:type="paragraph" w:customStyle="1" w:styleId="Estndar">
    <w:name w:val="Estándar"/>
    <w:rsid w:val="00D115AC"/>
    <w:pPr>
      <w:snapToGrid w:val="0"/>
    </w:pPr>
    <w:rPr>
      <w:rFonts w:ascii="CG Omega" w:hAnsi="CG Omega"/>
      <w:color w:val="000000"/>
      <w:sz w:val="22"/>
    </w:rPr>
  </w:style>
  <w:style w:type="paragraph" w:customStyle="1" w:styleId="tabla10">
    <w:name w:val="tabla10"/>
    <w:rsid w:val="00D115AC"/>
    <w:pPr>
      <w:tabs>
        <w:tab w:val="left" w:pos="567"/>
        <w:tab w:val="left" w:pos="1134"/>
      </w:tabs>
      <w:snapToGrid w:val="0"/>
    </w:pPr>
    <w:rPr>
      <w:rFonts w:ascii="CG Times" w:hAnsi="CG Times"/>
      <w:color w:val="000000"/>
    </w:rPr>
  </w:style>
  <w:style w:type="paragraph" w:styleId="NormalWeb">
    <w:name w:val="Normal (Web)"/>
    <w:basedOn w:val="Normal"/>
    <w:uiPriority w:val="99"/>
    <w:rsid w:val="00D115AC"/>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D115AC"/>
  </w:style>
  <w:style w:type="character" w:customStyle="1" w:styleId="TextocomentarioCar">
    <w:name w:val="Texto comentario Car"/>
    <w:basedOn w:val="Fuentedeprrafopredeter"/>
    <w:link w:val="Textocomentario"/>
    <w:rsid w:val="00D115AC"/>
    <w:rPr>
      <w:lang w:val="eu-ES" w:eastAsia="en-US"/>
    </w:rPr>
  </w:style>
  <w:style w:type="paragraph" w:styleId="Asuntodelcomentario">
    <w:name w:val="annotation subject"/>
    <w:basedOn w:val="Textocomentario"/>
    <w:next w:val="Textocomentario"/>
    <w:link w:val="AsuntodelcomentarioCar"/>
    <w:rsid w:val="00D115AC"/>
    <w:rPr>
      <w:b/>
      <w:bCs/>
    </w:rPr>
  </w:style>
  <w:style w:type="character" w:customStyle="1" w:styleId="AsuntodelcomentarioCar">
    <w:name w:val="Asunto del comentario Car"/>
    <w:basedOn w:val="TextocomentarioCar"/>
    <w:link w:val="Asuntodelcomentario"/>
    <w:rsid w:val="00D115AC"/>
    <w:rPr>
      <w:b/>
      <w:bCs/>
      <w:lang w:val="eu-ES" w:eastAsia="en-US"/>
    </w:rPr>
  </w:style>
  <w:style w:type="paragraph" w:styleId="Mapadeldocumento">
    <w:name w:val="Document Map"/>
    <w:basedOn w:val="Normal"/>
    <w:link w:val="MapadeldocumentoCar"/>
    <w:rsid w:val="00D115AC"/>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D115AC"/>
    <w:rPr>
      <w:rFonts w:ascii="Tahoma" w:hAnsi="Tahoma" w:cs="Tahoma"/>
      <w:shd w:val="clear" w:color="auto" w:fill="000080"/>
      <w:lang w:val="eu-ES" w:eastAsia="en-US"/>
    </w:rPr>
  </w:style>
  <w:style w:type="paragraph" w:styleId="Textonotapie">
    <w:name w:val="footnote text"/>
    <w:basedOn w:val="Normal"/>
    <w:link w:val="TextonotapieCar"/>
    <w:rsid w:val="00D115AC"/>
  </w:style>
  <w:style w:type="character" w:customStyle="1" w:styleId="TextonotapieCar">
    <w:name w:val="Texto nota pie Car"/>
    <w:basedOn w:val="Fuentedeprrafopredeter"/>
    <w:link w:val="Textonotapie"/>
    <w:rsid w:val="00D115AC"/>
    <w:rPr>
      <w:lang w:val="eu-ES" w:eastAsia="en-US"/>
    </w:rPr>
  </w:style>
  <w:style w:type="character" w:styleId="Refdenotaalpie">
    <w:name w:val="footnote reference"/>
    <w:rsid w:val="00D115AC"/>
    <w:rPr>
      <w:vertAlign w:val="superscript"/>
    </w:rPr>
  </w:style>
  <w:style w:type="paragraph" w:styleId="Prrafodelista">
    <w:name w:val="List Paragraph"/>
    <w:basedOn w:val="Normal"/>
    <w:uiPriority w:val="34"/>
    <w:qFormat/>
    <w:rsid w:val="00D115AC"/>
    <w:pPr>
      <w:ind w:left="720"/>
      <w:contextualSpacing/>
    </w:pPr>
  </w:style>
  <w:style w:type="character" w:customStyle="1" w:styleId="atitulo1Car">
    <w:name w:val="atitulo1 Car"/>
    <w:link w:val="atitulo1"/>
    <w:uiPriority w:val="99"/>
    <w:rsid w:val="00D115AC"/>
    <w:rPr>
      <w:rFonts w:ascii="Arial" w:hAnsi="Arial"/>
      <w:b/>
      <w:color w:val="000000"/>
      <w:kern w:val="28"/>
      <w:sz w:val="25"/>
      <w:szCs w:val="26"/>
      <w:lang w:val="eu-ES" w:eastAsia="en-US"/>
    </w:rPr>
  </w:style>
  <w:style w:type="paragraph" w:customStyle="1" w:styleId="Default">
    <w:name w:val="Default"/>
    <w:rsid w:val="00D115AC"/>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D115AC"/>
    <w:rPr>
      <w:color w:val="auto"/>
    </w:rPr>
  </w:style>
  <w:style w:type="paragraph" w:styleId="Textoindependiente">
    <w:name w:val="Body Text"/>
    <w:basedOn w:val="Normal"/>
    <w:link w:val="TextoindependienteCar"/>
    <w:rsid w:val="00D115AC"/>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D115AC"/>
    <w:rPr>
      <w:rFonts w:ascii="Arial" w:hAnsi="Arial"/>
      <w:sz w:val="24"/>
      <w:lang w:val="eu-ES"/>
    </w:rPr>
  </w:style>
  <w:style w:type="paragraph" w:customStyle="1" w:styleId="Pa7">
    <w:name w:val="Pa7"/>
    <w:basedOn w:val="Default"/>
    <w:next w:val="Default"/>
    <w:uiPriority w:val="99"/>
    <w:rsid w:val="00D115AC"/>
    <w:pPr>
      <w:spacing w:line="201" w:lineRule="atLeast"/>
    </w:pPr>
    <w:rPr>
      <w:color w:val="auto"/>
    </w:rPr>
  </w:style>
  <w:style w:type="character" w:customStyle="1" w:styleId="corchete-llamada1">
    <w:name w:val="corchete-llamada1"/>
    <w:basedOn w:val="Fuentedeprrafopredeter"/>
    <w:rsid w:val="00D115AC"/>
    <w:rPr>
      <w:vanish/>
      <w:webHidden w:val="0"/>
      <w:specVanish w:val="0"/>
    </w:rPr>
  </w:style>
  <w:style w:type="paragraph" w:customStyle="1" w:styleId="xl1">
    <w:name w:val="xl1"/>
    <w:basedOn w:val="Normal"/>
    <w:rsid w:val="00D115AC"/>
    <w:pPr>
      <w:spacing w:after="240"/>
      <w:ind w:left="300" w:right="75" w:hanging="225"/>
    </w:pPr>
    <w:rPr>
      <w:sz w:val="24"/>
      <w:szCs w:val="24"/>
      <w:lang w:eastAsia="es-ES"/>
    </w:rPr>
  </w:style>
  <w:style w:type="paragraph" w:customStyle="1" w:styleId="xl2">
    <w:name w:val="xl2"/>
    <w:basedOn w:val="Normal"/>
    <w:rsid w:val="00D115AC"/>
    <w:pPr>
      <w:spacing w:after="240"/>
      <w:ind w:left="525" w:right="75" w:hanging="225"/>
    </w:pPr>
    <w:rPr>
      <w:sz w:val="24"/>
      <w:szCs w:val="24"/>
      <w:lang w:eastAsia="es-ES"/>
    </w:rPr>
  </w:style>
  <w:style w:type="numbering" w:customStyle="1" w:styleId="Sinlista1">
    <w:name w:val="Sin lista1"/>
    <w:next w:val="Sinlista"/>
    <w:uiPriority w:val="99"/>
    <w:semiHidden/>
    <w:unhideWhenUsed/>
    <w:rsid w:val="00D115AC"/>
  </w:style>
  <w:style w:type="table" w:styleId="Sombreadoclaro">
    <w:name w:val="Light Shading"/>
    <w:aliases w:val="tabla informe"/>
    <w:basedOn w:val="Tablanormal"/>
    <w:uiPriority w:val="60"/>
    <w:rsid w:val="00D115AC"/>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D11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11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15AC"/>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D115AC"/>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15AC"/>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D115AC"/>
    <w:rPr>
      <w:rFonts w:cs="Times New Roman"/>
      <w:b/>
    </w:rPr>
  </w:style>
  <w:style w:type="character" w:styleId="nfasis">
    <w:name w:val="Emphasis"/>
    <w:basedOn w:val="Fuentedeprrafopredeter"/>
    <w:uiPriority w:val="99"/>
    <w:qFormat/>
    <w:rsid w:val="00D115AC"/>
    <w:rPr>
      <w:rFonts w:cs="Times New Roman"/>
      <w:i/>
      <w:iCs/>
    </w:rPr>
  </w:style>
  <w:style w:type="paragraph" w:styleId="Cita">
    <w:name w:val="Quote"/>
    <w:basedOn w:val="Normal"/>
    <w:next w:val="Normal"/>
    <w:link w:val="CitaCar"/>
    <w:uiPriority w:val="29"/>
    <w:qFormat/>
    <w:rsid w:val="00D115AC"/>
    <w:rPr>
      <w:i/>
      <w:iCs/>
      <w:color w:val="000000" w:themeColor="text1"/>
    </w:rPr>
  </w:style>
  <w:style w:type="character" w:customStyle="1" w:styleId="CitaCar">
    <w:name w:val="Cita Car"/>
    <w:basedOn w:val="Fuentedeprrafopredeter"/>
    <w:link w:val="Cita"/>
    <w:uiPriority w:val="29"/>
    <w:rsid w:val="00D115AC"/>
    <w:rPr>
      <w:i/>
      <w:iCs/>
      <w:color w:val="000000" w:themeColor="text1"/>
      <w:lang w:val="eu-ES" w:eastAsia="en-US"/>
    </w:rPr>
  </w:style>
  <w:style w:type="character" w:styleId="nfasissutil">
    <w:name w:val="Subtle Emphasis"/>
    <w:basedOn w:val="Fuentedeprrafopredeter"/>
    <w:uiPriority w:val="19"/>
    <w:qFormat/>
    <w:rsid w:val="00D115AC"/>
    <w:rPr>
      <w:i/>
      <w:iCs/>
      <w:color w:val="808080" w:themeColor="text1" w:themeTint="7F"/>
    </w:rPr>
  </w:style>
  <w:style w:type="character" w:styleId="nfasisintenso">
    <w:name w:val="Intense Emphasis"/>
    <w:basedOn w:val="Fuentedeprrafopredeter"/>
    <w:uiPriority w:val="21"/>
    <w:qFormat/>
    <w:rsid w:val="00D115AC"/>
    <w:rPr>
      <w:b/>
      <w:bCs/>
      <w:i/>
      <w:iCs/>
      <w:color w:val="4F81BD" w:themeColor="accent1"/>
    </w:rPr>
  </w:style>
  <w:style w:type="character" w:styleId="Referenciasutil">
    <w:name w:val="Subtle Reference"/>
    <w:basedOn w:val="Fuentedeprrafopredeter"/>
    <w:uiPriority w:val="31"/>
    <w:qFormat/>
    <w:rsid w:val="00D115AC"/>
    <w:rPr>
      <w:smallCaps/>
      <w:color w:val="C0504D" w:themeColor="accent2"/>
      <w:u w:val="single"/>
    </w:rPr>
  </w:style>
  <w:style w:type="character" w:styleId="Referenciaintensa">
    <w:name w:val="Intense Reference"/>
    <w:basedOn w:val="Fuentedeprrafopredeter"/>
    <w:uiPriority w:val="32"/>
    <w:qFormat/>
    <w:rsid w:val="00D115AC"/>
    <w:rPr>
      <w:b/>
      <w:bCs/>
      <w:smallCaps/>
      <w:color w:val="C0504D" w:themeColor="accent2"/>
      <w:spacing w:val="5"/>
      <w:u w:val="single"/>
    </w:rPr>
  </w:style>
  <w:style w:type="paragraph" w:styleId="Textoindependiente3">
    <w:name w:val="Body Text 3"/>
    <w:basedOn w:val="Normal"/>
    <w:link w:val="Textoindependiente3Car"/>
    <w:rsid w:val="00D115AC"/>
    <w:pPr>
      <w:spacing w:after="120"/>
    </w:pPr>
    <w:rPr>
      <w:sz w:val="16"/>
      <w:szCs w:val="16"/>
    </w:rPr>
  </w:style>
  <w:style w:type="character" w:customStyle="1" w:styleId="Textoindependiente3Car">
    <w:name w:val="Texto independiente 3 Car"/>
    <w:basedOn w:val="Fuentedeprrafopredeter"/>
    <w:link w:val="Textoindependiente3"/>
    <w:rsid w:val="00D115AC"/>
    <w:rPr>
      <w:sz w:val="16"/>
      <w:szCs w:val="16"/>
      <w:lang w:val="eu-ES" w:eastAsia="en-US"/>
    </w:rPr>
  </w:style>
  <w:style w:type="character" w:customStyle="1" w:styleId="atitulo3Car">
    <w:name w:val="atitulo3 Car"/>
    <w:link w:val="atitulo3"/>
    <w:rsid w:val="0095666D"/>
    <w:rPr>
      <w:rFonts w:ascii="Arial" w:hAnsi="Arial"/>
      <w:i/>
      <w:iCs/>
      <w:color w:val="000000"/>
      <w:spacing w:val="10"/>
      <w:kern w:val="28"/>
      <w:sz w:val="25"/>
      <w:szCs w:val="26"/>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uiPriority="99" w:qFormat="1"/>
    <w:lsdException w:name="Title" w:uiPriority="10" w:qFormat="1"/>
    <w:lsdException w:name="Subtitle" w:uiPriority="11" w:qFormat="1"/>
    <w:lsdException w:name="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D115AC"/>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D115AC"/>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uiPriority w:val="99"/>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semiHidden/>
    <w:rsid w:val="000A4697"/>
    <w:rPr>
      <w:rFonts w:ascii="Tahoma" w:hAnsi="Tahoma" w:cs="Tahoma"/>
      <w:sz w:val="16"/>
      <w:szCs w:val="16"/>
    </w:rPr>
  </w:style>
  <w:style w:type="paragraph" w:styleId="Encabezado">
    <w:name w:val="header"/>
    <w:basedOn w:val="Epgrafe"/>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rsid w:val="001D4F09"/>
    <w:rPr>
      <w:spacing w:val="6"/>
      <w:sz w:val="26"/>
      <w:szCs w:val="24"/>
      <w:lang w:val="eu-ES"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D115AC"/>
    <w:rPr>
      <w:b/>
      <w:bCs/>
      <w:sz w:val="28"/>
      <w:szCs w:val="28"/>
      <w:lang w:val="eu-ES" w:eastAsia="en-US"/>
    </w:rPr>
  </w:style>
  <w:style w:type="character" w:customStyle="1" w:styleId="Ttulo7Car">
    <w:name w:val="Título 7 Car"/>
    <w:basedOn w:val="Fuentedeprrafopredeter"/>
    <w:link w:val="Ttulo7"/>
    <w:uiPriority w:val="99"/>
    <w:rsid w:val="00D115AC"/>
    <w:rPr>
      <w:sz w:val="52"/>
    </w:rPr>
  </w:style>
  <w:style w:type="character" w:customStyle="1" w:styleId="Ttulo1Car">
    <w:name w:val="Título 1 Car"/>
    <w:basedOn w:val="Fuentedeprrafopredeter"/>
    <w:link w:val="Ttulo1"/>
    <w:uiPriority w:val="99"/>
    <w:rsid w:val="00D115AC"/>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D115AC"/>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D115AC"/>
    <w:rPr>
      <w:rFonts w:ascii="Arial" w:hAnsi="Arial" w:cs="Arial"/>
      <w:b/>
      <w:bCs/>
      <w:szCs w:val="26"/>
      <w:lang w:val="eu-ES" w:eastAsia="en-US"/>
    </w:rPr>
  </w:style>
  <w:style w:type="character" w:customStyle="1" w:styleId="Ttulo5Car">
    <w:name w:val="Título 5 Car"/>
    <w:basedOn w:val="Fuentedeprrafopredeter"/>
    <w:link w:val="Ttulo5"/>
    <w:uiPriority w:val="99"/>
    <w:rsid w:val="00D115AC"/>
    <w:rPr>
      <w:b/>
      <w:sz w:val="28"/>
      <w:lang w:eastAsia="en-US"/>
    </w:rPr>
  </w:style>
  <w:style w:type="character" w:customStyle="1" w:styleId="atitulo2Car">
    <w:name w:val="atitulo2 Car"/>
    <w:link w:val="atitulo2"/>
    <w:rsid w:val="00D115AC"/>
    <w:rPr>
      <w:rFonts w:ascii="Arial" w:hAnsi="Arial"/>
      <w:bCs/>
      <w:iCs/>
      <w:color w:val="000000"/>
      <w:spacing w:val="10"/>
      <w:kern w:val="28"/>
      <w:sz w:val="25"/>
      <w:szCs w:val="26"/>
      <w:lang w:val="eu-ES" w:eastAsia="en-US"/>
    </w:rPr>
  </w:style>
  <w:style w:type="character" w:customStyle="1" w:styleId="TextodegloboCar">
    <w:name w:val="Texto de globo Car"/>
    <w:basedOn w:val="Fuentedeprrafopredeter"/>
    <w:link w:val="Textodeglobo"/>
    <w:semiHidden/>
    <w:rsid w:val="00D115AC"/>
    <w:rPr>
      <w:rFonts w:ascii="Tahoma" w:hAnsi="Tahoma" w:cs="Tahoma"/>
      <w:sz w:val="16"/>
      <w:szCs w:val="16"/>
      <w:lang w:val="eu-ES" w:eastAsia="en-US"/>
    </w:rPr>
  </w:style>
  <w:style w:type="character" w:customStyle="1" w:styleId="EncabezadoCar">
    <w:name w:val="Encabezado Car"/>
    <w:basedOn w:val="Fuentedeprrafopredeter"/>
    <w:link w:val="Encabezado"/>
    <w:uiPriority w:val="99"/>
    <w:rsid w:val="00D115AC"/>
    <w:rPr>
      <w:bCs/>
      <w:caps/>
      <w:sz w:val="14"/>
      <w:szCs w:val="12"/>
      <w:lang w:val="eu-ES" w:eastAsia="en-US"/>
    </w:rPr>
  </w:style>
  <w:style w:type="character" w:customStyle="1" w:styleId="PiedepginaCar">
    <w:name w:val="Pie de página Car"/>
    <w:basedOn w:val="Fuentedeprrafopredeter"/>
    <w:link w:val="Piedepgina"/>
    <w:uiPriority w:val="99"/>
    <w:rsid w:val="00D115AC"/>
    <w:rPr>
      <w:spacing w:val="6"/>
      <w:lang w:val="eu-ES" w:eastAsia="en-US"/>
    </w:rPr>
  </w:style>
  <w:style w:type="paragraph" w:customStyle="1" w:styleId="Estndar">
    <w:name w:val="Estándar"/>
    <w:rsid w:val="00D115AC"/>
    <w:pPr>
      <w:snapToGrid w:val="0"/>
    </w:pPr>
    <w:rPr>
      <w:rFonts w:ascii="CG Omega" w:hAnsi="CG Omega"/>
      <w:color w:val="000000"/>
      <w:sz w:val="22"/>
    </w:rPr>
  </w:style>
  <w:style w:type="paragraph" w:customStyle="1" w:styleId="tabla10">
    <w:name w:val="tabla10"/>
    <w:rsid w:val="00D115AC"/>
    <w:pPr>
      <w:tabs>
        <w:tab w:val="left" w:pos="567"/>
        <w:tab w:val="left" w:pos="1134"/>
      </w:tabs>
      <w:snapToGrid w:val="0"/>
    </w:pPr>
    <w:rPr>
      <w:rFonts w:ascii="CG Times" w:hAnsi="CG Times"/>
      <w:color w:val="000000"/>
    </w:rPr>
  </w:style>
  <w:style w:type="paragraph" w:styleId="NormalWeb">
    <w:name w:val="Normal (Web)"/>
    <w:basedOn w:val="Normal"/>
    <w:uiPriority w:val="99"/>
    <w:rsid w:val="00D115AC"/>
    <w:pPr>
      <w:spacing w:before="100" w:beforeAutospacing="1" w:after="100" w:afterAutospacing="1"/>
      <w:ind w:firstLine="0"/>
    </w:pPr>
    <w:rPr>
      <w:rFonts w:ascii="Verdana" w:hAnsi="Verdana"/>
      <w:sz w:val="13"/>
      <w:szCs w:val="13"/>
      <w:lang w:eastAsia="es-ES"/>
    </w:rPr>
  </w:style>
  <w:style w:type="paragraph" w:styleId="Textocomentario">
    <w:name w:val="annotation text"/>
    <w:basedOn w:val="Normal"/>
    <w:link w:val="TextocomentarioCar"/>
    <w:rsid w:val="00D115AC"/>
  </w:style>
  <w:style w:type="character" w:customStyle="1" w:styleId="TextocomentarioCar">
    <w:name w:val="Texto comentario Car"/>
    <w:basedOn w:val="Fuentedeprrafopredeter"/>
    <w:link w:val="Textocomentario"/>
    <w:rsid w:val="00D115AC"/>
    <w:rPr>
      <w:lang w:val="eu-ES" w:eastAsia="en-US"/>
    </w:rPr>
  </w:style>
  <w:style w:type="paragraph" w:styleId="Asuntodelcomentario">
    <w:name w:val="annotation subject"/>
    <w:basedOn w:val="Textocomentario"/>
    <w:next w:val="Textocomentario"/>
    <w:link w:val="AsuntodelcomentarioCar"/>
    <w:rsid w:val="00D115AC"/>
    <w:rPr>
      <w:b/>
      <w:bCs/>
    </w:rPr>
  </w:style>
  <w:style w:type="character" w:customStyle="1" w:styleId="AsuntodelcomentarioCar">
    <w:name w:val="Asunto del comentario Car"/>
    <w:basedOn w:val="TextocomentarioCar"/>
    <w:link w:val="Asuntodelcomentario"/>
    <w:rsid w:val="00D115AC"/>
    <w:rPr>
      <w:b/>
      <w:bCs/>
      <w:lang w:val="eu-ES" w:eastAsia="en-US"/>
    </w:rPr>
  </w:style>
  <w:style w:type="paragraph" w:styleId="Mapadeldocumento">
    <w:name w:val="Document Map"/>
    <w:basedOn w:val="Normal"/>
    <w:link w:val="MapadeldocumentoCar"/>
    <w:rsid w:val="00D115AC"/>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D115AC"/>
    <w:rPr>
      <w:rFonts w:ascii="Tahoma" w:hAnsi="Tahoma" w:cs="Tahoma"/>
      <w:shd w:val="clear" w:color="auto" w:fill="000080"/>
      <w:lang w:val="eu-ES" w:eastAsia="en-US"/>
    </w:rPr>
  </w:style>
  <w:style w:type="paragraph" w:styleId="Textonotapie">
    <w:name w:val="footnote text"/>
    <w:basedOn w:val="Normal"/>
    <w:link w:val="TextonotapieCar"/>
    <w:rsid w:val="00D115AC"/>
  </w:style>
  <w:style w:type="character" w:customStyle="1" w:styleId="TextonotapieCar">
    <w:name w:val="Texto nota pie Car"/>
    <w:basedOn w:val="Fuentedeprrafopredeter"/>
    <w:link w:val="Textonotapie"/>
    <w:rsid w:val="00D115AC"/>
    <w:rPr>
      <w:lang w:val="eu-ES" w:eastAsia="en-US"/>
    </w:rPr>
  </w:style>
  <w:style w:type="character" w:styleId="Refdenotaalpie">
    <w:name w:val="footnote reference"/>
    <w:rsid w:val="00D115AC"/>
    <w:rPr>
      <w:vertAlign w:val="superscript"/>
    </w:rPr>
  </w:style>
  <w:style w:type="paragraph" w:styleId="Prrafodelista">
    <w:name w:val="List Paragraph"/>
    <w:basedOn w:val="Normal"/>
    <w:uiPriority w:val="34"/>
    <w:qFormat/>
    <w:rsid w:val="00D115AC"/>
    <w:pPr>
      <w:ind w:left="720"/>
      <w:contextualSpacing/>
    </w:pPr>
  </w:style>
  <w:style w:type="character" w:customStyle="1" w:styleId="atitulo1Car">
    <w:name w:val="atitulo1 Car"/>
    <w:link w:val="atitulo1"/>
    <w:uiPriority w:val="99"/>
    <w:rsid w:val="00D115AC"/>
    <w:rPr>
      <w:rFonts w:ascii="Arial" w:hAnsi="Arial"/>
      <w:b/>
      <w:color w:val="000000"/>
      <w:kern w:val="28"/>
      <w:sz w:val="25"/>
      <w:szCs w:val="26"/>
      <w:lang w:val="eu-ES" w:eastAsia="en-US"/>
    </w:rPr>
  </w:style>
  <w:style w:type="paragraph" w:customStyle="1" w:styleId="Default">
    <w:name w:val="Default"/>
    <w:rsid w:val="00D115AC"/>
    <w:pPr>
      <w:autoSpaceDE w:val="0"/>
      <w:autoSpaceDN w:val="0"/>
      <w:adjustRightInd w:val="0"/>
    </w:pPr>
    <w:rPr>
      <w:rFonts w:ascii="Arial" w:hAnsi="Arial" w:cs="Arial"/>
      <w:color w:val="000000"/>
      <w:sz w:val="24"/>
      <w:szCs w:val="24"/>
    </w:rPr>
  </w:style>
  <w:style w:type="paragraph" w:customStyle="1" w:styleId="foral-f-parrafo-c">
    <w:name w:val="foral-f-parrafo-c"/>
    <w:basedOn w:val="Default"/>
    <w:next w:val="Default"/>
    <w:uiPriority w:val="99"/>
    <w:rsid w:val="00D115AC"/>
    <w:rPr>
      <w:color w:val="auto"/>
    </w:rPr>
  </w:style>
  <w:style w:type="paragraph" w:styleId="Textoindependiente">
    <w:name w:val="Body Text"/>
    <w:basedOn w:val="Normal"/>
    <w:link w:val="TextoindependienteCar"/>
    <w:rsid w:val="00D115AC"/>
    <w:pPr>
      <w:spacing w:after="120"/>
      <w:ind w:firstLine="709"/>
    </w:pPr>
    <w:rPr>
      <w:rFonts w:ascii="Arial" w:hAnsi="Arial"/>
      <w:sz w:val="24"/>
      <w:lang w:eastAsia="es-ES"/>
    </w:rPr>
  </w:style>
  <w:style w:type="character" w:customStyle="1" w:styleId="TextoindependienteCar">
    <w:name w:val="Texto independiente Car"/>
    <w:basedOn w:val="Fuentedeprrafopredeter"/>
    <w:link w:val="Textoindependiente"/>
    <w:rsid w:val="00D115AC"/>
    <w:rPr>
      <w:rFonts w:ascii="Arial" w:hAnsi="Arial"/>
      <w:sz w:val="24"/>
      <w:lang w:val="eu-ES"/>
    </w:rPr>
  </w:style>
  <w:style w:type="paragraph" w:customStyle="1" w:styleId="Pa7">
    <w:name w:val="Pa7"/>
    <w:basedOn w:val="Default"/>
    <w:next w:val="Default"/>
    <w:uiPriority w:val="99"/>
    <w:rsid w:val="00D115AC"/>
    <w:pPr>
      <w:spacing w:line="201" w:lineRule="atLeast"/>
    </w:pPr>
    <w:rPr>
      <w:color w:val="auto"/>
    </w:rPr>
  </w:style>
  <w:style w:type="character" w:customStyle="1" w:styleId="corchete-llamada1">
    <w:name w:val="corchete-llamada1"/>
    <w:basedOn w:val="Fuentedeprrafopredeter"/>
    <w:rsid w:val="00D115AC"/>
    <w:rPr>
      <w:vanish/>
      <w:webHidden w:val="0"/>
      <w:specVanish w:val="0"/>
    </w:rPr>
  </w:style>
  <w:style w:type="paragraph" w:customStyle="1" w:styleId="xl1">
    <w:name w:val="xl1"/>
    <w:basedOn w:val="Normal"/>
    <w:rsid w:val="00D115AC"/>
    <w:pPr>
      <w:spacing w:after="240"/>
      <w:ind w:left="300" w:right="75" w:hanging="225"/>
    </w:pPr>
    <w:rPr>
      <w:sz w:val="24"/>
      <w:szCs w:val="24"/>
      <w:lang w:eastAsia="es-ES"/>
    </w:rPr>
  </w:style>
  <w:style w:type="paragraph" w:customStyle="1" w:styleId="xl2">
    <w:name w:val="xl2"/>
    <w:basedOn w:val="Normal"/>
    <w:rsid w:val="00D115AC"/>
    <w:pPr>
      <w:spacing w:after="240"/>
      <w:ind w:left="525" w:right="75" w:hanging="225"/>
    </w:pPr>
    <w:rPr>
      <w:sz w:val="24"/>
      <w:szCs w:val="24"/>
      <w:lang w:eastAsia="es-ES"/>
    </w:rPr>
  </w:style>
  <w:style w:type="numbering" w:customStyle="1" w:styleId="Sinlista1">
    <w:name w:val="Sin lista1"/>
    <w:next w:val="Sinlista"/>
    <w:uiPriority w:val="99"/>
    <w:semiHidden/>
    <w:unhideWhenUsed/>
    <w:rsid w:val="00D115AC"/>
  </w:style>
  <w:style w:type="table" w:styleId="Sombreadoclaro">
    <w:name w:val="Light Shading"/>
    <w:aliases w:val="tabla informe"/>
    <w:basedOn w:val="Tablanormal"/>
    <w:uiPriority w:val="60"/>
    <w:rsid w:val="00D115AC"/>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table" w:customStyle="1" w:styleId="Tablaconcuadrcula1">
    <w:name w:val="Tabla con cuadrícula1"/>
    <w:basedOn w:val="Tablanormal"/>
    <w:next w:val="Tablaconcuadrcula"/>
    <w:uiPriority w:val="59"/>
    <w:rsid w:val="00D115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115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115AC"/>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D115AC"/>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15AC"/>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D115AC"/>
    <w:rPr>
      <w:rFonts w:cs="Times New Roman"/>
      <w:b/>
    </w:rPr>
  </w:style>
  <w:style w:type="character" w:styleId="nfasis">
    <w:name w:val="Emphasis"/>
    <w:basedOn w:val="Fuentedeprrafopredeter"/>
    <w:uiPriority w:val="99"/>
    <w:qFormat/>
    <w:rsid w:val="00D115AC"/>
    <w:rPr>
      <w:rFonts w:cs="Times New Roman"/>
      <w:i/>
      <w:iCs/>
    </w:rPr>
  </w:style>
  <w:style w:type="paragraph" w:styleId="Cita">
    <w:name w:val="Quote"/>
    <w:basedOn w:val="Normal"/>
    <w:next w:val="Normal"/>
    <w:link w:val="CitaCar"/>
    <w:uiPriority w:val="29"/>
    <w:qFormat/>
    <w:rsid w:val="00D115AC"/>
    <w:rPr>
      <w:i/>
      <w:iCs/>
      <w:color w:val="000000" w:themeColor="text1"/>
    </w:rPr>
  </w:style>
  <w:style w:type="character" w:customStyle="1" w:styleId="CitaCar">
    <w:name w:val="Cita Car"/>
    <w:basedOn w:val="Fuentedeprrafopredeter"/>
    <w:link w:val="Cita"/>
    <w:uiPriority w:val="29"/>
    <w:rsid w:val="00D115AC"/>
    <w:rPr>
      <w:i/>
      <w:iCs/>
      <w:color w:val="000000" w:themeColor="text1"/>
      <w:lang w:val="eu-ES" w:eastAsia="en-US"/>
    </w:rPr>
  </w:style>
  <w:style w:type="character" w:styleId="nfasissutil">
    <w:name w:val="Subtle Emphasis"/>
    <w:basedOn w:val="Fuentedeprrafopredeter"/>
    <w:uiPriority w:val="19"/>
    <w:qFormat/>
    <w:rsid w:val="00D115AC"/>
    <w:rPr>
      <w:i/>
      <w:iCs/>
      <w:color w:val="808080" w:themeColor="text1" w:themeTint="7F"/>
    </w:rPr>
  </w:style>
  <w:style w:type="character" w:styleId="nfasisintenso">
    <w:name w:val="Intense Emphasis"/>
    <w:basedOn w:val="Fuentedeprrafopredeter"/>
    <w:uiPriority w:val="21"/>
    <w:qFormat/>
    <w:rsid w:val="00D115AC"/>
    <w:rPr>
      <w:b/>
      <w:bCs/>
      <w:i/>
      <w:iCs/>
      <w:color w:val="4F81BD" w:themeColor="accent1"/>
    </w:rPr>
  </w:style>
  <w:style w:type="character" w:styleId="Referenciasutil">
    <w:name w:val="Subtle Reference"/>
    <w:basedOn w:val="Fuentedeprrafopredeter"/>
    <w:uiPriority w:val="31"/>
    <w:qFormat/>
    <w:rsid w:val="00D115AC"/>
    <w:rPr>
      <w:smallCaps/>
      <w:color w:val="C0504D" w:themeColor="accent2"/>
      <w:u w:val="single"/>
    </w:rPr>
  </w:style>
  <w:style w:type="character" w:styleId="Referenciaintensa">
    <w:name w:val="Intense Reference"/>
    <w:basedOn w:val="Fuentedeprrafopredeter"/>
    <w:uiPriority w:val="32"/>
    <w:qFormat/>
    <w:rsid w:val="00D115AC"/>
    <w:rPr>
      <w:b/>
      <w:bCs/>
      <w:smallCaps/>
      <w:color w:val="C0504D" w:themeColor="accent2"/>
      <w:spacing w:val="5"/>
      <w:u w:val="single"/>
    </w:rPr>
  </w:style>
  <w:style w:type="paragraph" w:styleId="Textoindependiente3">
    <w:name w:val="Body Text 3"/>
    <w:basedOn w:val="Normal"/>
    <w:link w:val="Textoindependiente3Car"/>
    <w:rsid w:val="00D115AC"/>
    <w:pPr>
      <w:spacing w:after="120"/>
    </w:pPr>
    <w:rPr>
      <w:sz w:val="16"/>
      <w:szCs w:val="16"/>
    </w:rPr>
  </w:style>
  <w:style w:type="character" w:customStyle="1" w:styleId="Textoindependiente3Car">
    <w:name w:val="Texto independiente 3 Car"/>
    <w:basedOn w:val="Fuentedeprrafopredeter"/>
    <w:link w:val="Textoindependiente3"/>
    <w:rsid w:val="00D115AC"/>
    <w:rPr>
      <w:sz w:val="16"/>
      <w:szCs w:val="16"/>
      <w:lang w:val="eu-ES" w:eastAsia="en-US"/>
    </w:rPr>
  </w:style>
  <w:style w:type="character" w:customStyle="1" w:styleId="atitulo3Car">
    <w:name w:val="atitulo3 Car"/>
    <w:link w:val="atitulo3"/>
    <w:rsid w:val="0095666D"/>
    <w:rPr>
      <w:rFonts w:ascii="Arial" w:hAnsi="Arial"/>
      <w:i/>
      <w:iCs/>
      <w:color w:val="000000"/>
      <w:spacing w:val="10"/>
      <w:kern w:val="28"/>
      <w:sz w:val="25"/>
      <w:szCs w:val="26"/>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3689">
      <w:bodyDiv w:val="1"/>
      <w:marLeft w:val="0"/>
      <w:marRight w:val="0"/>
      <w:marTop w:val="0"/>
      <w:marBottom w:val="0"/>
      <w:divBdr>
        <w:top w:val="none" w:sz="0" w:space="0" w:color="auto"/>
        <w:left w:val="none" w:sz="0" w:space="0" w:color="auto"/>
        <w:bottom w:val="none" w:sz="0" w:space="0" w:color="auto"/>
        <w:right w:val="none" w:sz="0" w:space="0" w:color="auto"/>
      </w:divBdr>
    </w:div>
    <w:div w:id="670841652">
      <w:bodyDiv w:val="1"/>
      <w:marLeft w:val="0"/>
      <w:marRight w:val="0"/>
      <w:marTop w:val="0"/>
      <w:marBottom w:val="0"/>
      <w:divBdr>
        <w:top w:val="none" w:sz="0" w:space="0" w:color="auto"/>
        <w:left w:val="none" w:sz="0" w:space="0" w:color="auto"/>
        <w:bottom w:val="none" w:sz="0" w:space="0" w:color="auto"/>
        <w:right w:val="none" w:sz="0" w:space="0" w:color="auto"/>
      </w:divBdr>
    </w:div>
    <w:div w:id="691303692">
      <w:bodyDiv w:val="1"/>
      <w:marLeft w:val="0"/>
      <w:marRight w:val="0"/>
      <w:marTop w:val="0"/>
      <w:marBottom w:val="0"/>
      <w:divBdr>
        <w:top w:val="none" w:sz="0" w:space="0" w:color="auto"/>
        <w:left w:val="none" w:sz="0" w:space="0" w:color="auto"/>
        <w:bottom w:val="none" w:sz="0" w:space="0" w:color="auto"/>
        <w:right w:val="none" w:sz="0" w:space="0" w:color="auto"/>
      </w:divBdr>
    </w:div>
    <w:div w:id="711080807">
      <w:bodyDiv w:val="1"/>
      <w:marLeft w:val="0"/>
      <w:marRight w:val="0"/>
      <w:marTop w:val="0"/>
      <w:marBottom w:val="0"/>
      <w:divBdr>
        <w:top w:val="none" w:sz="0" w:space="0" w:color="auto"/>
        <w:left w:val="none" w:sz="0" w:space="0" w:color="auto"/>
        <w:bottom w:val="none" w:sz="0" w:space="0" w:color="auto"/>
        <w:right w:val="none" w:sz="0" w:space="0" w:color="auto"/>
      </w:divBdr>
    </w:div>
    <w:div w:id="785657524">
      <w:bodyDiv w:val="1"/>
      <w:marLeft w:val="0"/>
      <w:marRight w:val="0"/>
      <w:marTop w:val="0"/>
      <w:marBottom w:val="0"/>
      <w:divBdr>
        <w:top w:val="none" w:sz="0" w:space="0" w:color="auto"/>
        <w:left w:val="none" w:sz="0" w:space="0" w:color="auto"/>
        <w:bottom w:val="none" w:sz="0" w:space="0" w:color="auto"/>
        <w:right w:val="none" w:sz="0" w:space="0" w:color="auto"/>
      </w:divBdr>
    </w:div>
    <w:div w:id="805665874">
      <w:bodyDiv w:val="1"/>
      <w:marLeft w:val="0"/>
      <w:marRight w:val="0"/>
      <w:marTop w:val="0"/>
      <w:marBottom w:val="0"/>
      <w:divBdr>
        <w:top w:val="none" w:sz="0" w:space="0" w:color="auto"/>
        <w:left w:val="none" w:sz="0" w:space="0" w:color="auto"/>
        <w:bottom w:val="none" w:sz="0" w:space="0" w:color="auto"/>
        <w:right w:val="none" w:sz="0" w:space="0" w:color="auto"/>
      </w:divBdr>
    </w:div>
    <w:div w:id="871114036">
      <w:bodyDiv w:val="1"/>
      <w:marLeft w:val="0"/>
      <w:marRight w:val="0"/>
      <w:marTop w:val="0"/>
      <w:marBottom w:val="0"/>
      <w:divBdr>
        <w:top w:val="none" w:sz="0" w:space="0" w:color="auto"/>
        <w:left w:val="none" w:sz="0" w:space="0" w:color="auto"/>
        <w:bottom w:val="none" w:sz="0" w:space="0" w:color="auto"/>
        <w:right w:val="none" w:sz="0" w:space="0" w:color="auto"/>
      </w:divBdr>
    </w:div>
    <w:div w:id="897059484">
      <w:bodyDiv w:val="1"/>
      <w:marLeft w:val="0"/>
      <w:marRight w:val="0"/>
      <w:marTop w:val="0"/>
      <w:marBottom w:val="0"/>
      <w:divBdr>
        <w:top w:val="none" w:sz="0" w:space="0" w:color="auto"/>
        <w:left w:val="none" w:sz="0" w:space="0" w:color="auto"/>
        <w:bottom w:val="none" w:sz="0" w:space="0" w:color="auto"/>
        <w:right w:val="none" w:sz="0" w:space="0" w:color="auto"/>
      </w:divBdr>
    </w:div>
    <w:div w:id="900865050">
      <w:bodyDiv w:val="1"/>
      <w:marLeft w:val="0"/>
      <w:marRight w:val="0"/>
      <w:marTop w:val="0"/>
      <w:marBottom w:val="0"/>
      <w:divBdr>
        <w:top w:val="none" w:sz="0" w:space="0" w:color="auto"/>
        <w:left w:val="none" w:sz="0" w:space="0" w:color="auto"/>
        <w:bottom w:val="none" w:sz="0" w:space="0" w:color="auto"/>
        <w:right w:val="none" w:sz="0" w:space="0" w:color="auto"/>
      </w:divBdr>
    </w:div>
    <w:div w:id="935553602">
      <w:bodyDiv w:val="1"/>
      <w:marLeft w:val="0"/>
      <w:marRight w:val="0"/>
      <w:marTop w:val="0"/>
      <w:marBottom w:val="0"/>
      <w:divBdr>
        <w:top w:val="none" w:sz="0" w:space="0" w:color="auto"/>
        <w:left w:val="none" w:sz="0" w:space="0" w:color="auto"/>
        <w:bottom w:val="none" w:sz="0" w:space="0" w:color="auto"/>
        <w:right w:val="none" w:sz="0" w:space="0" w:color="auto"/>
      </w:divBdr>
    </w:div>
    <w:div w:id="1039938844">
      <w:bodyDiv w:val="1"/>
      <w:marLeft w:val="0"/>
      <w:marRight w:val="0"/>
      <w:marTop w:val="0"/>
      <w:marBottom w:val="0"/>
      <w:divBdr>
        <w:top w:val="none" w:sz="0" w:space="0" w:color="auto"/>
        <w:left w:val="none" w:sz="0" w:space="0" w:color="auto"/>
        <w:bottom w:val="none" w:sz="0" w:space="0" w:color="auto"/>
        <w:right w:val="none" w:sz="0" w:space="0" w:color="auto"/>
      </w:divBdr>
    </w:div>
    <w:div w:id="1063912818">
      <w:bodyDiv w:val="1"/>
      <w:marLeft w:val="0"/>
      <w:marRight w:val="0"/>
      <w:marTop w:val="0"/>
      <w:marBottom w:val="0"/>
      <w:divBdr>
        <w:top w:val="none" w:sz="0" w:space="0" w:color="auto"/>
        <w:left w:val="none" w:sz="0" w:space="0" w:color="auto"/>
        <w:bottom w:val="none" w:sz="0" w:space="0" w:color="auto"/>
        <w:right w:val="none" w:sz="0" w:space="0" w:color="auto"/>
      </w:divBdr>
    </w:div>
    <w:div w:id="1072045540">
      <w:bodyDiv w:val="1"/>
      <w:marLeft w:val="0"/>
      <w:marRight w:val="0"/>
      <w:marTop w:val="0"/>
      <w:marBottom w:val="0"/>
      <w:divBdr>
        <w:top w:val="none" w:sz="0" w:space="0" w:color="auto"/>
        <w:left w:val="none" w:sz="0" w:space="0" w:color="auto"/>
        <w:bottom w:val="none" w:sz="0" w:space="0" w:color="auto"/>
        <w:right w:val="none" w:sz="0" w:space="0" w:color="auto"/>
      </w:divBdr>
    </w:div>
    <w:div w:id="1074743600">
      <w:bodyDiv w:val="1"/>
      <w:marLeft w:val="0"/>
      <w:marRight w:val="0"/>
      <w:marTop w:val="0"/>
      <w:marBottom w:val="0"/>
      <w:divBdr>
        <w:top w:val="none" w:sz="0" w:space="0" w:color="auto"/>
        <w:left w:val="none" w:sz="0" w:space="0" w:color="auto"/>
        <w:bottom w:val="none" w:sz="0" w:space="0" w:color="auto"/>
        <w:right w:val="none" w:sz="0" w:space="0" w:color="auto"/>
      </w:divBdr>
    </w:div>
    <w:div w:id="1085689136">
      <w:bodyDiv w:val="1"/>
      <w:marLeft w:val="0"/>
      <w:marRight w:val="0"/>
      <w:marTop w:val="0"/>
      <w:marBottom w:val="0"/>
      <w:divBdr>
        <w:top w:val="none" w:sz="0" w:space="0" w:color="auto"/>
        <w:left w:val="none" w:sz="0" w:space="0" w:color="auto"/>
        <w:bottom w:val="none" w:sz="0" w:space="0" w:color="auto"/>
        <w:right w:val="none" w:sz="0" w:space="0" w:color="auto"/>
      </w:divBdr>
    </w:div>
    <w:div w:id="1174494633">
      <w:bodyDiv w:val="1"/>
      <w:marLeft w:val="0"/>
      <w:marRight w:val="0"/>
      <w:marTop w:val="0"/>
      <w:marBottom w:val="0"/>
      <w:divBdr>
        <w:top w:val="none" w:sz="0" w:space="0" w:color="auto"/>
        <w:left w:val="none" w:sz="0" w:space="0" w:color="auto"/>
        <w:bottom w:val="none" w:sz="0" w:space="0" w:color="auto"/>
        <w:right w:val="none" w:sz="0" w:space="0" w:color="auto"/>
      </w:divBdr>
    </w:div>
    <w:div w:id="1201090605">
      <w:bodyDiv w:val="1"/>
      <w:marLeft w:val="0"/>
      <w:marRight w:val="0"/>
      <w:marTop w:val="0"/>
      <w:marBottom w:val="0"/>
      <w:divBdr>
        <w:top w:val="none" w:sz="0" w:space="0" w:color="auto"/>
        <w:left w:val="none" w:sz="0" w:space="0" w:color="auto"/>
        <w:bottom w:val="none" w:sz="0" w:space="0" w:color="auto"/>
        <w:right w:val="none" w:sz="0" w:space="0" w:color="auto"/>
      </w:divBdr>
    </w:div>
    <w:div w:id="1218587875">
      <w:bodyDiv w:val="1"/>
      <w:marLeft w:val="0"/>
      <w:marRight w:val="0"/>
      <w:marTop w:val="0"/>
      <w:marBottom w:val="0"/>
      <w:divBdr>
        <w:top w:val="none" w:sz="0" w:space="0" w:color="auto"/>
        <w:left w:val="none" w:sz="0" w:space="0" w:color="auto"/>
        <w:bottom w:val="none" w:sz="0" w:space="0" w:color="auto"/>
        <w:right w:val="none" w:sz="0" w:space="0" w:color="auto"/>
      </w:divBdr>
    </w:div>
    <w:div w:id="1268461319">
      <w:bodyDiv w:val="1"/>
      <w:marLeft w:val="0"/>
      <w:marRight w:val="0"/>
      <w:marTop w:val="0"/>
      <w:marBottom w:val="0"/>
      <w:divBdr>
        <w:top w:val="none" w:sz="0" w:space="0" w:color="auto"/>
        <w:left w:val="none" w:sz="0" w:space="0" w:color="auto"/>
        <w:bottom w:val="none" w:sz="0" w:space="0" w:color="auto"/>
        <w:right w:val="none" w:sz="0" w:space="0" w:color="auto"/>
      </w:divBdr>
    </w:div>
    <w:div w:id="1375273420">
      <w:bodyDiv w:val="1"/>
      <w:marLeft w:val="0"/>
      <w:marRight w:val="0"/>
      <w:marTop w:val="0"/>
      <w:marBottom w:val="0"/>
      <w:divBdr>
        <w:top w:val="none" w:sz="0" w:space="0" w:color="auto"/>
        <w:left w:val="none" w:sz="0" w:space="0" w:color="auto"/>
        <w:bottom w:val="none" w:sz="0" w:space="0" w:color="auto"/>
        <w:right w:val="none" w:sz="0" w:space="0" w:color="auto"/>
      </w:divBdr>
    </w:div>
    <w:div w:id="1457791952">
      <w:bodyDiv w:val="1"/>
      <w:marLeft w:val="0"/>
      <w:marRight w:val="0"/>
      <w:marTop w:val="0"/>
      <w:marBottom w:val="0"/>
      <w:divBdr>
        <w:top w:val="none" w:sz="0" w:space="0" w:color="auto"/>
        <w:left w:val="none" w:sz="0" w:space="0" w:color="auto"/>
        <w:bottom w:val="none" w:sz="0" w:space="0" w:color="auto"/>
        <w:right w:val="none" w:sz="0" w:space="0" w:color="auto"/>
      </w:divBdr>
    </w:div>
    <w:div w:id="1492520392">
      <w:bodyDiv w:val="1"/>
      <w:marLeft w:val="0"/>
      <w:marRight w:val="0"/>
      <w:marTop w:val="0"/>
      <w:marBottom w:val="0"/>
      <w:divBdr>
        <w:top w:val="none" w:sz="0" w:space="0" w:color="auto"/>
        <w:left w:val="none" w:sz="0" w:space="0" w:color="auto"/>
        <w:bottom w:val="none" w:sz="0" w:space="0" w:color="auto"/>
        <w:right w:val="none" w:sz="0" w:space="0" w:color="auto"/>
      </w:divBdr>
    </w:div>
    <w:div w:id="1804150565">
      <w:bodyDiv w:val="1"/>
      <w:marLeft w:val="0"/>
      <w:marRight w:val="0"/>
      <w:marTop w:val="0"/>
      <w:marBottom w:val="0"/>
      <w:divBdr>
        <w:top w:val="none" w:sz="0" w:space="0" w:color="auto"/>
        <w:left w:val="none" w:sz="0" w:space="0" w:color="auto"/>
        <w:bottom w:val="none" w:sz="0" w:space="0" w:color="auto"/>
        <w:right w:val="none" w:sz="0" w:space="0" w:color="auto"/>
      </w:divBdr>
    </w:div>
    <w:div w:id="1879851678">
      <w:bodyDiv w:val="1"/>
      <w:marLeft w:val="0"/>
      <w:marRight w:val="0"/>
      <w:marTop w:val="0"/>
      <w:marBottom w:val="0"/>
      <w:divBdr>
        <w:top w:val="none" w:sz="0" w:space="0" w:color="auto"/>
        <w:left w:val="none" w:sz="0" w:space="0" w:color="auto"/>
        <w:bottom w:val="none" w:sz="0" w:space="0" w:color="auto"/>
        <w:right w:val="none" w:sz="0" w:space="0" w:color="auto"/>
      </w:divBdr>
    </w:div>
    <w:div w:id="1954750601">
      <w:bodyDiv w:val="1"/>
      <w:marLeft w:val="0"/>
      <w:marRight w:val="0"/>
      <w:marTop w:val="0"/>
      <w:marBottom w:val="0"/>
      <w:divBdr>
        <w:top w:val="none" w:sz="0" w:space="0" w:color="auto"/>
        <w:left w:val="none" w:sz="0" w:space="0" w:color="auto"/>
        <w:bottom w:val="none" w:sz="0" w:space="0" w:color="auto"/>
        <w:right w:val="none" w:sz="0" w:space="0" w:color="auto"/>
      </w:divBdr>
    </w:div>
    <w:div w:id="2059473541">
      <w:bodyDiv w:val="1"/>
      <w:marLeft w:val="0"/>
      <w:marRight w:val="0"/>
      <w:marTop w:val="0"/>
      <w:marBottom w:val="0"/>
      <w:divBdr>
        <w:top w:val="none" w:sz="0" w:space="0" w:color="auto"/>
        <w:left w:val="none" w:sz="0" w:space="0" w:color="auto"/>
        <w:bottom w:val="none" w:sz="0" w:space="0" w:color="auto"/>
        <w:right w:val="none" w:sz="0" w:space="0" w:color="auto"/>
      </w:divBdr>
    </w:div>
    <w:div w:id="2088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E436-2D65-4880-8C4B-1FFAD684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5861</Words>
  <Characters>32236</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Borrador final</vt:lpstr>
    </vt:vector>
  </TitlesOfParts>
  <Company>Cámara de Comptos</Company>
  <LinksUpToDate>false</LinksUpToDate>
  <CharactersWithSpaces>38021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final</dc:title>
  <dc:creator>Elizalde Del Rincón, Teresa (Cámara de Comptos)</dc:creator>
  <cp:lastModifiedBy>De Santiago, Iñaki</cp:lastModifiedBy>
  <cp:revision>2</cp:revision>
  <cp:lastPrinted>2017-01-27T07:40:00Z</cp:lastPrinted>
  <dcterms:created xsi:type="dcterms:W3CDTF">2017-03-08T06:51:00Z</dcterms:created>
  <dcterms:modified xsi:type="dcterms:W3CDTF">2017-03-08T06:51:00Z</dcterms:modified>
</cp:coreProperties>
</file>